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3EF22AF" w14:textId="77777777" w:rsidR="00BE2C1D" w:rsidRDefault="00E27CEA">
      <w:r w:rsidRPr="00E27CEA">
        <w:rPr>
          <w:noProof/>
          <w:lang w:eastAsia="en-GB"/>
        </w:rPr>
        <w:drawing>
          <wp:inline distT="0" distB="0" distL="0" distR="0" wp14:anchorId="45F57AEC" wp14:editId="75799350">
            <wp:extent cx="5731510" cy="207772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2077720"/>
                    </a:xfrm>
                    <a:prstGeom prst="rect">
                      <a:avLst/>
                    </a:prstGeom>
                    <a:noFill/>
                    <a:ln>
                      <a:noFill/>
                    </a:ln>
                  </pic:spPr>
                </pic:pic>
              </a:graphicData>
            </a:graphic>
          </wp:inline>
        </w:drawing>
      </w:r>
    </w:p>
    <w:p w14:paraId="08124076" w14:textId="77777777" w:rsidR="00E27CEA" w:rsidRDefault="00E27CEA"/>
    <w:p w14:paraId="3F3F9AC7" w14:textId="679C5AEC" w:rsidR="00E27CEA" w:rsidRDefault="008605B0" w:rsidP="00E27CEA">
      <w:pPr>
        <w:jc w:val="center"/>
        <w:rPr>
          <w:sz w:val="40"/>
          <w:szCs w:val="40"/>
        </w:rPr>
      </w:pPr>
      <w:r>
        <w:rPr>
          <w:sz w:val="40"/>
          <w:szCs w:val="40"/>
        </w:rPr>
        <w:t>‘</w:t>
      </w:r>
      <w:r w:rsidR="00E27CEA" w:rsidRPr="00E27CEA">
        <w:rPr>
          <w:sz w:val="40"/>
          <w:szCs w:val="40"/>
        </w:rPr>
        <w:t>Short</w:t>
      </w:r>
      <w:r>
        <w:rPr>
          <w:sz w:val="40"/>
          <w:szCs w:val="40"/>
        </w:rPr>
        <w:t>’</w:t>
      </w:r>
      <w:r w:rsidR="00E27CEA" w:rsidRPr="00E27CEA">
        <w:rPr>
          <w:sz w:val="40"/>
          <w:szCs w:val="40"/>
        </w:rPr>
        <w:t xml:space="preserve"> Stories of Young People with Restricted Growth of Their Schooling Experiences (Secondary Education) in the United Kingdom</w:t>
      </w:r>
    </w:p>
    <w:p w14:paraId="3578AEE5" w14:textId="71DA533E" w:rsidR="00E27CEA" w:rsidRDefault="00E27CEA" w:rsidP="00E27CEA">
      <w:pPr>
        <w:jc w:val="center"/>
        <w:rPr>
          <w:sz w:val="40"/>
          <w:szCs w:val="40"/>
        </w:rPr>
      </w:pPr>
    </w:p>
    <w:p w14:paraId="5FB8595F" w14:textId="3E49886C" w:rsidR="00E27CEA" w:rsidRDefault="00E27CEA" w:rsidP="00E27CEA">
      <w:pPr>
        <w:jc w:val="center"/>
        <w:rPr>
          <w:sz w:val="40"/>
          <w:szCs w:val="40"/>
        </w:rPr>
      </w:pPr>
    </w:p>
    <w:p w14:paraId="26037B31" w14:textId="3287A936" w:rsidR="00E27CEA" w:rsidRDefault="00E27CEA" w:rsidP="00E27CEA">
      <w:pPr>
        <w:jc w:val="center"/>
        <w:rPr>
          <w:sz w:val="32"/>
          <w:szCs w:val="32"/>
        </w:rPr>
      </w:pPr>
      <w:r>
        <w:rPr>
          <w:sz w:val="32"/>
          <w:szCs w:val="32"/>
        </w:rPr>
        <w:t xml:space="preserve">By: </w:t>
      </w:r>
    </w:p>
    <w:p w14:paraId="1973485F" w14:textId="76AC307C" w:rsidR="00E27CEA" w:rsidRDefault="00E27CEA" w:rsidP="00E27CEA">
      <w:pPr>
        <w:jc w:val="center"/>
        <w:rPr>
          <w:sz w:val="32"/>
          <w:szCs w:val="32"/>
        </w:rPr>
      </w:pPr>
    </w:p>
    <w:p w14:paraId="46CD0C4B" w14:textId="2ACC0A73" w:rsidR="00E27CEA" w:rsidRDefault="00E27CEA" w:rsidP="00E27CEA">
      <w:pPr>
        <w:jc w:val="center"/>
        <w:rPr>
          <w:sz w:val="32"/>
          <w:szCs w:val="32"/>
        </w:rPr>
      </w:pPr>
      <w:r>
        <w:rPr>
          <w:sz w:val="32"/>
          <w:szCs w:val="32"/>
        </w:rPr>
        <w:t xml:space="preserve">Antonios Ktenidis </w:t>
      </w:r>
    </w:p>
    <w:p w14:paraId="70B9A601" w14:textId="1D227877" w:rsidR="00E27CEA" w:rsidRDefault="00E27CEA" w:rsidP="00E27CEA">
      <w:pPr>
        <w:jc w:val="center"/>
        <w:rPr>
          <w:sz w:val="32"/>
          <w:szCs w:val="32"/>
        </w:rPr>
      </w:pPr>
    </w:p>
    <w:p w14:paraId="7ED1BC2C" w14:textId="77777777" w:rsidR="00E27CEA" w:rsidRPr="00E27CEA" w:rsidRDefault="00E27CEA" w:rsidP="00E27CEA">
      <w:pPr>
        <w:jc w:val="center"/>
        <w:rPr>
          <w:sz w:val="32"/>
          <w:szCs w:val="32"/>
        </w:rPr>
      </w:pPr>
      <w:r w:rsidRPr="00E27CEA">
        <w:rPr>
          <w:sz w:val="32"/>
          <w:szCs w:val="32"/>
        </w:rPr>
        <w:t>A thesis submitted in partial fulfilment of the requirements for the degree of</w:t>
      </w:r>
    </w:p>
    <w:p w14:paraId="4F2CDA12" w14:textId="77777777" w:rsidR="00E27CEA" w:rsidRPr="00E27CEA" w:rsidRDefault="00E27CEA" w:rsidP="00E27CEA">
      <w:pPr>
        <w:jc w:val="center"/>
        <w:rPr>
          <w:sz w:val="32"/>
          <w:szCs w:val="32"/>
        </w:rPr>
      </w:pPr>
      <w:r w:rsidRPr="00E27CEA">
        <w:rPr>
          <w:sz w:val="32"/>
          <w:szCs w:val="32"/>
        </w:rPr>
        <w:t>Doctor of Philosophy</w:t>
      </w:r>
    </w:p>
    <w:p w14:paraId="06B6C892" w14:textId="77777777" w:rsidR="00E27CEA" w:rsidRPr="00E27CEA" w:rsidRDefault="00E27CEA" w:rsidP="00E27CEA">
      <w:pPr>
        <w:jc w:val="center"/>
        <w:rPr>
          <w:sz w:val="32"/>
          <w:szCs w:val="32"/>
        </w:rPr>
      </w:pPr>
      <w:r w:rsidRPr="00E27CEA">
        <w:rPr>
          <w:sz w:val="32"/>
          <w:szCs w:val="32"/>
        </w:rPr>
        <w:t>The University of Sheffield</w:t>
      </w:r>
    </w:p>
    <w:p w14:paraId="2D394F53" w14:textId="77777777" w:rsidR="00E27CEA" w:rsidRPr="00E27CEA" w:rsidRDefault="00E27CEA" w:rsidP="00E27CEA">
      <w:pPr>
        <w:jc w:val="center"/>
        <w:rPr>
          <w:sz w:val="32"/>
          <w:szCs w:val="32"/>
        </w:rPr>
      </w:pPr>
      <w:r w:rsidRPr="00E27CEA">
        <w:rPr>
          <w:sz w:val="32"/>
          <w:szCs w:val="32"/>
        </w:rPr>
        <w:t>Faculty of Social Sciences</w:t>
      </w:r>
    </w:p>
    <w:p w14:paraId="4E7429B2" w14:textId="72F85711" w:rsidR="00E27CEA" w:rsidRDefault="00E27CEA" w:rsidP="00E27CEA">
      <w:pPr>
        <w:jc w:val="center"/>
        <w:rPr>
          <w:sz w:val="32"/>
          <w:szCs w:val="32"/>
        </w:rPr>
      </w:pPr>
      <w:r w:rsidRPr="00E27CEA">
        <w:rPr>
          <w:sz w:val="32"/>
          <w:szCs w:val="32"/>
        </w:rPr>
        <w:t>School of Education</w:t>
      </w:r>
    </w:p>
    <w:p w14:paraId="3C312D13" w14:textId="459AFC28" w:rsidR="00E27CEA" w:rsidRDefault="00E27CEA" w:rsidP="00E27CEA">
      <w:pPr>
        <w:jc w:val="center"/>
        <w:rPr>
          <w:sz w:val="32"/>
          <w:szCs w:val="32"/>
        </w:rPr>
      </w:pPr>
    </w:p>
    <w:p w14:paraId="65C86498" w14:textId="0678247E" w:rsidR="00E27CEA" w:rsidRDefault="00E27CEA" w:rsidP="00E27CEA">
      <w:pPr>
        <w:jc w:val="center"/>
        <w:rPr>
          <w:sz w:val="32"/>
          <w:szCs w:val="32"/>
        </w:rPr>
      </w:pPr>
      <w:r>
        <w:rPr>
          <w:sz w:val="32"/>
          <w:szCs w:val="32"/>
        </w:rPr>
        <w:t>May 2020</w:t>
      </w:r>
    </w:p>
    <w:p w14:paraId="4A1CADD2" w14:textId="49452608" w:rsidR="00E27CEA" w:rsidRDefault="00E27CEA" w:rsidP="00E27CEA">
      <w:pPr>
        <w:jc w:val="center"/>
        <w:rPr>
          <w:sz w:val="32"/>
          <w:szCs w:val="32"/>
        </w:rPr>
      </w:pPr>
    </w:p>
    <w:p w14:paraId="7CD0EB73" w14:textId="75E5A637" w:rsidR="00E27CEA" w:rsidRDefault="00E27CEA" w:rsidP="00E27CEA">
      <w:pPr>
        <w:jc w:val="center"/>
        <w:rPr>
          <w:sz w:val="32"/>
          <w:szCs w:val="32"/>
        </w:rPr>
      </w:pPr>
    </w:p>
    <w:p w14:paraId="06268D89" w14:textId="1010767F" w:rsidR="00E27CEA" w:rsidRDefault="00E27CEA" w:rsidP="00E27CEA">
      <w:pPr>
        <w:jc w:val="center"/>
        <w:rPr>
          <w:sz w:val="32"/>
          <w:szCs w:val="32"/>
        </w:rPr>
      </w:pPr>
    </w:p>
    <w:p w14:paraId="629EA2AD" w14:textId="7AD3BE0E" w:rsidR="00E27CEA" w:rsidRDefault="00E27CEA" w:rsidP="00E27CEA">
      <w:pPr>
        <w:jc w:val="center"/>
        <w:rPr>
          <w:sz w:val="32"/>
          <w:szCs w:val="32"/>
        </w:rPr>
      </w:pPr>
    </w:p>
    <w:p w14:paraId="282F1EEA" w14:textId="32C1CC5A" w:rsidR="00E27CEA" w:rsidRDefault="00E27CEA" w:rsidP="00E27CEA">
      <w:pPr>
        <w:jc w:val="center"/>
        <w:rPr>
          <w:sz w:val="32"/>
          <w:szCs w:val="32"/>
        </w:rPr>
      </w:pPr>
    </w:p>
    <w:p w14:paraId="4FC96E43" w14:textId="7D97EACF" w:rsidR="00E27CEA" w:rsidRDefault="00E27CEA" w:rsidP="00E27CEA">
      <w:pPr>
        <w:jc w:val="center"/>
        <w:rPr>
          <w:sz w:val="32"/>
          <w:szCs w:val="32"/>
        </w:rPr>
      </w:pPr>
    </w:p>
    <w:p w14:paraId="48180BAC" w14:textId="5D84A4B7" w:rsidR="00E27CEA" w:rsidRDefault="00E27CEA" w:rsidP="00E27CEA">
      <w:pPr>
        <w:jc w:val="center"/>
        <w:rPr>
          <w:sz w:val="32"/>
          <w:szCs w:val="32"/>
        </w:rPr>
      </w:pPr>
    </w:p>
    <w:p w14:paraId="44AFFB83" w14:textId="2E50B42C" w:rsidR="00E27CEA" w:rsidRDefault="00E27CEA" w:rsidP="00E27CEA">
      <w:pPr>
        <w:jc w:val="center"/>
        <w:rPr>
          <w:sz w:val="32"/>
          <w:szCs w:val="32"/>
        </w:rPr>
      </w:pPr>
    </w:p>
    <w:p w14:paraId="691CBED1" w14:textId="0ED15908" w:rsidR="00E27CEA" w:rsidRDefault="00E27CEA" w:rsidP="00E27CEA">
      <w:pPr>
        <w:jc w:val="center"/>
        <w:rPr>
          <w:sz w:val="32"/>
          <w:szCs w:val="32"/>
        </w:rPr>
      </w:pPr>
    </w:p>
    <w:p w14:paraId="10513A1D" w14:textId="172F127A" w:rsidR="00E27CEA" w:rsidRDefault="00E27CEA" w:rsidP="00E27CEA">
      <w:pPr>
        <w:jc w:val="center"/>
        <w:rPr>
          <w:sz w:val="32"/>
          <w:szCs w:val="32"/>
        </w:rPr>
      </w:pPr>
    </w:p>
    <w:p w14:paraId="03E47EAF" w14:textId="6FDCA111" w:rsidR="00E27CEA" w:rsidRDefault="00E27CEA" w:rsidP="00E27CEA">
      <w:pPr>
        <w:jc w:val="center"/>
        <w:rPr>
          <w:sz w:val="32"/>
          <w:szCs w:val="32"/>
        </w:rPr>
      </w:pPr>
    </w:p>
    <w:p w14:paraId="7E1BEA6E" w14:textId="0FFD757A" w:rsidR="00E27CEA" w:rsidRDefault="00E27CEA" w:rsidP="00E27CEA">
      <w:pPr>
        <w:jc w:val="center"/>
        <w:rPr>
          <w:sz w:val="32"/>
          <w:szCs w:val="32"/>
        </w:rPr>
      </w:pPr>
    </w:p>
    <w:p w14:paraId="09907203" w14:textId="05728268" w:rsidR="00E27CEA" w:rsidRDefault="00E27CEA" w:rsidP="00E27CEA">
      <w:pPr>
        <w:jc w:val="center"/>
        <w:rPr>
          <w:sz w:val="32"/>
          <w:szCs w:val="32"/>
        </w:rPr>
      </w:pPr>
    </w:p>
    <w:p w14:paraId="150194CB" w14:textId="78B5EE62" w:rsidR="00E27CEA" w:rsidRDefault="00E27CEA" w:rsidP="00E27CEA">
      <w:pPr>
        <w:jc w:val="center"/>
        <w:rPr>
          <w:sz w:val="32"/>
          <w:szCs w:val="32"/>
        </w:rPr>
      </w:pPr>
    </w:p>
    <w:p w14:paraId="7687201B" w14:textId="38E7AB6A" w:rsidR="00E27CEA" w:rsidRDefault="00E27CEA" w:rsidP="00E27CEA">
      <w:pPr>
        <w:jc w:val="center"/>
        <w:rPr>
          <w:sz w:val="32"/>
          <w:szCs w:val="32"/>
        </w:rPr>
      </w:pPr>
    </w:p>
    <w:p w14:paraId="2AA7C1DF" w14:textId="00C562FB" w:rsidR="00E27CEA" w:rsidRDefault="00E27CEA" w:rsidP="00E27CEA">
      <w:pPr>
        <w:jc w:val="center"/>
        <w:rPr>
          <w:sz w:val="32"/>
          <w:szCs w:val="32"/>
        </w:rPr>
      </w:pPr>
    </w:p>
    <w:p w14:paraId="2F72D7EE" w14:textId="63D28766" w:rsidR="00E27CEA" w:rsidRDefault="00E27CEA" w:rsidP="00E27CEA">
      <w:pPr>
        <w:jc w:val="center"/>
        <w:rPr>
          <w:sz w:val="32"/>
          <w:szCs w:val="32"/>
        </w:rPr>
      </w:pPr>
    </w:p>
    <w:p w14:paraId="1EA13367" w14:textId="293DC266" w:rsidR="00E27CEA" w:rsidRDefault="00E27CEA" w:rsidP="00E27CEA">
      <w:pPr>
        <w:jc w:val="center"/>
        <w:rPr>
          <w:sz w:val="32"/>
          <w:szCs w:val="32"/>
        </w:rPr>
      </w:pPr>
    </w:p>
    <w:p w14:paraId="41577D93" w14:textId="547944EC" w:rsidR="00E27CEA" w:rsidRDefault="00E27CEA" w:rsidP="00E27CEA">
      <w:pPr>
        <w:jc w:val="center"/>
        <w:rPr>
          <w:sz w:val="32"/>
          <w:szCs w:val="32"/>
        </w:rPr>
      </w:pPr>
    </w:p>
    <w:p w14:paraId="4B55E761" w14:textId="399A3F51" w:rsidR="00E27CEA" w:rsidRDefault="00E27CEA" w:rsidP="00E27CEA">
      <w:pPr>
        <w:jc w:val="center"/>
        <w:rPr>
          <w:sz w:val="32"/>
          <w:szCs w:val="32"/>
        </w:rPr>
      </w:pPr>
    </w:p>
    <w:p w14:paraId="6D7BE06A" w14:textId="445D221E" w:rsidR="00E27CEA" w:rsidRDefault="00E27CEA" w:rsidP="00E27CEA">
      <w:pPr>
        <w:jc w:val="center"/>
        <w:rPr>
          <w:sz w:val="32"/>
          <w:szCs w:val="32"/>
        </w:rPr>
      </w:pPr>
    </w:p>
    <w:p w14:paraId="43F2AA0C" w14:textId="4F725D55" w:rsidR="00E27CEA" w:rsidRDefault="00E27CEA" w:rsidP="00E27CEA">
      <w:pPr>
        <w:jc w:val="center"/>
        <w:rPr>
          <w:sz w:val="32"/>
          <w:szCs w:val="32"/>
        </w:rPr>
      </w:pPr>
    </w:p>
    <w:p w14:paraId="717370F3" w14:textId="74C109C5" w:rsidR="00E27CEA" w:rsidRDefault="00E27CEA" w:rsidP="00E27CEA">
      <w:pPr>
        <w:jc w:val="center"/>
        <w:rPr>
          <w:sz w:val="32"/>
          <w:szCs w:val="32"/>
        </w:rPr>
      </w:pPr>
    </w:p>
    <w:p w14:paraId="5B31EFA0" w14:textId="25C2A6E4" w:rsidR="00E27CEA" w:rsidRDefault="00E27CEA" w:rsidP="00E27CEA">
      <w:pPr>
        <w:rPr>
          <w:sz w:val="32"/>
          <w:szCs w:val="32"/>
        </w:rPr>
      </w:pPr>
    </w:p>
    <w:p w14:paraId="37894388" w14:textId="29EF6853" w:rsidR="00E27CEA" w:rsidRPr="00E27CEA" w:rsidRDefault="00E27CEA" w:rsidP="00E27CEA">
      <w:pPr>
        <w:rPr>
          <w:b/>
          <w:bCs/>
          <w:sz w:val="28"/>
          <w:szCs w:val="28"/>
        </w:rPr>
      </w:pPr>
      <w:r w:rsidRPr="00E27CEA">
        <w:rPr>
          <w:b/>
          <w:bCs/>
          <w:sz w:val="28"/>
          <w:szCs w:val="28"/>
        </w:rPr>
        <w:lastRenderedPageBreak/>
        <w:t>Abstract</w:t>
      </w:r>
    </w:p>
    <w:p w14:paraId="7D448A2C" w14:textId="77777777" w:rsidR="007B7147" w:rsidRPr="007B7147" w:rsidRDefault="007B7147" w:rsidP="007B7147">
      <w:pPr>
        <w:spacing w:line="360" w:lineRule="auto"/>
        <w:jc w:val="both"/>
      </w:pPr>
      <w:r w:rsidRPr="007B7147">
        <w:t xml:space="preserve">This thesis examines the schooling experiences of young people (between the ages of eleven and thirty years old) with Restricted Growth in the United Kingdom. Previous research on this topic was conducted predominantly through medical and psychological lenses and proposed that such experiences were negative due to a range of deficits young people with RG presented, including cognitive, social and behavioural ones. Hence, young people with RG were depicted as tragic, passive figures, with the problem lying in their bodies. Taking a Critical Disability Studies (Goodley, 2013) and a Disabled Children’s Childhood Studies (Curran and Runswick-Cole, 2014) approach, this thesis provides an insight into their schooling experiences through an engagement with their perspectives, which problematise both this deficit discourse as the underlying reason for such experiences and their depiction as passive.   </w:t>
      </w:r>
    </w:p>
    <w:p w14:paraId="4975B1A5" w14:textId="77777777" w:rsidR="007B7147" w:rsidRPr="007B7147" w:rsidRDefault="007B7147" w:rsidP="007B7147">
      <w:pPr>
        <w:spacing w:line="360" w:lineRule="auto"/>
        <w:jc w:val="both"/>
      </w:pPr>
      <w:r w:rsidRPr="007B7147">
        <w:t xml:space="preserve">Twenty young people were recruited for this qualitative narrative research and became the storytellers of their schooling experiences, that is, they shared their stories in various forms and ways e.g. oral storytelling through narrative interviews in person/online and written storytelling via email interviews. These stories were then analysed through a narrative thematic analysis.  </w:t>
      </w:r>
    </w:p>
    <w:p w14:paraId="6081F3CB" w14:textId="4ECF255C" w:rsidR="00E27CEA" w:rsidRPr="007B7147" w:rsidRDefault="007B7147" w:rsidP="007B7147">
      <w:pPr>
        <w:spacing w:line="360" w:lineRule="auto"/>
        <w:jc w:val="both"/>
      </w:pPr>
      <w:r w:rsidRPr="007B7147">
        <w:t xml:space="preserve">The findings illustrate different aspects of </w:t>
      </w:r>
      <w:r>
        <w:t>their schooling</w:t>
      </w:r>
      <w:r w:rsidRPr="007B7147">
        <w:t xml:space="preserve"> experiences. For instance, participants’ stories demonstrate how they navigated and experienced various disabling and ableist school spaces, such as school classrooms, playgrounds and toilets. Moreover, their stories shed light on their experiences with teaching assistants and their mixed feelings towards the support they were provided. Furthermore, their interactions with teachers and the latter’s disabling attitudes towards them are considered. Additionally, the various forms of violence -real, cultural, psycho-emotional and systemic- the participants en/countered at schools are captured. The thesis closes with some recommendations, including for more attention to be paid on disabled young people’s insights into schooling and for educational practitioners to be more reflexive of their practice.</w:t>
      </w:r>
    </w:p>
    <w:p w14:paraId="1F8401D3" w14:textId="77777777" w:rsidR="00E27CEA" w:rsidRDefault="00E27CEA" w:rsidP="00E27CEA">
      <w:pPr>
        <w:rPr>
          <w:b/>
          <w:bCs/>
          <w:sz w:val="24"/>
          <w:szCs w:val="24"/>
        </w:rPr>
      </w:pPr>
    </w:p>
    <w:p w14:paraId="6CE6815D" w14:textId="2646CD67" w:rsidR="00E27CEA" w:rsidRDefault="00E27CEA" w:rsidP="00E27CEA">
      <w:pPr>
        <w:rPr>
          <w:b/>
          <w:bCs/>
          <w:sz w:val="24"/>
          <w:szCs w:val="24"/>
        </w:rPr>
      </w:pPr>
    </w:p>
    <w:p w14:paraId="0542A26B" w14:textId="685D869C" w:rsidR="00E27CEA" w:rsidRDefault="00E27CEA" w:rsidP="00E27CEA">
      <w:pPr>
        <w:rPr>
          <w:b/>
          <w:bCs/>
          <w:sz w:val="24"/>
          <w:szCs w:val="24"/>
        </w:rPr>
      </w:pPr>
    </w:p>
    <w:p w14:paraId="67020129" w14:textId="52F370B6" w:rsidR="00E27CEA" w:rsidRDefault="00E27CEA" w:rsidP="00E27CEA">
      <w:pPr>
        <w:rPr>
          <w:b/>
          <w:bCs/>
          <w:sz w:val="24"/>
          <w:szCs w:val="24"/>
        </w:rPr>
      </w:pPr>
    </w:p>
    <w:p w14:paraId="6037E8C1" w14:textId="5BE930DE" w:rsidR="00E27CEA" w:rsidRDefault="00E27CEA" w:rsidP="00E27CEA">
      <w:pPr>
        <w:rPr>
          <w:b/>
          <w:bCs/>
          <w:sz w:val="24"/>
          <w:szCs w:val="24"/>
        </w:rPr>
      </w:pPr>
    </w:p>
    <w:p w14:paraId="1C049F0D" w14:textId="7856667F" w:rsidR="00E27CEA" w:rsidRDefault="00E27CEA" w:rsidP="00E27CEA">
      <w:pPr>
        <w:rPr>
          <w:b/>
          <w:bCs/>
          <w:sz w:val="24"/>
          <w:szCs w:val="24"/>
        </w:rPr>
      </w:pPr>
    </w:p>
    <w:p w14:paraId="25A71FDB" w14:textId="177DE901" w:rsidR="00E27CEA" w:rsidRDefault="00E27CEA" w:rsidP="00E27CEA">
      <w:pPr>
        <w:rPr>
          <w:b/>
          <w:bCs/>
          <w:sz w:val="24"/>
          <w:szCs w:val="24"/>
        </w:rPr>
      </w:pPr>
    </w:p>
    <w:p w14:paraId="54609A09" w14:textId="190240D6" w:rsidR="00E27CEA" w:rsidRDefault="00E27CEA" w:rsidP="00E27CEA">
      <w:pPr>
        <w:rPr>
          <w:b/>
          <w:bCs/>
          <w:sz w:val="24"/>
          <w:szCs w:val="24"/>
        </w:rPr>
      </w:pPr>
    </w:p>
    <w:p w14:paraId="067E04FF" w14:textId="2B926768" w:rsidR="00E27CEA" w:rsidRDefault="00E27CEA" w:rsidP="00E27CEA">
      <w:pPr>
        <w:rPr>
          <w:b/>
          <w:bCs/>
          <w:sz w:val="24"/>
          <w:szCs w:val="24"/>
        </w:rPr>
      </w:pPr>
    </w:p>
    <w:p w14:paraId="2A95C02C" w14:textId="4DFA2516" w:rsidR="00E27CEA" w:rsidRDefault="00E27CEA" w:rsidP="00E27CEA">
      <w:pPr>
        <w:rPr>
          <w:b/>
          <w:bCs/>
          <w:sz w:val="24"/>
          <w:szCs w:val="24"/>
        </w:rPr>
      </w:pPr>
    </w:p>
    <w:p w14:paraId="106D9350" w14:textId="56B92121" w:rsidR="00E27CEA" w:rsidRDefault="00E27CEA" w:rsidP="00E27CEA">
      <w:pPr>
        <w:rPr>
          <w:b/>
          <w:bCs/>
          <w:sz w:val="24"/>
          <w:szCs w:val="24"/>
        </w:rPr>
      </w:pPr>
    </w:p>
    <w:p w14:paraId="1738CA41" w14:textId="78B3DC3A" w:rsidR="00E27CEA" w:rsidRDefault="00E27CEA" w:rsidP="00E27CEA">
      <w:pPr>
        <w:rPr>
          <w:b/>
          <w:bCs/>
          <w:sz w:val="24"/>
          <w:szCs w:val="24"/>
        </w:rPr>
      </w:pPr>
    </w:p>
    <w:p w14:paraId="27149B40" w14:textId="5C94BB98" w:rsidR="00E27CEA" w:rsidRDefault="00E27CEA" w:rsidP="00E27CEA">
      <w:pPr>
        <w:rPr>
          <w:b/>
          <w:bCs/>
          <w:sz w:val="24"/>
          <w:szCs w:val="24"/>
        </w:rPr>
      </w:pPr>
    </w:p>
    <w:p w14:paraId="50ED8BC9" w14:textId="4418887E" w:rsidR="00E27CEA" w:rsidRDefault="00E27CEA" w:rsidP="00E27CEA">
      <w:pPr>
        <w:rPr>
          <w:b/>
          <w:bCs/>
          <w:sz w:val="24"/>
          <w:szCs w:val="24"/>
        </w:rPr>
      </w:pPr>
    </w:p>
    <w:p w14:paraId="7C3927E1" w14:textId="37BBE856" w:rsidR="00E27CEA" w:rsidRDefault="00E27CEA" w:rsidP="00E27CEA">
      <w:pPr>
        <w:rPr>
          <w:b/>
          <w:bCs/>
          <w:sz w:val="24"/>
          <w:szCs w:val="24"/>
        </w:rPr>
      </w:pPr>
    </w:p>
    <w:p w14:paraId="3ECCFFFD" w14:textId="59855118" w:rsidR="00E27CEA" w:rsidRDefault="00E27CEA" w:rsidP="00E27CEA">
      <w:pPr>
        <w:rPr>
          <w:b/>
          <w:bCs/>
          <w:sz w:val="24"/>
          <w:szCs w:val="24"/>
        </w:rPr>
      </w:pPr>
    </w:p>
    <w:p w14:paraId="6A84EACB" w14:textId="08306F3A" w:rsidR="00E27CEA" w:rsidRDefault="00E27CEA" w:rsidP="00E27CEA">
      <w:pPr>
        <w:rPr>
          <w:b/>
          <w:bCs/>
          <w:sz w:val="24"/>
          <w:szCs w:val="24"/>
        </w:rPr>
      </w:pPr>
    </w:p>
    <w:p w14:paraId="4527B2C0" w14:textId="1F014FCF" w:rsidR="00E27CEA" w:rsidRDefault="00E27CEA" w:rsidP="00E27CEA">
      <w:pPr>
        <w:rPr>
          <w:b/>
          <w:bCs/>
          <w:sz w:val="24"/>
          <w:szCs w:val="24"/>
        </w:rPr>
      </w:pPr>
    </w:p>
    <w:p w14:paraId="105F8CCC" w14:textId="3CA9245C" w:rsidR="00E27CEA" w:rsidRDefault="00E27CEA" w:rsidP="00E27CEA">
      <w:pPr>
        <w:rPr>
          <w:b/>
          <w:bCs/>
          <w:sz w:val="24"/>
          <w:szCs w:val="24"/>
        </w:rPr>
      </w:pPr>
    </w:p>
    <w:p w14:paraId="3FE4A461" w14:textId="4182F79A" w:rsidR="00E27CEA" w:rsidRDefault="00E27CEA" w:rsidP="00E27CEA">
      <w:pPr>
        <w:rPr>
          <w:b/>
          <w:bCs/>
          <w:sz w:val="24"/>
          <w:szCs w:val="24"/>
        </w:rPr>
      </w:pPr>
    </w:p>
    <w:p w14:paraId="491095EF" w14:textId="220AC00F" w:rsidR="00BE2C1D" w:rsidRDefault="00BE2C1D" w:rsidP="00E27CEA">
      <w:pPr>
        <w:rPr>
          <w:b/>
          <w:bCs/>
          <w:sz w:val="24"/>
          <w:szCs w:val="24"/>
        </w:rPr>
      </w:pPr>
    </w:p>
    <w:p w14:paraId="1176C463" w14:textId="77777777" w:rsidR="00E27C53" w:rsidRDefault="00E27C53" w:rsidP="00E27CEA">
      <w:pPr>
        <w:rPr>
          <w:b/>
          <w:bCs/>
          <w:sz w:val="24"/>
          <w:szCs w:val="24"/>
        </w:rPr>
      </w:pPr>
    </w:p>
    <w:p w14:paraId="4A982B87" w14:textId="77777777" w:rsidR="00E27CEA" w:rsidRPr="00E27CEA" w:rsidRDefault="00E27CEA" w:rsidP="00E27CEA">
      <w:pPr>
        <w:jc w:val="center"/>
        <w:rPr>
          <w:b/>
          <w:bCs/>
          <w:sz w:val="24"/>
          <w:szCs w:val="24"/>
        </w:rPr>
      </w:pPr>
      <w:r w:rsidRPr="00E27CEA">
        <w:rPr>
          <w:b/>
          <w:bCs/>
          <w:sz w:val="24"/>
          <w:szCs w:val="24"/>
        </w:rPr>
        <w:t>Dedication</w:t>
      </w:r>
    </w:p>
    <w:p w14:paraId="23E739FD" w14:textId="06DA18DC" w:rsidR="00DE61AA" w:rsidRDefault="00E27CEA" w:rsidP="00E27CEA">
      <w:pPr>
        <w:jc w:val="center"/>
        <w:rPr>
          <w:b/>
          <w:bCs/>
          <w:sz w:val="24"/>
          <w:szCs w:val="24"/>
        </w:rPr>
      </w:pPr>
      <w:r w:rsidRPr="00E27CEA">
        <w:rPr>
          <w:b/>
          <w:bCs/>
          <w:sz w:val="24"/>
          <w:szCs w:val="24"/>
        </w:rPr>
        <w:t xml:space="preserve">To my </w:t>
      </w:r>
      <w:r>
        <w:rPr>
          <w:b/>
          <w:bCs/>
          <w:sz w:val="24"/>
          <w:szCs w:val="24"/>
        </w:rPr>
        <w:t>uncle Antonios</w:t>
      </w:r>
      <w:r w:rsidR="007B7147">
        <w:rPr>
          <w:b/>
          <w:bCs/>
          <w:sz w:val="24"/>
          <w:szCs w:val="24"/>
        </w:rPr>
        <w:t xml:space="preserve"> and grandmother Dhmhtra</w:t>
      </w:r>
      <w:r>
        <w:rPr>
          <w:b/>
          <w:bCs/>
          <w:sz w:val="24"/>
          <w:szCs w:val="24"/>
        </w:rPr>
        <w:t xml:space="preserve">, </w:t>
      </w:r>
      <w:r w:rsidR="00DE61AA">
        <w:rPr>
          <w:b/>
          <w:bCs/>
          <w:sz w:val="24"/>
          <w:szCs w:val="24"/>
        </w:rPr>
        <w:t xml:space="preserve">who left us too soon, </w:t>
      </w:r>
    </w:p>
    <w:p w14:paraId="64D633EA" w14:textId="026170E5" w:rsidR="00E27CEA" w:rsidRDefault="00DE61AA" w:rsidP="00E27CEA">
      <w:pPr>
        <w:jc w:val="center"/>
        <w:rPr>
          <w:b/>
          <w:bCs/>
          <w:sz w:val="24"/>
          <w:szCs w:val="24"/>
        </w:rPr>
      </w:pPr>
      <w:r>
        <w:rPr>
          <w:b/>
          <w:bCs/>
          <w:sz w:val="24"/>
          <w:szCs w:val="24"/>
        </w:rPr>
        <w:t>and my mother</w:t>
      </w:r>
      <w:r w:rsidR="007B7147">
        <w:rPr>
          <w:b/>
          <w:bCs/>
          <w:sz w:val="24"/>
          <w:szCs w:val="24"/>
        </w:rPr>
        <w:t>,</w:t>
      </w:r>
      <w:r>
        <w:rPr>
          <w:b/>
          <w:bCs/>
          <w:sz w:val="24"/>
          <w:szCs w:val="24"/>
        </w:rPr>
        <w:t xml:space="preserve"> Anastasia</w:t>
      </w:r>
      <w:r w:rsidR="007B7147">
        <w:rPr>
          <w:b/>
          <w:bCs/>
          <w:sz w:val="24"/>
          <w:szCs w:val="24"/>
        </w:rPr>
        <w:t xml:space="preserve">. </w:t>
      </w:r>
    </w:p>
    <w:p w14:paraId="6F9AED09" w14:textId="258462BD" w:rsidR="00DE61AA" w:rsidRDefault="00DE61AA" w:rsidP="00E27CEA">
      <w:pPr>
        <w:jc w:val="center"/>
        <w:rPr>
          <w:b/>
          <w:bCs/>
          <w:sz w:val="24"/>
          <w:szCs w:val="24"/>
        </w:rPr>
      </w:pPr>
    </w:p>
    <w:p w14:paraId="62CCB8DC" w14:textId="62DCC5B5" w:rsidR="00DE61AA" w:rsidRDefault="00DE61AA" w:rsidP="00E27CEA">
      <w:pPr>
        <w:jc w:val="center"/>
        <w:rPr>
          <w:b/>
          <w:bCs/>
          <w:sz w:val="24"/>
          <w:szCs w:val="24"/>
        </w:rPr>
      </w:pPr>
    </w:p>
    <w:p w14:paraId="4A999F46" w14:textId="02801733" w:rsidR="00DE61AA" w:rsidRDefault="00DE61AA" w:rsidP="00E27CEA">
      <w:pPr>
        <w:jc w:val="center"/>
        <w:rPr>
          <w:b/>
          <w:bCs/>
          <w:sz w:val="24"/>
          <w:szCs w:val="24"/>
        </w:rPr>
      </w:pPr>
    </w:p>
    <w:p w14:paraId="0706C00B" w14:textId="29022889" w:rsidR="00DE61AA" w:rsidRDefault="00DE61AA" w:rsidP="00E27CEA">
      <w:pPr>
        <w:jc w:val="center"/>
        <w:rPr>
          <w:b/>
          <w:bCs/>
          <w:sz w:val="24"/>
          <w:szCs w:val="24"/>
        </w:rPr>
      </w:pPr>
    </w:p>
    <w:p w14:paraId="52D9E5A1" w14:textId="0C4B223A" w:rsidR="00DE61AA" w:rsidRDefault="00DE61AA" w:rsidP="00E27CEA">
      <w:pPr>
        <w:jc w:val="center"/>
        <w:rPr>
          <w:b/>
          <w:bCs/>
          <w:sz w:val="24"/>
          <w:szCs w:val="24"/>
        </w:rPr>
      </w:pPr>
    </w:p>
    <w:p w14:paraId="396CC6DD" w14:textId="1D15E42E" w:rsidR="00DE61AA" w:rsidRDefault="00DE61AA" w:rsidP="00E27CEA">
      <w:pPr>
        <w:jc w:val="center"/>
        <w:rPr>
          <w:b/>
          <w:bCs/>
          <w:sz w:val="24"/>
          <w:szCs w:val="24"/>
        </w:rPr>
      </w:pPr>
    </w:p>
    <w:p w14:paraId="6BDF6EA8" w14:textId="75A51AD7" w:rsidR="00DE61AA" w:rsidRDefault="00DE61AA" w:rsidP="00E27CEA">
      <w:pPr>
        <w:jc w:val="center"/>
        <w:rPr>
          <w:b/>
          <w:bCs/>
          <w:sz w:val="24"/>
          <w:szCs w:val="24"/>
        </w:rPr>
      </w:pPr>
    </w:p>
    <w:p w14:paraId="5A039507" w14:textId="56790F2C" w:rsidR="00DE61AA" w:rsidRDefault="00DE61AA" w:rsidP="00E27CEA">
      <w:pPr>
        <w:jc w:val="center"/>
        <w:rPr>
          <w:b/>
          <w:bCs/>
          <w:sz w:val="24"/>
          <w:szCs w:val="24"/>
        </w:rPr>
      </w:pPr>
    </w:p>
    <w:p w14:paraId="7D47FED2" w14:textId="4E07B773" w:rsidR="00DE61AA" w:rsidRDefault="00DE61AA" w:rsidP="00E27CEA">
      <w:pPr>
        <w:jc w:val="center"/>
        <w:rPr>
          <w:b/>
          <w:bCs/>
          <w:sz w:val="24"/>
          <w:szCs w:val="24"/>
        </w:rPr>
      </w:pPr>
    </w:p>
    <w:p w14:paraId="191585AE" w14:textId="69B621F3" w:rsidR="00DE61AA" w:rsidRDefault="00DE61AA" w:rsidP="00E27CEA">
      <w:pPr>
        <w:jc w:val="center"/>
        <w:rPr>
          <w:b/>
          <w:bCs/>
          <w:sz w:val="24"/>
          <w:szCs w:val="24"/>
        </w:rPr>
      </w:pPr>
    </w:p>
    <w:p w14:paraId="6FB3FD66" w14:textId="1458C1A4" w:rsidR="00BE2C1D" w:rsidRDefault="00BE2C1D" w:rsidP="00DE61AA">
      <w:pPr>
        <w:rPr>
          <w:b/>
          <w:bCs/>
          <w:sz w:val="24"/>
          <w:szCs w:val="24"/>
        </w:rPr>
      </w:pPr>
    </w:p>
    <w:p w14:paraId="2C09627B" w14:textId="77777777" w:rsidR="00E27C53" w:rsidRDefault="00E27C53" w:rsidP="00DE61AA">
      <w:pPr>
        <w:rPr>
          <w:b/>
          <w:bCs/>
          <w:sz w:val="24"/>
          <w:szCs w:val="24"/>
        </w:rPr>
      </w:pPr>
    </w:p>
    <w:p w14:paraId="10A57686" w14:textId="2897A6BA" w:rsidR="00DE61AA" w:rsidRDefault="00DE61AA" w:rsidP="00DE61AA">
      <w:pPr>
        <w:rPr>
          <w:b/>
          <w:bCs/>
          <w:sz w:val="28"/>
          <w:szCs w:val="28"/>
        </w:rPr>
      </w:pPr>
      <w:r w:rsidRPr="00DE61AA">
        <w:rPr>
          <w:b/>
          <w:bCs/>
          <w:sz w:val="28"/>
          <w:szCs w:val="28"/>
        </w:rPr>
        <w:lastRenderedPageBreak/>
        <w:t>Acknowledgements</w:t>
      </w:r>
    </w:p>
    <w:p w14:paraId="5928E8A5" w14:textId="10B56CF9" w:rsidR="007B7147" w:rsidRDefault="007B7147" w:rsidP="007B7147">
      <w:pPr>
        <w:spacing w:line="360" w:lineRule="auto"/>
        <w:jc w:val="both"/>
      </w:pPr>
      <w:r>
        <w:t>A PhD is often described as a journey, with its ups and downs. Taking this metaphor of the journey, I would like to express here my gratitude to all those people who have been part of this journey as well as to those who enabled and inspired me to embark on it.</w:t>
      </w:r>
    </w:p>
    <w:p w14:paraId="1171F782" w14:textId="010FF0D2" w:rsidR="007B7147" w:rsidRDefault="007B7147" w:rsidP="007B7147">
      <w:pPr>
        <w:spacing w:line="360" w:lineRule="auto"/>
        <w:jc w:val="both"/>
      </w:pPr>
      <w:r w:rsidRPr="00E7778A">
        <w:t>Firstly</w:t>
      </w:r>
      <w:r w:rsidRPr="00E7778A">
        <w:rPr>
          <w:rStyle w:val="FootnoteReference"/>
        </w:rPr>
        <w:footnoteReference w:id="1"/>
      </w:r>
      <w:r w:rsidRPr="00E7778A">
        <w:t xml:space="preserve">, I would not have been able to pursue this journey nor reach its end if it weren’t for my supervisors, Prof Dan Goodley and Dr Kirsty Liddiard. They both acted as my </w:t>
      </w:r>
      <w:r w:rsidRPr="00E7778A">
        <w:rPr>
          <w:i/>
          <w:iCs/>
        </w:rPr>
        <w:t>tour guides</w:t>
      </w:r>
      <w:r w:rsidRPr="00E7778A">
        <w:t xml:space="preserve"> in this journey, allowing me to undertake my own adventures and spread my wings whilst also getting me back on track and providing me with the tools to orient myself towards the ultimate destination. It was also through their immense support</w:t>
      </w:r>
      <w:r>
        <w:t>, generosity</w:t>
      </w:r>
      <w:r w:rsidRPr="00E7778A">
        <w:t xml:space="preserve"> and care that I managed to cope with the ‘downs’ of this journey and</w:t>
      </w:r>
      <w:r>
        <w:t xml:space="preserve"> to actually</w:t>
      </w:r>
      <w:r w:rsidRPr="00E7778A">
        <w:t xml:space="preserve"> appreciate these moments, learn something from them. </w:t>
      </w:r>
      <w:r>
        <w:t>H</w:t>
      </w:r>
      <w:r w:rsidRPr="00E7778A">
        <w:t xml:space="preserve">aving these two people believe in me meant the world to me and made me believe in myself too. Thank you so much both. </w:t>
      </w:r>
    </w:p>
    <w:p w14:paraId="5C30E97A" w14:textId="43AEBCB5" w:rsidR="007B7147" w:rsidRPr="00E7778A" w:rsidRDefault="007B7147" w:rsidP="007B7147">
      <w:pPr>
        <w:spacing w:line="360" w:lineRule="auto"/>
        <w:jc w:val="both"/>
      </w:pPr>
      <w:r w:rsidRPr="00E7778A">
        <w:t xml:space="preserve">I also need to acknowledge Dr Yiota Karagianni, who was the one </w:t>
      </w:r>
      <w:r>
        <w:t>who</w:t>
      </w:r>
      <w:r w:rsidRPr="00E7778A">
        <w:t xml:space="preserve"> introduced me into the world of Disability Studies for the first time, 10 years ago as an undergraduate student. She was also the one who discerned my ‘academic potential’ and encouraged me to pursue with a MA and a PhD abroad. Thank you Yiota. </w:t>
      </w:r>
    </w:p>
    <w:p w14:paraId="5B79D073" w14:textId="77777777" w:rsidR="007B7147" w:rsidRDefault="007B7147" w:rsidP="007B7147">
      <w:pPr>
        <w:spacing w:line="360" w:lineRule="auto"/>
        <w:jc w:val="both"/>
      </w:pPr>
      <w:r>
        <w:t>Secondly, I need to thank the Economic and Social Research Centre (ESRC) White Rose Social Sciences Doctoral Training Partnership (WRSSDT), which recognised the value in carrying out this research and funded this journey. Not only did such funding allow me to fully devote myself to this journey, but it also enabled me to share the knowledge I gained from it and disseminate its findings in various spaces, such as national and international conferences.</w:t>
      </w:r>
    </w:p>
    <w:p w14:paraId="6B3EB187" w14:textId="218A4B37" w:rsidR="007B7147" w:rsidRDefault="007B7147" w:rsidP="007B7147">
      <w:pPr>
        <w:spacing w:line="360" w:lineRule="auto"/>
        <w:jc w:val="both"/>
      </w:pPr>
      <w:r>
        <w:t xml:space="preserve">Throughout this journey, I also encountered a number of gatekeepers, such as charities of people with Restricted Growth, administrators of online groups of people with Restricted Growth, parents of young people with Restricted Growth. Those gatekeepers acted as </w:t>
      </w:r>
      <w:r w:rsidRPr="00E7778A">
        <w:t xml:space="preserve">the </w:t>
      </w:r>
      <w:r w:rsidRPr="00E7778A">
        <w:rPr>
          <w:i/>
          <w:iCs/>
        </w:rPr>
        <w:t>travel agents</w:t>
      </w:r>
      <w:r>
        <w:t xml:space="preserve"> of this journey, meaning that they designated destinations that I could visit and ones that were inaccessible. I am grateful to those travel agents who permitted me to take certain routes and also made me reflect on why others remained out of reach. Moreover, I am utterly grateful to the participants (and the parents of the younger participants) of this research, who voluntarily decided to become part of this journey. Participants were both </w:t>
      </w:r>
      <w:r w:rsidRPr="00BF0585">
        <w:rPr>
          <w:i/>
          <w:iCs/>
        </w:rPr>
        <w:t>destinations</w:t>
      </w:r>
      <w:r>
        <w:t xml:space="preserve"> I wanted to reach and learn more about as well as </w:t>
      </w:r>
      <w:r w:rsidRPr="00BF0585">
        <w:rPr>
          <w:i/>
          <w:iCs/>
        </w:rPr>
        <w:t>residents</w:t>
      </w:r>
      <w:r>
        <w:t xml:space="preserve"> of such destinations, whose stories acted as </w:t>
      </w:r>
      <w:r w:rsidRPr="00BF0585">
        <w:rPr>
          <w:i/>
          <w:iCs/>
        </w:rPr>
        <w:t>maps</w:t>
      </w:r>
      <w:r>
        <w:t xml:space="preserve"> and helped me navigate this unfamiliar terrain. I am </w:t>
      </w:r>
      <w:r>
        <w:lastRenderedPageBreak/>
        <w:t xml:space="preserve">so thankful to these participants for allowing me to become part of their lives, even momentarily, and for blessing me with their stories. Thanks to all and each one of you. </w:t>
      </w:r>
    </w:p>
    <w:p w14:paraId="5F2D7B82" w14:textId="22BA4C3A" w:rsidR="007B7147" w:rsidRDefault="007B7147" w:rsidP="007B7147">
      <w:pPr>
        <w:spacing w:line="360" w:lineRule="auto"/>
        <w:jc w:val="both"/>
      </w:pPr>
      <w:r>
        <w:t>In this journey, I wasn’t by myself, as there were some people who kept me company throughout it, supported me, listened to me, celebrated with me and did bear with me. First of all, my close family -my mother, Anastasia, my father, George, and my two siblings, Dhmhtra and Harris. My family is my home, where everything started and where I always go back to, even from distance, to feel safe and recharge. Thank you everyone for being so patient with me during this journey. Secondly, my close friends -Aristea, Christos, Eleni, Ray, Sol, Sotos &amp; Vasileios- for always being willing to listen to me</w:t>
      </w:r>
      <w:r w:rsidR="00BE2C1D">
        <w:t xml:space="preserve"> </w:t>
      </w:r>
      <w:r>
        <w:t xml:space="preserve">and providing me with tremendous emotional support. Thirdly, my close friends/colleagues -Holly, Ibtisam, Manel, Suhaili- who were in similar (doctoral) journeys with me and who were also there for me, willing to take time off their own journeys to spend it with me. I am grateful to both. </w:t>
      </w:r>
    </w:p>
    <w:p w14:paraId="6EE8009E" w14:textId="77777777" w:rsidR="007B7147" w:rsidRPr="00E7778A" w:rsidRDefault="007B7147" w:rsidP="007B7147">
      <w:pPr>
        <w:spacing w:line="360" w:lineRule="auto"/>
        <w:jc w:val="both"/>
      </w:pPr>
      <w:r>
        <w:t xml:space="preserve">While it is hard to accept this journey has reached its end, I am also quite relieved it has. Thank you everyone for being part of it and I am looking forward to the next one, together. </w:t>
      </w:r>
    </w:p>
    <w:p w14:paraId="5CE40636" w14:textId="77777777" w:rsidR="007B7147" w:rsidRPr="00DE61AA" w:rsidRDefault="007B7147" w:rsidP="00DE61AA">
      <w:pPr>
        <w:rPr>
          <w:b/>
          <w:bCs/>
          <w:sz w:val="28"/>
          <w:szCs w:val="28"/>
        </w:rPr>
      </w:pPr>
    </w:p>
    <w:p w14:paraId="34BD72D9" w14:textId="79E96894" w:rsidR="00DE61AA" w:rsidRDefault="00DE61AA" w:rsidP="00E27CEA">
      <w:pPr>
        <w:jc w:val="center"/>
        <w:rPr>
          <w:b/>
          <w:bCs/>
          <w:sz w:val="24"/>
          <w:szCs w:val="24"/>
        </w:rPr>
      </w:pPr>
    </w:p>
    <w:p w14:paraId="0A5DF3CC" w14:textId="515EA0AA" w:rsidR="00DE61AA" w:rsidRDefault="00DE61AA" w:rsidP="00E27CEA">
      <w:pPr>
        <w:jc w:val="center"/>
        <w:rPr>
          <w:b/>
          <w:bCs/>
          <w:sz w:val="24"/>
          <w:szCs w:val="24"/>
        </w:rPr>
      </w:pPr>
    </w:p>
    <w:p w14:paraId="36468581" w14:textId="4A7C8758" w:rsidR="00DE61AA" w:rsidRDefault="00DE61AA" w:rsidP="00E27CEA">
      <w:pPr>
        <w:jc w:val="center"/>
        <w:rPr>
          <w:b/>
          <w:bCs/>
          <w:sz w:val="24"/>
          <w:szCs w:val="24"/>
        </w:rPr>
      </w:pPr>
    </w:p>
    <w:p w14:paraId="266120E0" w14:textId="7736E60C" w:rsidR="00DE61AA" w:rsidRDefault="00DE61AA" w:rsidP="00E27CEA">
      <w:pPr>
        <w:jc w:val="center"/>
        <w:rPr>
          <w:b/>
          <w:bCs/>
          <w:sz w:val="24"/>
          <w:szCs w:val="24"/>
        </w:rPr>
      </w:pPr>
    </w:p>
    <w:p w14:paraId="10244ECD" w14:textId="5BEFCC70" w:rsidR="00DE61AA" w:rsidRDefault="00DE61AA" w:rsidP="00E27CEA">
      <w:pPr>
        <w:jc w:val="center"/>
        <w:rPr>
          <w:b/>
          <w:bCs/>
          <w:sz w:val="24"/>
          <w:szCs w:val="24"/>
        </w:rPr>
      </w:pPr>
    </w:p>
    <w:p w14:paraId="1982C6D9" w14:textId="4913245C" w:rsidR="00DE61AA" w:rsidRDefault="00DE61AA" w:rsidP="00E27CEA">
      <w:pPr>
        <w:jc w:val="center"/>
        <w:rPr>
          <w:b/>
          <w:bCs/>
          <w:sz w:val="24"/>
          <w:szCs w:val="24"/>
        </w:rPr>
      </w:pPr>
    </w:p>
    <w:p w14:paraId="59872799" w14:textId="6F2A671C" w:rsidR="008605B0" w:rsidRPr="008605B0" w:rsidRDefault="008605B0" w:rsidP="008605B0">
      <w:pPr>
        <w:keepNext/>
        <w:keepLines/>
        <w:spacing w:before="240" w:after="0"/>
        <w:rPr>
          <w:b/>
          <w:bCs/>
          <w:sz w:val="24"/>
          <w:szCs w:val="24"/>
        </w:rPr>
        <w:sectPr w:rsidR="008605B0" w:rsidRPr="008605B0" w:rsidSect="008605B0">
          <w:footerReference w:type="default" r:id="rId9"/>
          <w:pgSz w:w="11906" w:h="16838"/>
          <w:pgMar w:top="1440" w:right="1440" w:bottom="1440" w:left="1440" w:header="708" w:footer="708" w:gutter="0"/>
          <w:pgNumType w:start="1"/>
          <w:cols w:space="708"/>
          <w:docGrid w:linePitch="360"/>
        </w:sectPr>
      </w:pPr>
      <w:bookmarkStart w:id="0" w:name="_Hlk37023965"/>
    </w:p>
    <w:sdt>
      <w:sdtPr>
        <w:rPr>
          <w:rFonts w:asciiTheme="minorHAnsi" w:eastAsiaTheme="minorHAnsi" w:hAnsiTheme="minorHAnsi" w:cstheme="minorBidi"/>
          <w:color w:val="auto"/>
          <w:sz w:val="22"/>
          <w:szCs w:val="22"/>
        </w:rPr>
        <w:id w:val="-1929421128"/>
        <w:docPartObj>
          <w:docPartGallery w:val="Table of Contents"/>
          <w:docPartUnique/>
        </w:docPartObj>
      </w:sdtPr>
      <w:sdtEndPr>
        <w:rPr>
          <w:b/>
          <w:bCs/>
          <w:noProof/>
        </w:rPr>
      </w:sdtEndPr>
      <w:sdtContent>
        <w:p w14:paraId="1BF2CB27" w14:textId="21D645E7" w:rsidR="00BE2C1D" w:rsidRPr="00BE2C1D" w:rsidRDefault="00BE2C1D" w:rsidP="008605B0">
          <w:pPr>
            <w:pStyle w:val="Heading1"/>
            <w:rPr>
              <w:lang w:val="en-US"/>
            </w:rPr>
          </w:pPr>
          <w:r w:rsidRPr="00BE2C1D">
            <w:rPr>
              <w:lang w:val="en-US"/>
            </w:rPr>
            <w:t>Table of Contents</w:t>
          </w:r>
        </w:p>
        <w:p w14:paraId="7A5B27D1" w14:textId="33015597" w:rsidR="00BE2C1D" w:rsidRDefault="00BE2C1D">
          <w:pPr>
            <w:pStyle w:val="TOC1"/>
            <w:tabs>
              <w:tab w:val="right" w:leader="dot" w:pos="9016"/>
            </w:tabs>
            <w:rPr>
              <w:rFonts w:eastAsiaTheme="minorEastAsia"/>
              <w:noProof/>
              <w:lang w:eastAsia="en-GB"/>
            </w:rPr>
          </w:pPr>
          <w:r w:rsidRPr="00BE2C1D">
            <w:fldChar w:fldCharType="begin"/>
          </w:r>
          <w:r w:rsidRPr="00BE2C1D">
            <w:instrText xml:space="preserve"> TOC \o "1-3" \h \z \u </w:instrText>
          </w:r>
          <w:r w:rsidRPr="00BE2C1D">
            <w:fldChar w:fldCharType="separate"/>
          </w:r>
          <w:hyperlink w:anchor="_Toc39585188" w:history="1">
            <w:r w:rsidRPr="000A518F">
              <w:rPr>
                <w:rStyle w:val="Hyperlink"/>
                <w:rFonts w:asciiTheme="majorHAnsi" w:eastAsiaTheme="majorEastAsia" w:hAnsiTheme="majorHAnsi" w:cstheme="majorBidi"/>
                <w:noProof/>
              </w:rPr>
              <w:t>Chapter 1: Introduction</w:t>
            </w:r>
            <w:r>
              <w:rPr>
                <w:noProof/>
                <w:webHidden/>
              </w:rPr>
              <w:tab/>
            </w:r>
            <w:r>
              <w:rPr>
                <w:noProof/>
                <w:webHidden/>
              </w:rPr>
              <w:fldChar w:fldCharType="begin"/>
            </w:r>
            <w:r>
              <w:rPr>
                <w:noProof/>
                <w:webHidden/>
              </w:rPr>
              <w:instrText xml:space="preserve"> PAGEREF _Toc39585188 \h </w:instrText>
            </w:r>
            <w:r>
              <w:rPr>
                <w:noProof/>
                <w:webHidden/>
              </w:rPr>
            </w:r>
            <w:r>
              <w:rPr>
                <w:noProof/>
                <w:webHidden/>
              </w:rPr>
              <w:fldChar w:fldCharType="separate"/>
            </w:r>
            <w:r w:rsidR="00606298">
              <w:rPr>
                <w:noProof/>
                <w:webHidden/>
              </w:rPr>
              <w:t>11</w:t>
            </w:r>
            <w:r>
              <w:rPr>
                <w:noProof/>
                <w:webHidden/>
              </w:rPr>
              <w:fldChar w:fldCharType="end"/>
            </w:r>
          </w:hyperlink>
        </w:p>
        <w:p w14:paraId="161373C4" w14:textId="4834FEF2" w:rsidR="00BE2C1D" w:rsidRDefault="0046350E">
          <w:pPr>
            <w:pStyle w:val="TOC2"/>
            <w:tabs>
              <w:tab w:val="right" w:leader="dot" w:pos="9016"/>
            </w:tabs>
            <w:rPr>
              <w:rFonts w:eastAsiaTheme="minorEastAsia"/>
              <w:noProof/>
              <w:lang w:eastAsia="en-GB"/>
            </w:rPr>
          </w:pPr>
          <w:hyperlink w:anchor="_Toc39585189" w:history="1">
            <w:r w:rsidR="00BE2C1D" w:rsidRPr="000A518F">
              <w:rPr>
                <w:rStyle w:val="Hyperlink"/>
                <w:rFonts w:asciiTheme="majorHAnsi" w:eastAsiaTheme="majorEastAsia" w:hAnsiTheme="majorHAnsi" w:cstheme="majorBidi"/>
                <w:noProof/>
              </w:rPr>
              <w:t>Introduction</w:t>
            </w:r>
            <w:r w:rsidR="00BE2C1D">
              <w:rPr>
                <w:noProof/>
                <w:webHidden/>
              </w:rPr>
              <w:tab/>
            </w:r>
            <w:r w:rsidR="00BE2C1D">
              <w:rPr>
                <w:noProof/>
                <w:webHidden/>
              </w:rPr>
              <w:fldChar w:fldCharType="begin"/>
            </w:r>
            <w:r w:rsidR="00BE2C1D">
              <w:rPr>
                <w:noProof/>
                <w:webHidden/>
              </w:rPr>
              <w:instrText xml:space="preserve"> PAGEREF _Toc39585189 \h </w:instrText>
            </w:r>
            <w:r w:rsidR="00BE2C1D">
              <w:rPr>
                <w:noProof/>
                <w:webHidden/>
              </w:rPr>
            </w:r>
            <w:r w:rsidR="00BE2C1D">
              <w:rPr>
                <w:noProof/>
                <w:webHidden/>
              </w:rPr>
              <w:fldChar w:fldCharType="separate"/>
            </w:r>
            <w:r w:rsidR="00606298">
              <w:rPr>
                <w:noProof/>
                <w:webHidden/>
              </w:rPr>
              <w:t>11</w:t>
            </w:r>
            <w:r w:rsidR="00BE2C1D">
              <w:rPr>
                <w:noProof/>
                <w:webHidden/>
              </w:rPr>
              <w:fldChar w:fldCharType="end"/>
            </w:r>
          </w:hyperlink>
        </w:p>
        <w:p w14:paraId="034CDCFB" w14:textId="76B16DEA" w:rsidR="00BE2C1D" w:rsidRDefault="0046350E">
          <w:pPr>
            <w:pStyle w:val="TOC2"/>
            <w:tabs>
              <w:tab w:val="right" w:leader="dot" w:pos="9016"/>
            </w:tabs>
            <w:rPr>
              <w:rFonts w:eastAsiaTheme="minorEastAsia"/>
              <w:noProof/>
              <w:lang w:eastAsia="en-GB"/>
            </w:rPr>
          </w:pPr>
          <w:hyperlink w:anchor="_Toc39585190" w:history="1">
            <w:r w:rsidR="00BE2C1D" w:rsidRPr="000A518F">
              <w:rPr>
                <w:rStyle w:val="Hyperlink"/>
                <w:rFonts w:asciiTheme="majorHAnsi" w:eastAsiaTheme="majorEastAsia" w:hAnsiTheme="majorHAnsi" w:cstheme="majorBidi"/>
                <w:noProof/>
              </w:rPr>
              <w:t>Setting the Scene and Mapping the Research</w:t>
            </w:r>
            <w:r w:rsidR="00BE2C1D">
              <w:rPr>
                <w:noProof/>
                <w:webHidden/>
              </w:rPr>
              <w:tab/>
            </w:r>
            <w:r w:rsidR="00BE2C1D">
              <w:rPr>
                <w:noProof/>
                <w:webHidden/>
              </w:rPr>
              <w:fldChar w:fldCharType="begin"/>
            </w:r>
            <w:r w:rsidR="00BE2C1D">
              <w:rPr>
                <w:noProof/>
                <w:webHidden/>
              </w:rPr>
              <w:instrText xml:space="preserve"> PAGEREF _Toc39585190 \h </w:instrText>
            </w:r>
            <w:r w:rsidR="00BE2C1D">
              <w:rPr>
                <w:noProof/>
                <w:webHidden/>
              </w:rPr>
            </w:r>
            <w:r w:rsidR="00BE2C1D">
              <w:rPr>
                <w:noProof/>
                <w:webHidden/>
              </w:rPr>
              <w:fldChar w:fldCharType="separate"/>
            </w:r>
            <w:r w:rsidR="00606298">
              <w:rPr>
                <w:noProof/>
                <w:webHidden/>
              </w:rPr>
              <w:t>13</w:t>
            </w:r>
            <w:r w:rsidR="00BE2C1D">
              <w:rPr>
                <w:noProof/>
                <w:webHidden/>
              </w:rPr>
              <w:fldChar w:fldCharType="end"/>
            </w:r>
          </w:hyperlink>
        </w:p>
        <w:p w14:paraId="36C63431" w14:textId="1989B9AB" w:rsidR="00BE2C1D" w:rsidRDefault="0046350E">
          <w:pPr>
            <w:pStyle w:val="TOC2"/>
            <w:tabs>
              <w:tab w:val="right" w:leader="dot" w:pos="9016"/>
            </w:tabs>
            <w:rPr>
              <w:rFonts w:eastAsiaTheme="minorEastAsia"/>
              <w:noProof/>
              <w:lang w:eastAsia="en-GB"/>
            </w:rPr>
          </w:pPr>
          <w:hyperlink w:anchor="_Toc39585191" w:history="1">
            <w:r w:rsidR="00BE2C1D" w:rsidRPr="000A518F">
              <w:rPr>
                <w:rStyle w:val="Hyperlink"/>
                <w:rFonts w:asciiTheme="majorHAnsi" w:eastAsiaTheme="majorEastAsia" w:hAnsiTheme="majorHAnsi" w:cstheme="majorBidi"/>
                <w:noProof/>
              </w:rPr>
              <w:t>Linguistic Choices: Navigating the Political Terrain of Terminology</w:t>
            </w:r>
            <w:r w:rsidR="00BE2C1D">
              <w:rPr>
                <w:noProof/>
                <w:webHidden/>
              </w:rPr>
              <w:tab/>
            </w:r>
            <w:r w:rsidR="00BE2C1D">
              <w:rPr>
                <w:noProof/>
                <w:webHidden/>
              </w:rPr>
              <w:fldChar w:fldCharType="begin"/>
            </w:r>
            <w:r w:rsidR="00BE2C1D">
              <w:rPr>
                <w:noProof/>
                <w:webHidden/>
              </w:rPr>
              <w:instrText xml:space="preserve"> PAGEREF _Toc39585191 \h </w:instrText>
            </w:r>
            <w:r w:rsidR="00BE2C1D">
              <w:rPr>
                <w:noProof/>
                <w:webHidden/>
              </w:rPr>
            </w:r>
            <w:r w:rsidR="00BE2C1D">
              <w:rPr>
                <w:noProof/>
                <w:webHidden/>
              </w:rPr>
              <w:fldChar w:fldCharType="separate"/>
            </w:r>
            <w:r w:rsidR="00606298">
              <w:rPr>
                <w:noProof/>
                <w:webHidden/>
              </w:rPr>
              <w:t>17</w:t>
            </w:r>
            <w:r w:rsidR="00BE2C1D">
              <w:rPr>
                <w:noProof/>
                <w:webHidden/>
              </w:rPr>
              <w:fldChar w:fldCharType="end"/>
            </w:r>
          </w:hyperlink>
        </w:p>
        <w:p w14:paraId="6CCD1FAE" w14:textId="636E31A3" w:rsidR="00BE2C1D" w:rsidRDefault="0046350E">
          <w:pPr>
            <w:pStyle w:val="TOC2"/>
            <w:tabs>
              <w:tab w:val="right" w:leader="dot" w:pos="9016"/>
            </w:tabs>
            <w:rPr>
              <w:rFonts w:eastAsiaTheme="minorEastAsia"/>
              <w:noProof/>
              <w:lang w:eastAsia="en-GB"/>
            </w:rPr>
          </w:pPr>
          <w:hyperlink w:anchor="_Toc39585192" w:history="1">
            <w:r w:rsidR="00BE2C1D" w:rsidRPr="000A518F">
              <w:rPr>
                <w:rStyle w:val="Hyperlink"/>
                <w:rFonts w:asciiTheme="majorHAnsi" w:eastAsiaTheme="majorEastAsia" w:hAnsiTheme="majorHAnsi" w:cstheme="majorBidi"/>
                <w:noProof/>
              </w:rPr>
              <w:t>Thesis Overview and Chapters’ Summaries</w:t>
            </w:r>
            <w:r w:rsidR="00BE2C1D">
              <w:rPr>
                <w:noProof/>
                <w:webHidden/>
              </w:rPr>
              <w:tab/>
            </w:r>
            <w:r w:rsidR="00BE2C1D">
              <w:rPr>
                <w:noProof/>
                <w:webHidden/>
              </w:rPr>
              <w:fldChar w:fldCharType="begin"/>
            </w:r>
            <w:r w:rsidR="00BE2C1D">
              <w:rPr>
                <w:noProof/>
                <w:webHidden/>
              </w:rPr>
              <w:instrText xml:space="preserve"> PAGEREF _Toc39585192 \h </w:instrText>
            </w:r>
            <w:r w:rsidR="00BE2C1D">
              <w:rPr>
                <w:noProof/>
                <w:webHidden/>
              </w:rPr>
            </w:r>
            <w:r w:rsidR="00BE2C1D">
              <w:rPr>
                <w:noProof/>
                <w:webHidden/>
              </w:rPr>
              <w:fldChar w:fldCharType="separate"/>
            </w:r>
            <w:r w:rsidR="00606298">
              <w:rPr>
                <w:noProof/>
                <w:webHidden/>
              </w:rPr>
              <w:t>20</w:t>
            </w:r>
            <w:r w:rsidR="00BE2C1D">
              <w:rPr>
                <w:noProof/>
                <w:webHidden/>
              </w:rPr>
              <w:fldChar w:fldCharType="end"/>
            </w:r>
          </w:hyperlink>
        </w:p>
        <w:p w14:paraId="06CD2906" w14:textId="76808CD8" w:rsidR="00BE2C1D" w:rsidRDefault="0046350E">
          <w:pPr>
            <w:pStyle w:val="TOC2"/>
            <w:tabs>
              <w:tab w:val="right" w:leader="dot" w:pos="9016"/>
            </w:tabs>
            <w:rPr>
              <w:rFonts w:eastAsiaTheme="minorEastAsia"/>
              <w:noProof/>
              <w:lang w:eastAsia="en-GB"/>
            </w:rPr>
          </w:pPr>
          <w:hyperlink w:anchor="_Toc39585200" w:history="1">
            <w:r w:rsidR="00BE2C1D" w:rsidRPr="000A518F">
              <w:rPr>
                <w:rStyle w:val="Hyperlink"/>
                <w:rFonts w:asciiTheme="majorHAnsi" w:eastAsiaTheme="majorEastAsia" w:hAnsiTheme="majorHAnsi" w:cstheme="majorBidi"/>
                <w:noProof/>
              </w:rPr>
              <w:t>Conclusions</w:t>
            </w:r>
            <w:r w:rsidR="00BE2C1D">
              <w:rPr>
                <w:noProof/>
                <w:webHidden/>
              </w:rPr>
              <w:tab/>
            </w:r>
            <w:r w:rsidR="00BE2C1D">
              <w:rPr>
                <w:noProof/>
                <w:webHidden/>
              </w:rPr>
              <w:fldChar w:fldCharType="begin"/>
            </w:r>
            <w:r w:rsidR="00BE2C1D">
              <w:rPr>
                <w:noProof/>
                <w:webHidden/>
              </w:rPr>
              <w:instrText xml:space="preserve"> PAGEREF _Toc39585200 \h </w:instrText>
            </w:r>
            <w:r w:rsidR="00BE2C1D">
              <w:rPr>
                <w:noProof/>
                <w:webHidden/>
              </w:rPr>
            </w:r>
            <w:r w:rsidR="00BE2C1D">
              <w:rPr>
                <w:noProof/>
                <w:webHidden/>
              </w:rPr>
              <w:fldChar w:fldCharType="separate"/>
            </w:r>
            <w:r w:rsidR="00606298">
              <w:rPr>
                <w:noProof/>
                <w:webHidden/>
              </w:rPr>
              <w:t>24</w:t>
            </w:r>
            <w:r w:rsidR="00BE2C1D">
              <w:rPr>
                <w:noProof/>
                <w:webHidden/>
              </w:rPr>
              <w:fldChar w:fldCharType="end"/>
            </w:r>
          </w:hyperlink>
        </w:p>
        <w:p w14:paraId="07AB8E52" w14:textId="42100579" w:rsidR="00BE2C1D" w:rsidRDefault="0046350E">
          <w:pPr>
            <w:pStyle w:val="TOC1"/>
            <w:tabs>
              <w:tab w:val="right" w:leader="dot" w:pos="9016"/>
            </w:tabs>
            <w:rPr>
              <w:rFonts w:eastAsiaTheme="minorEastAsia"/>
              <w:noProof/>
              <w:lang w:eastAsia="en-GB"/>
            </w:rPr>
          </w:pPr>
          <w:hyperlink w:anchor="_Toc39585201" w:history="1">
            <w:r w:rsidR="00BE2C1D" w:rsidRPr="000A518F">
              <w:rPr>
                <w:rStyle w:val="Hyperlink"/>
                <w:rFonts w:asciiTheme="majorHAnsi" w:eastAsiaTheme="majorEastAsia" w:hAnsiTheme="majorHAnsi" w:cstheme="majorBidi"/>
                <w:noProof/>
                <w:lang w:eastAsia="zh-CN"/>
              </w:rPr>
              <w:t>Chapter 2: Literature Review</w:t>
            </w:r>
            <w:r w:rsidR="00BE2C1D">
              <w:rPr>
                <w:noProof/>
                <w:webHidden/>
              </w:rPr>
              <w:tab/>
            </w:r>
            <w:r w:rsidR="00BE2C1D">
              <w:rPr>
                <w:noProof/>
                <w:webHidden/>
              </w:rPr>
              <w:fldChar w:fldCharType="begin"/>
            </w:r>
            <w:r w:rsidR="00BE2C1D">
              <w:rPr>
                <w:noProof/>
                <w:webHidden/>
              </w:rPr>
              <w:instrText xml:space="preserve"> PAGEREF _Toc39585201 \h </w:instrText>
            </w:r>
            <w:r w:rsidR="00BE2C1D">
              <w:rPr>
                <w:noProof/>
                <w:webHidden/>
              </w:rPr>
            </w:r>
            <w:r w:rsidR="00BE2C1D">
              <w:rPr>
                <w:noProof/>
                <w:webHidden/>
              </w:rPr>
              <w:fldChar w:fldCharType="separate"/>
            </w:r>
            <w:r w:rsidR="00606298">
              <w:rPr>
                <w:noProof/>
                <w:webHidden/>
              </w:rPr>
              <w:t>25</w:t>
            </w:r>
            <w:r w:rsidR="00BE2C1D">
              <w:rPr>
                <w:noProof/>
                <w:webHidden/>
              </w:rPr>
              <w:fldChar w:fldCharType="end"/>
            </w:r>
          </w:hyperlink>
        </w:p>
        <w:p w14:paraId="5B7F89AC" w14:textId="3BD26273" w:rsidR="00BE2C1D" w:rsidRDefault="0046350E">
          <w:pPr>
            <w:pStyle w:val="TOC2"/>
            <w:tabs>
              <w:tab w:val="right" w:leader="dot" w:pos="9016"/>
            </w:tabs>
            <w:rPr>
              <w:rFonts w:eastAsiaTheme="minorEastAsia"/>
              <w:noProof/>
              <w:lang w:eastAsia="en-GB"/>
            </w:rPr>
          </w:pPr>
          <w:hyperlink w:anchor="_Toc39585202" w:history="1">
            <w:r w:rsidR="00BE2C1D" w:rsidRPr="000A518F">
              <w:rPr>
                <w:rStyle w:val="Hyperlink"/>
                <w:rFonts w:asciiTheme="majorHAnsi" w:eastAsiaTheme="majorEastAsia" w:hAnsiTheme="majorHAnsi" w:cstheme="majorBidi"/>
                <w:noProof/>
                <w:lang w:eastAsia="zh-CN"/>
              </w:rPr>
              <w:t>Introduction</w:t>
            </w:r>
            <w:r w:rsidR="00BE2C1D">
              <w:rPr>
                <w:noProof/>
                <w:webHidden/>
              </w:rPr>
              <w:tab/>
            </w:r>
            <w:r w:rsidR="00BE2C1D">
              <w:rPr>
                <w:noProof/>
                <w:webHidden/>
              </w:rPr>
              <w:fldChar w:fldCharType="begin"/>
            </w:r>
            <w:r w:rsidR="00BE2C1D">
              <w:rPr>
                <w:noProof/>
                <w:webHidden/>
              </w:rPr>
              <w:instrText xml:space="preserve"> PAGEREF _Toc39585202 \h </w:instrText>
            </w:r>
            <w:r w:rsidR="00BE2C1D">
              <w:rPr>
                <w:noProof/>
                <w:webHidden/>
              </w:rPr>
            </w:r>
            <w:r w:rsidR="00BE2C1D">
              <w:rPr>
                <w:noProof/>
                <w:webHidden/>
              </w:rPr>
              <w:fldChar w:fldCharType="separate"/>
            </w:r>
            <w:r w:rsidR="00606298">
              <w:rPr>
                <w:noProof/>
                <w:webHidden/>
              </w:rPr>
              <w:t>25</w:t>
            </w:r>
            <w:r w:rsidR="00BE2C1D">
              <w:rPr>
                <w:noProof/>
                <w:webHidden/>
              </w:rPr>
              <w:fldChar w:fldCharType="end"/>
            </w:r>
          </w:hyperlink>
        </w:p>
        <w:p w14:paraId="46D179EE" w14:textId="57294DCD" w:rsidR="00BE2C1D" w:rsidRDefault="0046350E">
          <w:pPr>
            <w:pStyle w:val="TOC2"/>
            <w:tabs>
              <w:tab w:val="right" w:leader="dot" w:pos="9016"/>
            </w:tabs>
            <w:rPr>
              <w:rFonts w:eastAsiaTheme="minorEastAsia"/>
              <w:noProof/>
              <w:lang w:eastAsia="en-GB"/>
            </w:rPr>
          </w:pPr>
          <w:hyperlink w:anchor="_Toc39585203" w:history="1">
            <w:r w:rsidR="00BE2C1D" w:rsidRPr="000A518F">
              <w:rPr>
                <w:rStyle w:val="Hyperlink"/>
                <w:rFonts w:asciiTheme="majorHAnsi" w:eastAsiaTheme="majorEastAsia" w:hAnsiTheme="majorHAnsi" w:cstheme="majorBidi"/>
                <w:noProof/>
                <w:lang w:eastAsia="zh-CN"/>
              </w:rPr>
              <w:t xml:space="preserve">Introducing Critical disability studies: </w:t>
            </w:r>
            <w:r w:rsidR="00BE2C1D">
              <w:rPr>
                <w:rStyle w:val="Hyperlink"/>
                <w:rFonts w:asciiTheme="majorHAnsi" w:eastAsiaTheme="majorEastAsia" w:hAnsiTheme="majorHAnsi" w:cstheme="majorBidi"/>
                <w:noProof/>
                <w:lang w:eastAsia="zh-CN"/>
              </w:rPr>
              <w:t>S</w:t>
            </w:r>
            <w:r w:rsidR="00BE2C1D" w:rsidRPr="000A518F">
              <w:rPr>
                <w:rStyle w:val="Hyperlink"/>
                <w:rFonts w:asciiTheme="majorHAnsi" w:eastAsiaTheme="majorEastAsia" w:hAnsiTheme="majorHAnsi" w:cstheme="majorBidi"/>
                <w:noProof/>
                <w:lang w:eastAsia="zh-CN"/>
              </w:rPr>
              <w:t xml:space="preserve">etting out the </w:t>
            </w:r>
            <w:r w:rsidR="00BE2C1D">
              <w:rPr>
                <w:rStyle w:val="Hyperlink"/>
                <w:rFonts w:asciiTheme="majorHAnsi" w:eastAsiaTheme="majorEastAsia" w:hAnsiTheme="majorHAnsi" w:cstheme="majorBidi"/>
                <w:noProof/>
                <w:lang w:eastAsia="zh-CN"/>
              </w:rPr>
              <w:t>T</w:t>
            </w:r>
            <w:r w:rsidR="00BE2C1D" w:rsidRPr="000A518F">
              <w:rPr>
                <w:rStyle w:val="Hyperlink"/>
                <w:rFonts w:asciiTheme="majorHAnsi" w:eastAsiaTheme="majorEastAsia" w:hAnsiTheme="majorHAnsi" w:cstheme="majorBidi"/>
                <w:noProof/>
                <w:lang w:eastAsia="zh-CN"/>
              </w:rPr>
              <w:t xml:space="preserve">heoretical </w:t>
            </w:r>
            <w:r w:rsidR="00BE2C1D">
              <w:rPr>
                <w:rStyle w:val="Hyperlink"/>
                <w:rFonts w:asciiTheme="majorHAnsi" w:eastAsiaTheme="majorEastAsia" w:hAnsiTheme="majorHAnsi" w:cstheme="majorBidi"/>
                <w:noProof/>
                <w:lang w:eastAsia="zh-CN"/>
              </w:rPr>
              <w:t>L</w:t>
            </w:r>
            <w:r w:rsidR="00BE2C1D" w:rsidRPr="000A518F">
              <w:rPr>
                <w:rStyle w:val="Hyperlink"/>
                <w:rFonts w:asciiTheme="majorHAnsi" w:eastAsiaTheme="majorEastAsia" w:hAnsiTheme="majorHAnsi" w:cstheme="majorBidi"/>
                <w:noProof/>
                <w:lang w:eastAsia="zh-CN"/>
              </w:rPr>
              <w:t>andscape</w:t>
            </w:r>
            <w:r w:rsidR="00BE2C1D">
              <w:rPr>
                <w:noProof/>
                <w:webHidden/>
              </w:rPr>
              <w:tab/>
            </w:r>
            <w:r w:rsidR="00BE2C1D">
              <w:rPr>
                <w:noProof/>
                <w:webHidden/>
              </w:rPr>
              <w:fldChar w:fldCharType="begin"/>
            </w:r>
            <w:r w:rsidR="00BE2C1D">
              <w:rPr>
                <w:noProof/>
                <w:webHidden/>
              </w:rPr>
              <w:instrText xml:space="preserve"> PAGEREF _Toc39585203 \h </w:instrText>
            </w:r>
            <w:r w:rsidR="00BE2C1D">
              <w:rPr>
                <w:noProof/>
                <w:webHidden/>
              </w:rPr>
            </w:r>
            <w:r w:rsidR="00BE2C1D">
              <w:rPr>
                <w:noProof/>
                <w:webHidden/>
              </w:rPr>
              <w:fldChar w:fldCharType="separate"/>
            </w:r>
            <w:r w:rsidR="00606298">
              <w:rPr>
                <w:noProof/>
                <w:webHidden/>
              </w:rPr>
              <w:t>26</w:t>
            </w:r>
            <w:r w:rsidR="00BE2C1D">
              <w:rPr>
                <w:noProof/>
                <w:webHidden/>
              </w:rPr>
              <w:fldChar w:fldCharType="end"/>
            </w:r>
          </w:hyperlink>
        </w:p>
        <w:p w14:paraId="5DBBBC03" w14:textId="33E2C104" w:rsidR="00BE2C1D" w:rsidRDefault="0046350E">
          <w:pPr>
            <w:pStyle w:val="TOC3"/>
            <w:tabs>
              <w:tab w:val="right" w:leader="dot" w:pos="9016"/>
            </w:tabs>
            <w:rPr>
              <w:rFonts w:eastAsiaTheme="minorEastAsia"/>
              <w:noProof/>
              <w:lang w:eastAsia="en-GB"/>
            </w:rPr>
          </w:pPr>
          <w:hyperlink w:anchor="_Toc39585210" w:history="1">
            <w:r w:rsidR="00BE2C1D" w:rsidRPr="000A518F">
              <w:rPr>
                <w:rStyle w:val="Hyperlink"/>
                <w:rFonts w:asciiTheme="majorHAnsi" w:eastAsiaTheme="majorEastAsia" w:hAnsiTheme="majorHAnsi" w:cstheme="majorBidi"/>
                <w:noProof/>
                <w:lang w:eastAsia="zh-CN"/>
              </w:rPr>
              <w:t>Rationale(s) for choosing CDS</w:t>
            </w:r>
            <w:r w:rsidR="00BE2C1D">
              <w:rPr>
                <w:noProof/>
                <w:webHidden/>
              </w:rPr>
              <w:tab/>
            </w:r>
            <w:r w:rsidR="00BE2C1D">
              <w:rPr>
                <w:noProof/>
                <w:webHidden/>
              </w:rPr>
              <w:fldChar w:fldCharType="begin"/>
            </w:r>
            <w:r w:rsidR="00BE2C1D">
              <w:rPr>
                <w:noProof/>
                <w:webHidden/>
              </w:rPr>
              <w:instrText xml:space="preserve"> PAGEREF _Toc39585210 \h </w:instrText>
            </w:r>
            <w:r w:rsidR="00BE2C1D">
              <w:rPr>
                <w:noProof/>
                <w:webHidden/>
              </w:rPr>
            </w:r>
            <w:r w:rsidR="00BE2C1D">
              <w:rPr>
                <w:noProof/>
                <w:webHidden/>
              </w:rPr>
              <w:fldChar w:fldCharType="separate"/>
            </w:r>
            <w:r w:rsidR="00606298">
              <w:rPr>
                <w:noProof/>
                <w:webHidden/>
              </w:rPr>
              <w:t>37</w:t>
            </w:r>
            <w:r w:rsidR="00BE2C1D">
              <w:rPr>
                <w:noProof/>
                <w:webHidden/>
              </w:rPr>
              <w:fldChar w:fldCharType="end"/>
            </w:r>
          </w:hyperlink>
        </w:p>
        <w:p w14:paraId="0628A9CB" w14:textId="7FEAE558" w:rsidR="00BE2C1D" w:rsidRDefault="0046350E">
          <w:pPr>
            <w:pStyle w:val="TOC2"/>
            <w:tabs>
              <w:tab w:val="right" w:leader="dot" w:pos="9016"/>
            </w:tabs>
            <w:rPr>
              <w:rFonts w:eastAsiaTheme="minorEastAsia"/>
              <w:noProof/>
              <w:lang w:eastAsia="en-GB"/>
            </w:rPr>
          </w:pPr>
          <w:hyperlink w:anchor="_Toc39585211" w:history="1">
            <w:r w:rsidR="00BE2C1D" w:rsidRPr="000A518F">
              <w:rPr>
                <w:rStyle w:val="Hyperlink"/>
                <w:rFonts w:asciiTheme="majorHAnsi" w:eastAsiaTheme="majorEastAsia" w:hAnsiTheme="majorHAnsi" w:cstheme="majorBidi"/>
                <w:noProof/>
                <w:lang w:eastAsia="zh-CN"/>
              </w:rPr>
              <w:t>Finding my theoretical orientation to disabled childhoods</w:t>
            </w:r>
            <w:r w:rsidR="00BE2C1D">
              <w:rPr>
                <w:noProof/>
                <w:webHidden/>
              </w:rPr>
              <w:tab/>
            </w:r>
            <w:r w:rsidR="00BE2C1D">
              <w:rPr>
                <w:noProof/>
                <w:webHidden/>
              </w:rPr>
              <w:fldChar w:fldCharType="begin"/>
            </w:r>
            <w:r w:rsidR="00BE2C1D">
              <w:rPr>
                <w:noProof/>
                <w:webHidden/>
              </w:rPr>
              <w:instrText xml:space="preserve"> PAGEREF _Toc39585211 \h </w:instrText>
            </w:r>
            <w:r w:rsidR="00BE2C1D">
              <w:rPr>
                <w:noProof/>
                <w:webHidden/>
              </w:rPr>
            </w:r>
            <w:r w:rsidR="00BE2C1D">
              <w:rPr>
                <w:noProof/>
                <w:webHidden/>
              </w:rPr>
              <w:fldChar w:fldCharType="separate"/>
            </w:r>
            <w:r w:rsidR="00606298">
              <w:rPr>
                <w:noProof/>
                <w:webHidden/>
              </w:rPr>
              <w:t>38</w:t>
            </w:r>
            <w:r w:rsidR="00BE2C1D">
              <w:rPr>
                <w:noProof/>
                <w:webHidden/>
              </w:rPr>
              <w:fldChar w:fldCharType="end"/>
            </w:r>
          </w:hyperlink>
        </w:p>
        <w:p w14:paraId="61067708" w14:textId="3086F029" w:rsidR="00BE2C1D" w:rsidRDefault="0046350E">
          <w:pPr>
            <w:pStyle w:val="TOC3"/>
            <w:tabs>
              <w:tab w:val="right" w:leader="dot" w:pos="9016"/>
            </w:tabs>
            <w:rPr>
              <w:rFonts w:eastAsiaTheme="minorEastAsia"/>
              <w:noProof/>
              <w:lang w:eastAsia="en-GB"/>
            </w:rPr>
          </w:pPr>
          <w:hyperlink w:anchor="_Toc39585212" w:history="1">
            <w:r w:rsidR="00BE2C1D" w:rsidRPr="000A518F">
              <w:rPr>
                <w:rStyle w:val="Hyperlink"/>
                <w:rFonts w:asciiTheme="majorHAnsi" w:eastAsiaTheme="majorEastAsia" w:hAnsiTheme="majorHAnsi" w:cstheme="majorBidi"/>
                <w:noProof/>
                <w:shd w:val="clear" w:color="auto" w:fill="FFFFFF"/>
                <w:lang w:eastAsia="zh-CN"/>
              </w:rPr>
              <w:t>Classic Disability Studies Research on Disabled Childhoods</w:t>
            </w:r>
            <w:r w:rsidR="00BE2C1D">
              <w:rPr>
                <w:noProof/>
                <w:webHidden/>
              </w:rPr>
              <w:tab/>
            </w:r>
            <w:r w:rsidR="00BE2C1D">
              <w:rPr>
                <w:noProof/>
                <w:webHidden/>
              </w:rPr>
              <w:fldChar w:fldCharType="begin"/>
            </w:r>
            <w:r w:rsidR="00BE2C1D">
              <w:rPr>
                <w:noProof/>
                <w:webHidden/>
              </w:rPr>
              <w:instrText xml:space="preserve"> PAGEREF _Toc39585212 \h </w:instrText>
            </w:r>
            <w:r w:rsidR="00BE2C1D">
              <w:rPr>
                <w:noProof/>
                <w:webHidden/>
              </w:rPr>
            </w:r>
            <w:r w:rsidR="00BE2C1D">
              <w:rPr>
                <w:noProof/>
                <w:webHidden/>
              </w:rPr>
              <w:fldChar w:fldCharType="separate"/>
            </w:r>
            <w:r w:rsidR="00606298">
              <w:rPr>
                <w:noProof/>
                <w:webHidden/>
              </w:rPr>
              <w:t>38</w:t>
            </w:r>
            <w:r w:rsidR="00BE2C1D">
              <w:rPr>
                <w:noProof/>
                <w:webHidden/>
              </w:rPr>
              <w:fldChar w:fldCharType="end"/>
            </w:r>
          </w:hyperlink>
        </w:p>
        <w:p w14:paraId="50116724" w14:textId="5B0830E7" w:rsidR="00BE2C1D" w:rsidRDefault="0046350E">
          <w:pPr>
            <w:pStyle w:val="TOC3"/>
            <w:tabs>
              <w:tab w:val="right" w:leader="dot" w:pos="9016"/>
            </w:tabs>
            <w:rPr>
              <w:rFonts w:eastAsiaTheme="minorEastAsia"/>
              <w:noProof/>
              <w:lang w:eastAsia="en-GB"/>
            </w:rPr>
          </w:pPr>
          <w:hyperlink w:anchor="_Toc39585213" w:history="1">
            <w:r w:rsidR="00BE2C1D" w:rsidRPr="000A518F">
              <w:rPr>
                <w:rStyle w:val="Hyperlink"/>
                <w:rFonts w:asciiTheme="majorHAnsi" w:eastAsiaTheme="majorEastAsia" w:hAnsiTheme="majorHAnsi" w:cstheme="majorBidi"/>
                <w:noProof/>
                <w:shd w:val="clear" w:color="auto" w:fill="FFFFFF"/>
                <w:lang w:eastAsia="zh-CN"/>
              </w:rPr>
              <w:t>Emergent Disabled Children’s Childhood Studies</w:t>
            </w:r>
            <w:r w:rsidR="00BE2C1D">
              <w:rPr>
                <w:noProof/>
                <w:webHidden/>
              </w:rPr>
              <w:tab/>
            </w:r>
            <w:r w:rsidR="00BE2C1D">
              <w:rPr>
                <w:noProof/>
                <w:webHidden/>
              </w:rPr>
              <w:fldChar w:fldCharType="begin"/>
            </w:r>
            <w:r w:rsidR="00BE2C1D">
              <w:rPr>
                <w:noProof/>
                <w:webHidden/>
              </w:rPr>
              <w:instrText xml:space="preserve"> PAGEREF _Toc39585213 \h </w:instrText>
            </w:r>
            <w:r w:rsidR="00BE2C1D">
              <w:rPr>
                <w:noProof/>
                <w:webHidden/>
              </w:rPr>
            </w:r>
            <w:r w:rsidR="00BE2C1D">
              <w:rPr>
                <w:noProof/>
                <w:webHidden/>
              </w:rPr>
              <w:fldChar w:fldCharType="separate"/>
            </w:r>
            <w:r w:rsidR="00606298">
              <w:rPr>
                <w:noProof/>
                <w:webHidden/>
              </w:rPr>
              <w:t>42</w:t>
            </w:r>
            <w:r w:rsidR="00BE2C1D">
              <w:rPr>
                <w:noProof/>
                <w:webHidden/>
              </w:rPr>
              <w:fldChar w:fldCharType="end"/>
            </w:r>
          </w:hyperlink>
        </w:p>
        <w:p w14:paraId="46AEA5DF" w14:textId="0A372942" w:rsidR="00BE2C1D" w:rsidRDefault="0046350E">
          <w:pPr>
            <w:pStyle w:val="TOC2"/>
            <w:tabs>
              <w:tab w:val="right" w:leader="dot" w:pos="9016"/>
            </w:tabs>
            <w:rPr>
              <w:rFonts w:eastAsiaTheme="minorEastAsia"/>
              <w:noProof/>
              <w:lang w:eastAsia="en-GB"/>
            </w:rPr>
          </w:pPr>
          <w:hyperlink w:anchor="_Toc39585214" w:history="1">
            <w:r w:rsidR="00BE2C1D" w:rsidRPr="000A518F">
              <w:rPr>
                <w:rStyle w:val="Hyperlink"/>
                <w:rFonts w:asciiTheme="majorHAnsi" w:eastAsiaTheme="majorEastAsia" w:hAnsiTheme="majorHAnsi" w:cstheme="majorBidi"/>
                <w:noProof/>
                <w:lang w:eastAsia="zh-CN"/>
              </w:rPr>
              <w:t>Reviewing the Literature on Young People with Restricted Growth</w:t>
            </w:r>
            <w:r w:rsidR="00BE2C1D">
              <w:rPr>
                <w:noProof/>
                <w:webHidden/>
              </w:rPr>
              <w:tab/>
            </w:r>
            <w:r w:rsidR="00BE2C1D">
              <w:rPr>
                <w:noProof/>
                <w:webHidden/>
              </w:rPr>
              <w:fldChar w:fldCharType="begin"/>
            </w:r>
            <w:r w:rsidR="00BE2C1D">
              <w:rPr>
                <w:noProof/>
                <w:webHidden/>
              </w:rPr>
              <w:instrText xml:space="preserve"> PAGEREF _Toc39585214 \h </w:instrText>
            </w:r>
            <w:r w:rsidR="00BE2C1D">
              <w:rPr>
                <w:noProof/>
                <w:webHidden/>
              </w:rPr>
            </w:r>
            <w:r w:rsidR="00BE2C1D">
              <w:rPr>
                <w:noProof/>
                <w:webHidden/>
              </w:rPr>
              <w:fldChar w:fldCharType="separate"/>
            </w:r>
            <w:r w:rsidR="00606298">
              <w:rPr>
                <w:noProof/>
                <w:webHidden/>
              </w:rPr>
              <w:t>44</w:t>
            </w:r>
            <w:r w:rsidR="00BE2C1D">
              <w:rPr>
                <w:noProof/>
                <w:webHidden/>
              </w:rPr>
              <w:fldChar w:fldCharType="end"/>
            </w:r>
          </w:hyperlink>
        </w:p>
        <w:p w14:paraId="351E3507" w14:textId="1BB9AA3B" w:rsidR="00BE2C1D" w:rsidRDefault="0046350E">
          <w:pPr>
            <w:pStyle w:val="TOC3"/>
            <w:tabs>
              <w:tab w:val="right" w:leader="dot" w:pos="9016"/>
            </w:tabs>
            <w:rPr>
              <w:rFonts w:eastAsiaTheme="minorEastAsia"/>
              <w:noProof/>
              <w:lang w:eastAsia="en-GB"/>
            </w:rPr>
          </w:pPr>
          <w:hyperlink w:anchor="_Toc39585215" w:history="1">
            <w:r w:rsidR="00BE2C1D" w:rsidRPr="000A518F">
              <w:rPr>
                <w:rStyle w:val="Hyperlink"/>
                <w:rFonts w:asciiTheme="majorHAnsi" w:eastAsiaTheme="majorEastAsia" w:hAnsiTheme="majorHAnsi" w:cstheme="majorBidi"/>
                <w:noProof/>
                <w:lang w:eastAsia="zh-CN"/>
              </w:rPr>
              <w:t>Psychological Studies</w:t>
            </w:r>
            <w:r w:rsidR="00BE2C1D">
              <w:rPr>
                <w:noProof/>
                <w:webHidden/>
              </w:rPr>
              <w:tab/>
            </w:r>
            <w:r w:rsidR="00BE2C1D">
              <w:rPr>
                <w:noProof/>
                <w:webHidden/>
              </w:rPr>
              <w:fldChar w:fldCharType="begin"/>
            </w:r>
            <w:r w:rsidR="00BE2C1D">
              <w:rPr>
                <w:noProof/>
                <w:webHidden/>
              </w:rPr>
              <w:instrText xml:space="preserve"> PAGEREF _Toc39585215 \h </w:instrText>
            </w:r>
            <w:r w:rsidR="00BE2C1D">
              <w:rPr>
                <w:noProof/>
                <w:webHidden/>
              </w:rPr>
            </w:r>
            <w:r w:rsidR="00BE2C1D">
              <w:rPr>
                <w:noProof/>
                <w:webHidden/>
              </w:rPr>
              <w:fldChar w:fldCharType="separate"/>
            </w:r>
            <w:r w:rsidR="00606298">
              <w:rPr>
                <w:noProof/>
                <w:webHidden/>
              </w:rPr>
              <w:t>44</w:t>
            </w:r>
            <w:r w:rsidR="00BE2C1D">
              <w:rPr>
                <w:noProof/>
                <w:webHidden/>
              </w:rPr>
              <w:fldChar w:fldCharType="end"/>
            </w:r>
          </w:hyperlink>
        </w:p>
        <w:p w14:paraId="62E51F4A" w14:textId="08F19147" w:rsidR="00BE2C1D" w:rsidRDefault="0046350E">
          <w:pPr>
            <w:pStyle w:val="TOC3"/>
            <w:tabs>
              <w:tab w:val="right" w:leader="dot" w:pos="9016"/>
            </w:tabs>
            <w:rPr>
              <w:rFonts w:eastAsiaTheme="minorEastAsia"/>
              <w:noProof/>
              <w:lang w:eastAsia="en-GB"/>
            </w:rPr>
          </w:pPr>
          <w:hyperlink w:anchor="_Toc39585216" w:history="1">
            <w:r w:rsidR="00BE2C1D" w:rsidRPr="000A518F">
              <w:rPr>
                <w:rStyle w:val="Hyperlink"/>
                <w:rFonts w:asciiTheme="majorHAnsi" w:eastAsiaTheme="majorEastAsia" w:hAnsiTheme="majorHAnsi" w:cstheme="majorBidi"/>
                <w:noProof/>
                <w:lang w:eastAsia="zh-CN"/>
              </w:rPr>
              <w:t>Educational Studies</w:t>
            </w:r>
            <w:r w:rsidR="00BE2C1D">
              <w:rPr>
                <w:noProof/>
                <w:webHidden/>
              </w:rPr>
              <w:tab/>
            </w:r>
            <w:r w:rsidR="00BE2C1D">
              <w:rPr>
                <w:noProof/>
                <w:webHidden/>
              </w:rPr>
              <w:fldChar w:fldCharType="begin"/>
            </w:r>
            <w:r w:rsidR="00BE2C1D">
              <w:rPr>
                <w:noProof/>
                <w:webHidden/>
              </w:rPr>
              <w:instrText xml:space="preserve"> PAGEREF _Toc39585216 \h </w:instrText>
            </w:r>
            <w:r w:rsidR="00BE2C1D">
              <w:rPr>
                <w:noProof/>
                <w:webHidden/>
              </w:rPr>
            </w:r>
            <w:r w:rsidR="00BE2C1D">
              <w:rPr>
                <w:noProof/>
                <w:webHidden/>
              </w:rPr>
              <w:fldChar w:fldCharType="separate"/>
            </w:r>
            <w:r w:rsidR="00606298">
              <w:rPr>
                <w:noProof/>
                <w:webHidden/>
              </w:rPr>
              <w:t>46</w:t>
            </w:r>
            <w:r w:rsidR="00BE2C1D">
              <w:rPr>
                <w:noProof/>
                <w:webHidden/>
              </w:rPr>
              <w:fldChar w:fldCharType="end"/>
            </w:r>
          </w:hyperlink>
        </w:p>
        <w:p w14:paraId="0AEE3A3F" w14:textId="490EA98B" w:rsidR="00BE2C1D" w:rsidRDefault="0046350E">
          <w:pPr>
            <w:pStyle w:val="TOC3"/>
            <w:tabs>
              <w:tab w:val="right" w:leader="dot" w:pos="9016"/>
            </w:tabs>
            <w:rPr>
              <w:rFonts w:eastAsiaTheme="minorEastAsia"/>
              <w:noProof/>
              <w:lang w:eastAsia="en-GB"/>
            </w:rPr>
          </w:pPr>
          <w:hyperlink w:anchor="_Toc39585217" w:history="1">
            <w:r w:rsidR="00BE2C1D" w:rsidRPr="000A518F">
              <w:rPr>
                <w:rStyle w:val="Hyperlink"/>
                <w:rFonts w:asciiTheme="majorHAnsi" w:eastAsiaTheme="majorEastAsia" w:hAnsiTheme="majorHAnsi" w:cstheme="majorBidi"/>
                <w:noProof/>
                <w:lang w:eastAsia="zh-CN"/>
              </w:rPr>
              <w:t>Medical Studies</w:t>
            </w:r>
            <w:r w:rsidR="00BE2C1D">
              <w:rPr>
                <w:noProof/>
                <w:webHidden/>
              </w:rPr>
              <w:tab/>
            </w:r>
            <w:r w:rsidR="00BE2C1D">
              <w:rPr>
                <w:noProof/>
                <w:webHidden/>
              </w:rPr>
              <w:fldChar w:fldCharType="begin"/>
            </w:r>
            <w:r w:rsidR="00BE2C1D">
              <w:rPr>
                <w:noProof/>
                <w:webHidden/>
              </w:rPr>
              <w:instrText xml:space="preserve"> PAGEREF _Toc39585217 \h </w:instrText>
            </w:r>
            <w:r w:rsidR="00BE2C1D">
              <w:rPr>
                <w:noProof/>
                <w:webHidden/>
              </w:rPr>
            </w:r>
            <w:r w:rsidR="00BE2C1D">
              <w:rPr>
                <w:noProof/>
                <w:webHidden/>
              </w:rPr>
              <w:fldChar w:fldCharType="separate"/>
            </w:r>
            <w:r w:rsidR="00606298">
              <w:rPr>
                <w:noProof/>
                <w:webHidden/>
              </w:rPr>
              <w:t>47</w:t>
            </w:r>
            <w:r w:rsidR="00BE2C1D">
              <w:rPr>
                <w:noProof/>
                <w:webHidden/>
              </w:rPr>
              <w:fldChar w:fldCharType="end"/>
            </w:r>
          </w:hyperlink>
        </w:p>
        <w:p w14:paraId="703D26A0" w14:textId="14B82DBF" w:rsidR="00BE2C1D" w:rsidRDefault="0046350E">
          <w:pPr>
            <w:pStyle w:val="TOC3"/>
            <w:tabs>
              <w:tab w:val="right" w:leader="dot" w:pos="9016"/>
            </w:tabs>
            <w:rPr>
              <w:rFonts w:eastAsiaTheme="minorEastAsia"/>
              <w:noProof/>
              <w:lang w:eastAsia="en-GB"/>
            </w:rPr>
          </w:pPr>
          <w:hyperlink w:anchor="_Toc39585218" w:history="1">
            <w:r w:rsidR="00BE2C1D" w:rsidRPr="000A518F">
              <w:rPr>
                <w:rStyle w:val="Hyperlink"/>
                <w:rFonts w:asciiTheme="majorHAnsi" w:eastAsiaTheme="majorEastAsia" w:hAnsiTheme="majorHAnsi" w:cstheme="majorBidi"/>
                <w:noProof/>
                <w:shd w:val="clear" w:color="auto" w:fill="FFFFFF"/>
                <w:lang w:eastAsia="zh-CN"/>
              </w:rPr>
              <w:t>Methodological Critiques &amp;</w:t>
            </w:r>
            <w:r w:rsidR="00BE2C1D" w:rsidRPr="000A518F">
              <w:rPr>
                <w:rStyle w:val="Hyperlink"/>
                <w:rFonts w:asciiTheme="majorHAnsi" w:eastAsiaTheme="majorEastAsia" w:hAnsiTheme="majorHAnsi" w:cstheme="majorBidi"/>
                <w:noProof/>
                <w:lang w:eastAsia="zh-CN"/>
              </w:rPr>
              <w:t xml:space="preserve"> </w:t>
            </w:r>
            <w:r w:rsidR="00BE2C1D" w:rsidRPr="000A518F">
              <w:rPr>
                <w:rStyle w:val="Hyperlink"/>
                <w:rFonts w:asciiTheme="majorHAnsi" w:eastAsiaTheme="majorEastAsia" w:hAnsiTheme="majorHAnsi" w:cstheme="majorBidi"/>
                <w:noProof/>
                <w:shd w:val="clear" w:color="auto" w:fill="FFFFFF"/>
                <w:lang w:eastAsia="zh-CN"/>
              </w:rPr>
              <w:t>Problematic Implications</w:t>
            </w:r>
            <w:r w:rsidR="00BE2C1D">
              <w:rPr>
                <w:noProof/>
                <w:webHidden/>
              </w:rPr>
              <w:tab/>
            </w:r>
            <w:r w:rsidR="00BE2C1D">
              <w:rPr>
                <w:noProof/>
                <w:webHidden/>
              </w:rPr>
              <w:fldChar w:fldCharType="begin"/>
            </w:r>
            <w:r w:rsidR="00BE2C1D">
              <w:rPr>
                <w:noProof/>
                <w:webHidden/>
              </w:rPr>
              <w:instrText xml:space="preserve"> PAGEREF _Toc39585218 \h </w:instrText>
            </w:r>
            <w:r w:rsidR="00BE2C1D">
              <w:rPr>
                <w:noProof/>
                <w:webHidden/>
              </w:rPr>
            </w:r>
            <w:r w:rsidR="00BE2C1D">
              <w:rPr>
                <w:noProof/>
                <w:webHidden/>
              </w:rPr>
              <w:fldChar w:fldCharType="separate"/>
            </w:r>
            <w:r w:rsidR="00606298">
              <w:rPr>
                <w:noProof/>
                <w:webHidden/>
              </w:rPr>
              <w:t>48</w:t>
            </w:r>
            <w:r w:rsidR="00BE2C1D">
              <w:rPr>
                <w:noProof/>
                <w:webHidden/>
              </w:rPr>
              <w:fldChar w:fldCharType="end"/>
            </w:r>
          </w:hyperlink>
        </w:p>
        <w:p w14:paraId="74FFBA9D" w14:textId="30BA4F26" w:rsidR="00BE2C1D" w:rsidRDefault="0046350E">
          <w:pPr>
            <w:pStyle w:val="TOC3"/>
            <w:tabs>
              <w:tab w:val="right" w:leader="dot" w:pos="9016"/>
            </w:tabs>
            <w:rPr>
              <w:rFonts w:eastAsiaTheme="minorEastAsia"/>
              <w:noProof/>
              <w:lang w:eastAsia="en-GB"/>
            </w:rPr>
          </w:pPr>
          <w:hyperlink w:anchor="_Toc39585219" w:history="1">
            <w:r w:rsidR="00BE2C1D" w:rsidRPr="000A518F">
              <w:rPr>
                <w:rStyle w:val="Hyperlink"/>
                <w:rFonts w:asciiTheme="majorHAnsi" w:eastAsiaTheme="majorEastAsia" w:hAnsiTheme="majorHAnsi" w:cstheme="majorBidi"/>
                <w:noProof/>
                <w:lang w:eastAsia="zh-CN"/>
              </w:rPr>
              <w:t>Height(ism) as the Elephant in the (Class)Room</w:t>
            </w:r>
            <w:r w:rsidR="00BE2C1D">
              <w:rPr>
                <w:noProof/>
                <w:webHidden/>
              </w:rPr>
              <w:tab/>
            </w:r>
            <w:r w:rsidR="00BE2C1D">
              <w:rPr>
                <w:noProof/>
                <w:webHidden/>
              </w:rPr>
              <w:fldChar w:fldCharType="begin"/>
            </w:r>
            <w:r w:rsidR="00BE2C1D">
              <w:rPr>
                <w:noProof/>
                <w:webHidden/>
              </w:rPr>
              <w:instrText xml:space="preserve"> PAGEREF _Toc39585219 \h </w:instrText>
            </w:r>
            <w:r w:rsidR="00BE2C1D">
              <w:rPr>
                <w:noProof/>
                <w:webHidden/>
              </w:rPr>
            </w:r>
            <w:r w:rsidR="00BE2C1D">
              <w:rPr>
                <w:noProof/>
                <w:webHidden/>
              </w:rPr>
              <w:fldChar w:fldCharType="separate"/>
            </w:r>
            <w:r w:rsidR="00606298">
              <w:rPr>
                <w:noProof/>
                <w:webHidden/>
              </w:rPr>
              <w:t>50</w:t>
            </w:r>
            <w:r w:rsidR="00BE2C1D">
              <w:rPr>
                <w:noProof/>
                <w:webHidden/>
              </w:rPr>
              <w:fldChar w:fldCharType="end"/>
            </w:r>
          </w:hyperlink>
        </w:p>
        <w:p w14:paraId="11A707DB" w14:textId="6DB20D73" w:rsidR="00BE2C1D" w:rsidRDefault="0046350E">
          <w:pPr>
            <w:pStyle w:val="TOC2"/>
            <w:tabs>
              <w:tab w:val="right" w:leader="dot" w:pos="9016"/>
            </w:tabs>
            <w:rPr>
              <w:rFonts w:eastAsiaTheme="minorEastAsia"/>
              <w:noProof/>
              <w:lang w:eastAsia="en-GB"/>
            </w:rPr>
          </w:pPr>
          <w:hyperlink w:anchor="_Toc39585220" w:history="1">
            <w:r w:rsidR="00BE2C1D" w:rsidRPr="000A518F">
              <w:rPr>
                <w:rStyle w:val="Hyperlink"/>
                <w:rFonts w:asciiTheme="majorHAnsi" w:eastAsiaTheme="majorEastAsia" w:hAnsiTheme="majorHAnsi" w:cstheme="majorBidi"/>
                <w:noProof/>
                <w:lang w:eastAsia="zh-CN"/>
              </w:rPr>
              <w:t>Conclusions</w:t>
            </w:r>
            <w:r w:rsidR="00BE2C1D">
              <w:rPr>
                <w:noProof/>
                <w:webHidden/>
              </w:rPr>
              <w:tab/>
            </w:r>
            <w:r w:rsidR="00BE2C1D">
              <w:rPr>
                <w:noProof/>
                <w:webHidden/>
              </w:rPr>
              <w:fldChar w:fldCharType="begin"/>
            </w:r>
            <w:r w:rsidR="00BE2C1D">
              <w:rPr>
                <w:noProof/>
                <w:webHidden/>
              </w:rPr>
              <w:instrText xml:space="preserve"> PAGEREF _Toc39585220 \h </w:instrText>
            </w:r>
            <w:r w:rsidR="00BE2C1D">
              <w:rPr>
                <w:noProof/>
                <w:webHidden/>
              </w:rPr>
            </w:r>
            <w:r w:rsidR="00BE2C1D">
              <w:rPr>
                <w:noProof/>
                <w:webHidden/>
              </w:rPr>
              <w:fldChar w:fldCharType="separate"/>
            </w:r>
            <w:r w:rsidR="00606298">
              <w:rPr>
                <w:noProof/>
                <w:webHidden/>
              </w:rPr>
              <w:t>52</w:t>
            </w:r>
            <w:r w:rsidR="00BE2C1D">
              <w:rPr>
                <w:noProof/>
                <w:webHidden/>
              </w:rPr>
              <w:fldChar w:fldCharType="end"/>
            </w:r>
          </w:hyperlink>
        </w:p>
        <w:p w14:paraId="4FE528E9" w14:textId="5AF4A9CF" w:rsidR="00BE2C1D" w:rsidRDefault="0046350E">
          <w:pPr>
            <w:pStyle w:val="TOC1"/>
            <w:tabs>
              <w:tab w:val="right" w:leader="dot" w:pos="9016"/>
            </w:tabs>
            <w:rPr>
              <w:rFonts w:eastAsiaTheme="minorEastAsia"/>
              <w:noProof/>
              <w:lang w:eastAsia="en-GB"/>
            </w:rPr>
          </w:pPr>
          <w:hyperlink w:anchor="_Toc39585221" w:history="1">
            <w:r w:rsidR="00BE2C1D" w:rsidRPr="000A518F">
              <w:rPr>
                <w:rStyle w:val="Hyperlink"/>
                <w:rFonts w:asciiTheme="majorHAnsi" w:eastAsiaTheme="majorEastAsia" w:hAnsiTheme="majorHAnsi" w:cstheme="majorBidi"/>
                <w:noProof/>
                <w:lang w:eastAsia="zh-CN"/>
              </w:rPr>
              <w:t>Chapter 3: Methodological Orientations</w:t>
            </w:r>
            <w:r w:rsidR="00BE2C1D">
              <w:rPr>
                <w:noProof/>
                <w:webHidden/>
              </w:rPr>
              <w:tab/>
            </w:r>
            <w:r w:rsidR="00BE2C1D">
              <w:rPr>
                <w:noProof/>
                <w:webHidden/>
              </w:rPr>
              <w:fldChar w:fldCharType="begin"/>
            </w:r>
            <w:r w:rsidR="00BE2C1D">
              <w:rPr>
                <w:noProof/>
                <w:webHidden/>
              </w:rPr>
              <w:instrText xml:space="preserve"> PAGEREF _Toc39585221 \h </w:instrText>
            </w:r>
            <w:r w:rsidR="00BE2C1D">
              <w:rPr>
                <w:noProof/>
                <w:webHidden/>
              </w:rPr>
            </w:r>
            <w:r w:rsidR="00BE2C1D">
              <w:rPr>
                <w:noProof/>
                <w:webHidden/>
              </w:rPr>
              <w:fldChar w:fldCharType="separate"/>
            </w:r>
            <w:r w:rsidR="00606298">
              <w:rPr>
                <w:noProof/>
                <w:webHidden/>
              </w:rPr>
              <w:t>54</w:t>
            </w:r>
            <w:r w:rsidR="00BE2C1D">
              <w:rPr>
                <w:noProof/>
                <w:webHidden/>
              </w:rPr>
              <w:fldChar w:fldCharType="end"/>
            </w:r>
          </w:hyperlink>
        </w:p>
        <w:p w14:paraId="255F5002" w14:textId="07E1BEB6" w:rsidR="00BE2C1D" w:rsidRDefault="0046350E">
          <w:pPr>
            <w:pStyle w:val="TOC2"/>
            <w:tabs>
              <w:tab w:val="right" w:leader="dot" w:pos="9016"/>
            </w:tabs>
            <w:rPr>
              <w:rFonts w:eastAsiaTheme="minorEastAsia"/>
              <w:noProof/>
              <w:lang w:eastAsia="en-GB"/>
            </w:rPr>
          </w:pPr>
          <w:hyperlink w:anchor="_Toc39585222" w:history="1">
            <w:r w:rsidR="00BE2C1D" w:rsidRPr="000A518F">
              <w:rPr>
                <w:rStyle w:val="Hyperlink"/>
                <w:rFonts w:asciiTheme="majorHAnsi" w:eastAsiaTheme="majorEastAsia" w:hAnsiTheme="majorHAnsi" w:cstheme="majorBidi"/>
                <w:noProof/>
                <w:lang w:eastAsia="zh-CN"/>
              </w:rPr>
              <w:t>Introduction</w:t>
            </w:r>
            <w:r w:rsidR="00BE2C1D">
              <w:rPr>
                <w:noProof/>
                <w:webHidden/>
              </w:rPr>
              <w:tab/>
            </w:r>
            <w:r w:rsidR="00BE2C1D">
              <w:rPr>
                <w:noProof/>
                <w:webHidden/>
              </w:rPr>
              <w:fldChar w:fldCharType="begin"/>
            </w:r>
            <w:r w:rsidR="00BE2C1D">
              <w:rPr>
                <w:noProof/>
                <w:webHidden/>
              </w:rPr>
              <w:instrText xml:space="preserve"> PAGEREF _Toc39585222 \h </w:instrText>
            </w:r>
            <w:r w:rsidR="00BE2C1D">
              <w:rPr>
                <w:noProof/>
                <w:webHidden/>
              </w:rPr>
            </w:r>
            <w:r w:rsidR="00BE2C1D">
              <w:rPr>
                <w:noProof/>
                <w:webHidden/>
              </w:rPr>
              <w:fldChar w:fldCharType="separate"/>
            </w:r>
            <w:r w:rsidR="00606298">
              <w:rPr>
                <w:noProof/>
                <w:webHidden/>
              </w:rPr>
              <w:t>54</w:t>
            </w:r>
            <w:r w:rsidR="00BE2C1D">
              <w:rPr>
                <w:noProof/>
                <w:webHidden/>
              </w:rPr>
              <w:fldChar w:fldCharType="end"/>
            </w:r>
          </w:hyperlink>
        </w:p>
        <w:p w14:paraId="548D1CA4" w14:textId="59F8F218" w:rsidR="00BE2C1D" w:rsidRDefault="0046350E">
          <w:pPr>
            <w:pStyle w:val="TOC2"/>
            <w:tabs>
              <w:tab w:val="right" w:leader="dot" w:pos="9016"/>
            </w:tabs>
            <w:rPr>
              <w:rFonts w:eastAsiaTheme="minorEastAsia"/>
              <w:noProof/>
              <w:lang w:eastAsia="en-GB"/>
            </w:rPr>
          </w:pPr>
          <w:hyperlink w:anchor="_Toc39585223" w:history="1">
            <w:r w:rsidR="00BE2C1D" w:rsidRPr="000A518F">
              <w:rPr>
                <w:rStyle w:val="Hyperlink"/>
                <w:rFonts w:asciiTheme="majorHAnsi" w:eastAsiaTheme="majorEastAsia" w:hAnsiTheme="majorHAnsi" w:cstheme="majorBidi"/>
                <w:noProof/>
                <w:lang w:eastAsia="zh-CN"/>
              </w:rPr>
              <w:t>Sampling, Recruitment and Participants</w:t>
            </w:r>
            <w:r w:rsidR="00BE2C1D">
              <w:rPr>
                <w:noProof/>
                <w:webHidden/>
              </w:rPr>
              <w:tab/>
            </w:r>
            <w:r w:rsidR="00BE2C1D">
              <w:rPr>
                <w:noProof/>
                <w:webHidden/>
              </w:rPr>
              <w:fldChar w:fldCharType="begin"/>
            </w:r>
            <w:r w:rsidR="00BE2C1D">
              <w:rPr>
                <w:noProof/>
                <w:webHidden/>
              </w:rPr>
              <w:instrText xml:space="preserve"> PAGEREF _Toc39585223 \h </w:instrText>
            </w:r>
            <w:r w:rsidR="00BE2C1D">
              <w:rPr>
                <w:noProof/>
                <w:webHidden/>
              </w:rPr>
            </w:r>
            <w:r w:rsidR="00BE2C1D">
              <w:rPr>
                <w:noProof/>
                <w:webHidden/>
              </w:rPr>
              <w:fldChar w:fldCharType="separate"/>
            </w:r>
            <w:r w:rsidR="00606298">
              <w:rPr>
                <w:noProof/>
                <w:webHidden/>
              </w:rPr>
              <w:t>54</w:t>
            </w:r>
            <w:r w:rsidR="00BE2C1D">
              <w:rPr>
                <w:noProof/>
                <w:webHidden/>
              </w:rPr>
              <w:fldChar w:fldCharType="end"/>
            </w:r>
          </w:hyperlink>
        </w:p>
        <w:p w14:paraId="44909718" w14:textId="5237D8EC" w:rsidR="00BE2C1D" w:rsidRDefault="0046350E">
          <w:pPr>
            <w:pStyle w:val="TOC3"/>
            <w:tabs>
              <w:tab w:val="right" w:leader="dot" w:pos="9016"/>
            </w:tabs>
            <w:rPr>
              <w:rFonts w:eastAsiaTheme="minorEastAsia"/>
              <w:noProof/>
              <w:lang w:eastAsia="en-GB"/>
            </w:rPr>
          </w:pPr>
          <w:hyperlink w:anchor="_Toc39585224" w:history="1">
            <w:r w:rsidR="00BE2C1D" w:rsidRPr="000A518F">
              <w:rPr>
                <w:rStyle w:val="Hyperlink"/>
                <w:rFonts w:asciiTheme="majorHAnsi" w:eastAsiaTheme="majorEastAsia" w:hAnsiTheme="majorHAnsi" w:cstheme="majorBidi"/>
                <w:noProof/>
                <w:lang w:eastAsia="zh-CN"/>
              </w:rPr>
              <w:t>Sampling Criteria</w:t>
            </w:r>
            <w:r w:rsidR="00BE2C1D">
              <w:rPr>
                <w:noProof/>
                <w:webHidden/>
              </w:rPr>
              <w:tab/>
            </w:r>
            <w:r w:rsidR="00BE2C1D">
              <w:rPr>
                <w:noProof/>
                <w:webHidden/>
              </w:rPr>
              <w:fldChar w:fldCharType="begin"/>
            </w:r>
            <w:r w:rsidR="00BE2C1D">
              <w:rPr>
                <w:noProof/>
                <w:webHidden/>
              </w:rPr>
              <w:instrText xml:space="preserve"> PAGEREF _Toc39585224 \h </w:instrText>
            </w:r>
            <w:r w:rsidR="00BE2C1D">
              <w:rPr>
                <w:noProof/>
                <w:webHidden/>
              </w:rPr>
            </w:r>
            <w:r w:rsidR="00BE2C1D">
              <w:rPr>
                <w:noProof/>
                <w:webHidden/>
              </w:rPr>
              <w:fldChar w:fldCharType="separate"/>
            </w:r>
            <w:r w:rsidR="00606298">
              <w:rPr>
                <w:noProof/>
                <w:webHidden/>
              </w:rPr>
              <w:t>54</w:t>
            </w:r>
            <w:r w:rsidR="00BE2C1D">
              <w:rPr>
                <w:noProof/>
                <w:webHidden/>
              </w:rPr>
              <w:fldChar w:fldCharType="end"/>
            </w:r>
          </w:hyperlink>
        </w:p>
        <w:p w14:paraId="7A01538C" w14:textId="2C2E4912" w:rsidR="00BE2C1D" w:rsidRDefault="0046350E">
          <w:pPr>
            <w:pStyle w:val="TOC3"/>
            <w:tabs>
              <w:tab w:val="right" w:leader="dot" w:pos="9016"/>
            </w:tabs>
            <w:rPr>
              <w:rFonts w:eastAsiaTheme="minorEastAsia"/>
              <w:noProof/>
              <w:lang w:eastAsia="en-GB"/>
            </w:rPr>
          </w:pPr>
          <w:hyperlink w:anchor="_Toc39585225" w:history="1">
            <w:r w:rsidR="00BE2C1D" w:rsidRPr="000A518F">
              <w:rPr>
                <w:rStyle w:val="Hyperlink"/>
                <w:rFonts w:asciiTheme="majorHAnsi" w:eastAsiaTheme="majorEastAsia" w:hAnsiTheme="majorHAnsi" w:cstheme="majorBidi"/>
                <w:noProof/>
                <w:lang w:eastAsia="zh-CN"/>
              </w:rPr>
              <w:t>Access and Recruitment</w:t>
            </w:r>
            <w:r w:rsidR="00BE2C1D">
              <w:rPr>
                <w:noProof/>
                <w:webHidden/>
              </w:rPr>
              <w:tab/>
            </w:r>
            <w:r w:rsidR="00BE2C1D">
              <w:rPr>
                <w:noProof/>
                <w:webHidden/>
              </w:rPr>
              <w:fldChar w:fldCharType="begin"/>
            </w:r>
            <w:r w:rsidR="00BE2C1D">
              <w:rPr>
                <w:noProof/>
                <w:webHidden/>
              </w:rPr>
              <w:instrText xml:space="preserve"> PAGEREF _Toc39585225 \h </w:instrText>
            </w:r>
            <w:r w:rsidR="00BE2C1D">
              <w:rPr>
                <w:noProof/>
                <w:webHidden/>
              </w:rPr>
            </w:r>
            <w:r w:rsidR="00BE2C1D">
              <w:rPr>
                <w:noProof/>
                <w:webHidden/>
              </w:rPr>
              <w:fldChar w:fldCharType="separate"/>
            </w:r>
            <w:r w:rsidR="00606298">
              <w:rPr>
                <w:noProof/>
                <w:webHidden/>
              </w:rPr>
              <w:t>56</w:t>
            </w:r>
            <w:r w:rsidR="00BE2C1D">
              <w:rPr>
                <w:noProof/>
                <w:webHidden/>
              </w:rPr>
              <w:fldChar w:fldCharType="end"/>
            </w:r>
          </w:hyperlink>
        </w:p>
        <w:p w14:paraId="1FEF2E47" w14:textId="20E93FE6" w:rsidR="00BE2C1D" w:rsidRDefault="0046350E">
          <w:pPr>
            <w:pStyle w:val="TOC3"/>
            <w:tabs>
              <w:tab w:val="right" w:leader="dot" w:pos="9016"/>
            </w:tabs>
            <w:rPr>
              <w:rFonts w:eastAsiaTheme="minorEastAsia"/>
              <w:noProof/>
              <w:lang w:eastAsia="en-GB"/>
            </w:rPr>
          </w:pPr>
          <w:hyperlink w:anchor="_Toc39585226" w:history="1">
            <w:r w:rsidR="00BE2C1D" w:rsidRPr="000A518F">
              <w:rPr>
                <w:rStyle w:val="Hyperlink"/>
                <w:rFonts w:asciiTheme="majorHAnsi" w:eastAsiaTheme="majorEastAsia" w:hAnsiTheme="majorHAnsi" w:cstheme="majorBidi"/>
                <w:noProof/>
                <w:lang w:eastAsia="zh-CN"/>
              </w:rPr>
              <w:t>Participants’ Demographics</w:t>
            </w:r>
            <w:r w:rsidR="00BE2C1D">
              <w:rPr>
                <w:noProof/>
                <w:webHidden/>
              </w:rPr>
              <w:tab/>
            </w:r>
            <w:r w:rsidR="00BE2C1D">
              <w:rPr>
                <w:noProof/>
                <w:webHidden/>
              </w:rPr>
              <w:fldChar w:fldCharType="begin"/>
            </w:r>
            <w:r w:rsidR="00BE2C1D">
              <w:rPr>
                <w:noProof/>
                <w:webHidden/>
              </w:rPr>
              <w:instrText xml:space="preserve"> PAGEREF _Toc39585226 \h </w:instrText>
            </w:r>
            <w:r w:rsidR="00BE2C1D">
              <w:rPr>
                <w:noProof/>
                <w:webHidden/>
              </w:rPr>
            </w:r>
            <w:r w:rsidR="00BE2C1D">
              <w:rPr>
                <w:noProof/>
                <w:webHidden/>
              </w:rPr>
              <w:fldChar w:fldCharType="separate"/>
            </w:r>
            <w:r w:rsidR="00606298">
              <w:rPr>
                <w:noProof/>
                <w:webHidden/>
              </w:rPr>
              <w:t>59</w:t>
            </w:r>
            <w:r w:rsidR="00BE2C1D">
              <w:rPr>
                <w:noProof/>
                <w:webHidden/>
              </w:rPr>
              <w:fldChar w:fldCharType="end"/>
            </w:r>
          </w:hyperlink>
        </w:p>
        <w:p w14:paraId="35CF1C8E" w14:textId="04619069" w:rsidR="00BE2C1D" w:rsidRDefault="0046350E">
          <w:pPr>
            <w:pStyle w:val="TOC2"/>
            <w:tabs>
              <w:tab w:val="right" w:leader="dot" w:pos="9016"/>
            </w:tabs>
            <w:rPr>
              <w:rFonts w:eastAsiaTheme="minorEastAsia"/>
              <w:noProof/>
              <w:lang w:eastAsia="en-GB"/>
            </w:rPr>
          </w:pPr>
          <w:hyperlink w:anchor="_Toc39585227" w:history="1">
            <w:r w:rsidR="00BE2C1D" w:rsidRPr="000A518F">
              <w:rPr>
                <w:rStyle w:val="Hyperlink"/>
                <w:rFonts w:asciiTheme="majorHAnsi" w:eastAsiaTheme="majorEastAsia" w:hAnsiTheme="majorHAnsi" w:cstheme="majorBidi"/>
                <w:noProof/>
                <w:lang w:eastAsia="zh-CN"/>
              </w:rPr>
              <w:t>Methods</w:t>
            </w:r>
            <w:r w:rsidR="00BE2C1D">
              <w:rPr>
                <w:noProof/>
                <w:webHidden/>
              </w:rPr>
              <w:tab/>
            </w:r>
            <w:r w:rsidR="00BE2C1D">
              <w:rPr>
                <w:noProof/>
                <w:webHidden/>
              </w:rPr>
              <w:fldChar w:fldCharType="begin"/>
            </w:r>
            <w:r w:rsidR="00BE2C1D">
              <w:rPr>
                <w:noProof/>
                <w:webHidden/>
              </w:rPr>
              <w:instrText xml:space="preserve"> PAGEREF _Toc39585227 \h </w:instrText>
            </w:r>
            <w:r w:rsidR="00BE2C1D">
              <w:rPr>
                <w:noProof/>
                <w:webHidden/>
              </w:rPr>
            </w:r>
            <w:r w:rsidR="00BE2C1D">
              <w:rPr>
                <w:noProof/>
                <w:webHidden/>
              </w:rPr>
              <w:fldChar w:fldCharType="separate"/>
            </w:r>
            <w:r w:rsidR="00606298">
              <w:rPr>
                <w:noProof/>
                <w:webHidden/>
              </w:rPr>
              <w:t>62</w:t>
            </w:r>
            <w:r w:rsidR="00BE2C1D">
              <w:rPr>
                <w:noProof/>
                <w:webHidden/>
              </w:rPr>
              <w:fldChar w:fldCharType="end"/>
            </w:r>
          </w:hyperlink>
        </w:p>
        <w:p w14:paraId="6587475B" w14:textId="07FCBAEE" w:rsidR="00BE2C1D" w:rsidRDefault="0046350E">
          <w:pPr>
            <w:pStyle w:val="TOC3"/>
            <w:tabs>
              <w:tab w:val="right" w:leader="dot" w:pos="9016"/>
            </w:tabs>
            <w:rPr>
              <w:rFonts w:eastAsiaTheme="minorEastAsia"/>
              <w:noProof/>
              <w:lang w:eastAsia="en-GB"/>
            </w:rPr>
          </w:pPr>
          <w:hyperlink w:anchor="_Toc39585228" w:history="1">
            <w:r w:rsidR="00BE2C1D" w:rsidRPr="000A518F">
              <w:rPr>
                <w:rStyle w:val="Hyperlink"/>
                <w:rFonts w:asciiTheme="majorHAnsi" w:eastAsiaTheme="majorEastAsia" w:hAnsiTheme="majorHAnsi" w:cstheme="majorBidi"/>
                <w:noProof/>
                <w:lang w:eastAsia="zh-CN"/>
              </w:rPr>
              <w:t>Narrative Inquiry with Teenage Participants</w:t>
            </w:r>
            <w:r w:rsidR="00BE2C1D">
              <w:rPr>
                <w:noProof/>
                <w:webHidden/>
              </w:rPr>
              <w:tab/>
            </w:r>
            <w:r w:rsidR="00BE2C1D">
              <w:rPr>
                <w:noProof/>
                <w:webHidden/>
              </w:rPr>
              <w:fldChar w:fldCharType="begin"/>
            </w:r>
            <w:r w:rsidR="00BE2C1D">
              <w:rPr>
                <w:noProof/>
                <w:webHidden/>
              </w:rPr>
              <w:instrText xml:space="preserve"> PAGEREF _Toc39585228 \h </w:instrText>
            </w:r>
            <w:r w:rsidR="00BE2C1D">
              <w:rPr>
                <w:noProof/>
                <w:webHidden/>
              </w:rPr>
            </w:r>
            <w:r w:rsidR="00BE2C1D">
              <w:rPr>
                <w:noProof/>
                <w:webHidden/>
              </w:rPr>
              <w:fldChar w:fldCharType="separate"/>
            </w:r>
            <w:r w:rsidR="00606298">
              <w:rPr>
                <w:noProof/>
                <w:webHidden/>
              </w:rPr>
              <w:t>64</w:t>
            </w:r>
            <w:r w:rsidR="00BE2C1D">
              <w:rPr>
                <w:noProof/>
                <w:webHidden/>
              </w:rPr>
              <w:fldChar w:fldCharType="end"/>
            </w:r>
          </w:hyperlink>
        </w:p>
        <w:p w14:paraId="11C94ABF" w14:textId="621F2748" w:rsidR="00BE2C1D" w:rsidRDefault="0046350E">
          <w:pPr>
            <w:pStyle w:val="TOC3"/>
            <w:tabs>
              <w:tab w:val="right" w:leader="dot" w:pos="9016"/>
            </w:tabs>
            <w:rPr>
              <w:rFonts w:eastAsiaTheme="minorEastAsia"/>
              <w:noProof/>
              <w:lang w:eastAsia="en-GB"/>
            </w:rPr>
          </w:pPr>
          <w:hyperlink w:anchor="_Toc39585229" w:history="1">
            <w:r w:rsidR="00BE2C1D" w:rsidRPr="000A518F">
              <w:rPr>
                <w:rStyle w:val="Hyperlink"/>
                <w:rFonts w:asciiTheme="majorHAnsi" w:eastAsiaTheme="majorEastAsia" w:hAnsiTheme="majorHAnsi" w:cstheme="majorBidi"/>
                <w:noProof/>
                <w:lang w:eastAsia="zh-CN"/>
              </w:rPr>
              <w:t>Narrative Inquiry with Young Adult Participants</w:t>
            </w:r>
            <w:r w:rsidR="00BE2C1D">
              <w:rPr>
                <w:noProof/>
                <w:webHidden/>
              </w:rPr>
              <w:tab/>
            </w:r>
            <w:r w:rsidR="00BE2C1D">
              <w:rPr>
                <w:noProof/>
                <w:webHidden/>
              </w:rPr>
              <w:fldChar w:fldCharType="begin"/>
            </w:r>
            <w:r w:rsidR="00BE2C1D">
              <w:rPr>
                <w:noProof/>
                <w:webHidden/>
              </w:rPr>
              <w:instrText xml:space="preserve"> PAGEREF _Toc39585229 \h </w:instrText>
            </w:r>
            <w:r w:rsidR="00BE2C1D">
              <w:rPr>
                <w:noProof/>
                <w:webHidden/>
              </w:rPr>
            </w:r>
            <w:r w:rsidR="00BE2C1D">
              <w:rPr>
                <w:noProof/>
                <w:webHidden/>
              </w:rPr>
              <w:fldChar w:fldCharType="separate"/>
            </w:r>
            <w:r w:rsidR="00606298">
              <w:rPr>
                <w:noProof/>
                <w:webHidden/>
              </w:rPr>
              <w:t>68</w:t>
            </w:r>
            <w:r w:rsidR="00BE2C1D">
              <w:rPr>
                <w:noProof/>
                <w:webHidden/>
              </w:rPr>
              <w:fldChar w:fldCharType="end"/>
            </w:r>
          </w:hyperlink>
        </w:p>
        <w:p w14:paraId="72454F4F" w14:textId="1A6D5BE4" w:rsidR="00BE2C1D" w:rsidRDefault="0046350E">
          <w:pPr>
            <w:pStyle w:val="TOC2"/>
            <w:tabs>
              <w:tab w:val="right" w:leader="dot" w:pos="9016"/>
            </w:tabs>
            <w:rPr>
              <w:rFonts w:eastAsiaTheme="minorEastAsia"/>
              <w:noProof/>
              <w:lang w:eastAsia="en-GB"/>
            </w:rPr>
          </w:pPr>
          <w:hyperlink w:anchor="_Toc39585230" w:history="1">
            <w:r w:rsidR="00BE2C1D" w:rsidRPr="000A518F">
              <w:rPr>
                <w:rStyle w:val="Hyperlink"/>
                <w:rFonts w:asciiTheme="majorHAnsi" w:eastAsiaTheme="majorEastAsia" w:hAnsiTheme="majorHAnsi" w:cstheme="majorBidi"/>
                <w:noProof/>
                <w:lang w:eastAsia="zh-CN"/>
              </w:rPr>
              <w:t>Methodology: Doing Narrative Research</w:t>
            </w:r>
            <w:r w:rsidR="00BE2C1D">
              <w:rPr>
                <w:noProof/>
                <w:webHidden/>
              </w:rPr>
              <w:tab/>
            </w:r>
            <w:r w:rsidR="00BE2C1D">
              <w:rPr>
                <w:noProof/>
                <w:webHidden/>
              </w:rPr>
              <w:fldChar w:fldCharType="begin"/>
            </w:r>
            <w:r w:rsidR="00BE2C1D">
              <w:rPr>
                <w:noProof/>
                <w:webHidden/>
              </w:rPr>
              <w:instrText xml:space="preserve"> PAGEREF _Toc39585230 \h </w:instrText>
            </w:r>
            <w:r w:rsidR="00BE2C1D">
              <w:rPr>
                <w:noProof/>
                <w:webHidden/>
              </w:rPr>
            </w:r>
            <w:r w:rsidR="00BE2C1D">
              <w:rPr>
                <w:noProof/>
                <w:webHidden/>
              </w:rPr>
              <w:fldChar w:fldCharType="separate"/>
            </w:r>
            <w:r w:rsidR="00606298">
              <w:rPr>
                <w:noProof/>
                <w:webHidden/>
              </w:rPr>
              <w:t>69</w:t>
            </w:r>
            <w:r w:rsidR="00BE2C1D">
              <w:rPr>
                <w:noProof/>
                <w:webHidden/>
              </w:rPr>
              <w:fldChar w:fldCharType="end"/>
            </w:r>
          </w:hyperlink>
        </w:p>
        <w:p w14:paraId="6800864E" w14:textId="62B07536" w:rsidR="00BE2C1D" w:rsidRDefault="0046350E">
          <w:pPr>
            <w:pStyle w:val="TOC3"/>
            <w:tabs>
              <w:tab w:val="right" w:leader="dot" w:pos="9016"/>
            </w:tabs>
            <w:rPr>
              <w:rFonts w:eastAsiaTheme="minorEastAsia"/>
              <w:noProof/>
              <w:lang w:eastAsia="en-GB"/>
            </w:rPr>
          </w:pPr>
          <w:hyperlink w:anchor="_Toc39585231" w:history="1">
            <w:r w:rsidR="00BE2C1D" w:rsidRPr="000A518F">
              <w:rPr>
                <w:rStyle w:val="Hyperlink"/>
                <w:rFonts w:asciiTheme="majorHAnsi" w:eastAsiaTheme="majorEastAsia" w:hAnsiTheme="majorHAnsi" w:cstheme="majorBidi"/>
                <w:noProof/>
                <w:lang w:eastAsia="zh-CN"/>
              </w:rPr>
              <w:t>Defining Stories and Experience</w:t>
            </w:r>
            <w:r w:rsidR="00BE2C1D">
              <w:rPr>
                <w:noProof/>
                <w:webHidden/>
              </w:rPr>
              <w:tab/>
            </w:r>
            <w:r w:rsidR="00BE2C1D">
              <w:rPr>
                <w:noProof/>
                <w:webHidden/>
              </w:rPr>
              <w:fldChar w:fldCharType="begin"/>
            </w:r>
            <w:r w:rsidR="00BE2C1D">
              <w:rPr>
                <w:noProof/>
                <w:webHidden/>
              </w:rPr>
              <w:instrText xml:space="preserve"> PAGEREF _Toc39585231 \h </w:instrText>
            </w:r>
            <w:r w:rsidR="00BE2C1D">
              <w:rPr>
                <w:noProof/>
                <w:webHidden/>
              </w:rPr>
            </w:r>
            <w:r w:rsidR="00BE2C1D">
              <w:rPr>
                <w:noProof/>
                <w:webHidden/>
              </w:rPr>
              <w:fldChar w:fldCharType="separate"/>
            </w:r>
            <w:r w:rsidR="00606298">
              <w:rPr>
                <w:noProof/>
                <w:webHidden/>
              </w:rPr>
              <w:t>70</w:t>
            </w:r>
            <w:r w:rsidR="00BE2C1D">
              <w:rPr>
                <w:noProof/>
                <w:webHidden/>
              </w:rPr>
              <w:fldChar w:fldCharType="end"/>
            </w:r>
          </w:hyperlink>
        </w:p>
        <w:p w14:paraId="772D3ADF" w14:textId="4E1D0E0A" w:rsidR="00BE2C1D" w:rsidRDefault="0046350E">
          <w:pPr>
            <w:pStyle w:val="TOC3"/>
            <w:tabs>
              <w:tab w:val="right" w:leader="dot" w:pos="9016"/>
            </w:tabs>
            <w:rPr>
              <w:rFonts w:eastAsiaTheme="minorEastAsia"/>
              <w:noProof/>
              <w:lang w:eastAsia="en-GB"/>
            </w:rPr>
          </w:pPr>
          <w:hyperlink w:anchor="_Toc39585232" w:history="1">
            <w:r w:rsidR="00BE2C1D" w:rsidRPr="000A518F">
              <w:rPr>
                <w:rStyle w:val="Hyperlink"/>
                <w:rFonts w:asciiTheme="majorHAnsi" w:eastAsiaTheme="majorEastAsia" w:hAnsiTheme="majorHAnsi" w:cstheme="majorBidi"/>
                <w:noProof/>
              </w:rPr>
              <w:t>Feminist Poststructuralist Narrative Inquiry</w:t>
            </w:r>
            <w:r w:rsidR="00BE2C1D">
              <w:rPr>
                <w:noProof/>
                <w:webHidden/>
              </w:rPr>
              <w:tab/>
            </w:r>
            <w:r w:rsidR="00BE2C1D">
              <w:rPr>
                <w:noProof/>
                <w:webHidden/>
              </w:rPr>
              <w:fldChar w:fldCharType="begin"/>
            </w:r>
            <w:r w:rsidR="00BE2C1D">
              <w:rPr>
                <w:noProof/>
                <w:webHidden/>
              </w:rPr>
              <w:instrText xml:space="preserve"> PAGEREF _Toc39585232 \h </w:instrText>
            </w:r>
            <w:r w:rsidR="00BE2C1D">
              <w:rPr>
                <w:noProof/>
                <w:webHidden/>
              </w:rPr>
            </w:r>
            <w:r w:rsidR="00BE2C1D">
              <w:rPr>
                <w:noProof/>
                <w:webHidden/>
              </w:rPr>
              <w:fldChar w:fldCharType="separate"/>
            </w:r>
            <w:r w:rsidR="00606298">
              <w:rPr>
                <w:noProof/>
                <w:webHidden/>
              </w:rPr>
              <w:t>73</w:t>
            </w:r>
            <w:r w:rsidR="00BE2C1D">
              <w:rPr>
                <w:noProof/>
                <w:webHidden/>
              </w:rPr>
              <w:fldChar w:fldCharType="end"/>
            </w:r>
          </w:hyperlink>
        </w:p>
        <w:p w14:paraId="1D38635E" w14:textId="31A0CE50" w:rsidR="00BE2C1D" w:rsidRDefault="0046350E">
          <w:pPr>
            <w:pStyle w:val="TOC3"/>
            <w:tabs>
              <w:tab w:val="right" w:leader="dot" w:pos="9016"/>
            </w:tabs>
            <w:rPr>
              <w:rFonts w:eastAsiaTheme="minorEastAsia"/>
              <w:noProof/>
              <w:lang w:eastAsia="en-GB"/>
            </w:rPr>
          </w:pPr>
          <w:hyperlink w:anchor="_Toc39585233" w:history="1">
            <w:r w:rsidR="00BE2C1D" w:rsidRPr="000A518F">
              <w:rPr>
                <w:rStyle w:val="Hyperlink"/>
                <w:rFonts w:asciiTheme="majorHAnsi" w:eastAsiaTheme="majorEastAsia" w:hAnsiTheme="majorHAnsi" w:cstheme="majorBidi"/>
                <w:noProof/>
                <w:lang w:val="en-US" w:eastAsia="zh-CN"/>
              </w:rPr>
              <w:t>Narrative Inquiry</w:t>
            </w:r>
            <w:r w:rsidR="00BE2C1D" w:rsidRPr="000A518F">
              <w:rPr>
                <w:rStyle w:val="Hyperlink"/>
                <w:rFonts w:asciiTheme="majorHAnsi" w:eastAsiaTheme="majorEastAsia" w:hAnsiTheme="majorHAnsi" w:cstheme="majorBidi"/>
                <w:noProof/>
                <w:lang w:eastAsia="zh-CN"/>
              </w:rPr>
              <w:t xml:space="preserve"> in Critical Disability Studies (CDS) and Disabled Children’s Childhood Studies (DCCS)</w:t>
            </w:r>
            <w:r w:rsidR="00BE2C1D">
              <w:rPr>
                <w:noProof/>
                <w:webHidden/>
              </w:rPr>
              <w:tab/>
            </w:r>
            <w:r w:rsidR="00BE2C1D">
              <w:rPr>
                <w:noProof/>
                <w:webHidden/>
              </w:rPr>
              <w:fldChar w:fldCharType="begin"/>
            </w:r>
            <w:r w:rsidR="00BE2C1D">
              <w:rPr>
                <w:noProof/>
                <w:webHidden/>
              </w:rPr>
              <w:instrText xml:space="preserve"> PAGEREF _Toc39585233 \h </w:instrText>
            </w:r>
            <w:r w:rsidR="00BE2C1D">
              <w:rPr>
                <w:noProof/>
                <w:webHidden/>
              </w:rPr>
            </w:r>
            <w:r w:rsidR="00BE2C1D">
              <w:rPr>
                <w:noProof/>
                <w:webHidden/>
              </w:rPr>
              <w:fldChar w:fldCharType="separate"/>
            </w:r>
            <w:r w:rsidR="00606298">
              <w:rPr>
                <w:noProof/>
                <w:webHidden/>
              </w:rPr>
              <w:t>75</w:t>
            </w:r>
            <w:r w:rsidR="00BE2C1D">
              <w:rPr>
                <w:noProof/>
                <w:webHidden/>
              </w:rPr>
              <w:fldChar w:fldCharType="end"/>
            </w:r>
          </w:hyperlink>
        </w:p>
        <w:p w14:paraId="1748C56C" w14:textId="2A138460" w:rsidR="00BE2C1D" w:rsidRDefault="0046350E">
          <w:pPr>
            <w:pStyle w:val="TOC2"/>
            <w:tabs>
              <w:tab w:val="right" w:leader="dot" w:pos="9016"/>
            </w:tabs>
            <w:rPr>
              <w:rFonts w:eastAsiaTheme="minorEastAsia"/>
              <w:noProof/>
              <w:lang w:eastAsia="en-GB"/>
            </w:rPr>
          </w:pPr>
          <w:hyperlink w:anchor="_Toc39585234" w:history="1">
            <w:r w:rsidR="00BE2C1D" w:rsidRPr="000A518F">
              <w:rPr>
                <w:rStyle w:val="Hyperlink"/>
                <w:rFonts w:asciiTheme="majorHAnsi" w:eastAsiaTheme="majorEastAsia" w:hAnsiTheme="majorHAnsi" w:cstheme="majorBidi"/>
                <w:noProof/>
                <w:lang w:eastAsia="zh-CN"/>
              </w:rPr>
              <w:t>Method of Analysis</w:t>
            </w:r>
            <w:r w:rsidR="00BE2C1D">
              <w:rPr>
                <w:noProof/>
                <w:webHidden/>
              </w:rPr>
              <w:tab/>
            </w:r>
            <w:r w:rsidR="00BE2C1D">
              <w:rPr>
                <w:noProof/>
                <w:webHidden/>
              </w:rPr>
              <w:fldChar w:fldCharType="begin"/>
            </w:r>
            <w:r w:rsidR="00BE2C1D">
              <w:rPr>
                <w:noProof/>
                <w:webHidden/>
              </w:rPr>
              <w:instrText xml:space="preserve"> PAGEREF _Toc39585234 \h </w:instrText>
            </w:r>
            <w:r w:rsidR="00BE2C1D">
              <w:rPr>
                <w:noProof/>
                <w:webHidden/>
              </w:rPr>
            </w:r>
            <w:r w:rsidR="00BE2C1D">
              <w:rPr>
                <w:noProof/>
                <w:webHidden/>
              </w:rPr>
              <w:fldChar w:fldCharType="separate"/>
            </w:r>
            <w:r w:rsidR="00606298">
              <w:rPr>
                <w:noProof/>
                <w:webHidden/>
              </w:rPr>
              <w:t>77</w:t>
            </w:r>
            <w:r w:rsidR="00BE2C1D">
              <w:rPr>
                <w:noProof/>
                <w:webHidden/>
              </w:rPr>
              <w:fldChar w:fldCharType="end"/>
            </w:r>
          </w:hyperlink>
        </w:p>
        <w:p w14:paraId="5DCA8385" w14:textId="59FF802A" w:rsidR="00BE2C1D" w:rsidRDefault="0046350E">
          <w:pPr>
            <w:pStyle w:val="TOC2"/>
            <w:tabs>
              <w:tab w:val="right" w:leader="dot" w:pos="9016"/>
            </w:tabs>
            <w:rPr>
              <w:rFonts w:eastAsiaTheme="minorEastAsia"/>
              <w:noProof/>
              <w:lang w:eastAsia="en-GB"/>
            </w:rPr>
          </w:pPr>
          <w:hyperlink w:anchor="_Toc39585235" w:history="1">
            <w:r w:rsidR="00BE2C1D" w:rsidRPr="000A518F">
              <w:rPr>
                <w:rStyle w:val="Hyperlink"/>
                <w:rFonts w:asciiTheme="majorHAnsi" w:eastAsiaTheme="majorEastAsia" w:hAnsiTheme="majorHAnsi" w:cstheme="majorBidi"/>
                <w:noProof/>
                <w:lang w:eastAsia="zh-CN"/>
              </w:rPr>
              <w:t>Ethical Considerations</w:t>
            </w:r>
            <w:r w:rsidR="00BE2C1D">
              <w:rPr>
                <w:noProof/>
                <w:webHidden/>
              </w:rPr>
              <w:tab/>
            </w:r>
            <w:r w:rsidR="00BE2C1D">
              <w:rPr>
                <w:noProof/>
                <w:webHidden/>
              </w:rPr>
              <w:fldChar w:fldCharType="begin"/>
            </w:r>
            <w:r w:rsidR="00BE2C1D">
              <w:rPr>
                <w:noProof/>
                <w:webHidden/>
              </w:rPr>
              <w:instrText xml:space="preserve"> PAGEREF _Toc39585235 \h </w:instrText>
            </w:r>
            <w:r w:rsidR="00BE2C1D">
              <w:rPr>
                <w:noProof/>
                <w:webHidden/>
              </w:rPr>
            </w:r>
            <w:r w:rsidR="00BE2C1D">
              <w:rPr>
                <w:noProof/>
                <w:webHidden/>
              </w:rPr>
              <w:fldChar w:fldCharType="separate"/>
            </w:r>
            <w:r w:rsidR="00606298">
              <w:rPr>
                <w:noProof/>
                <w:webHidden/>
              </w:rPr>
              <w:t>79</w:t>
            </w:r>
            <w:r w:rsidR="00BE2C1D">
              <w:rPr>
                <w:noProof/>
                <w:webHidden/>
              </w:rPr>
              <w:fldChar w:fldCharType="end"/>
            </w:r>
          </w:hyperlink>
        </w:p>
        <w:p w14:paraId="3D246380" w14:textId="6BCE40B2" w:rsidR="00BE2C1D" w:rsidRDefault="0046350E">
          <w:pPr>
            <w:pStyle w:val="TOC2"/>
            <w:tabs>
              <w:tab w:val="right" w:leader="dot" w:pos="9016"/>
            </w:tabs>
            <w:rPr>
              <w:rFonts w:eastAsiaTheme="minorEastAsia"/>
              <w:noProof/>
              <w:lang w:eastAsia="en-GB"/>
            </w:rPr>
          </w:pPr>
          <w:hyperlink w:anchor="_Toc39585236" w:history="1">
            <w:r w:rsidR="00BE2C1D" w:rsidRPr="000A518F">
              <w:rPr>
                <w:rStyle w:val="Hyperlink"/>
                <w:rFonts w:asciiTheme="majorHAnsi" w:eastAsiaTheme="majorEastAsia" w:hAnsiTheme="majorHAnsi" w:cstheme="majorBidi"/>
                <w:noProof/>
                <w:lang w:eastAsia="zh-CN"/>
              </w:rPr>
              <w:t>Reflexivities of Discomfort: The Messy Stories</w:t>
            </w:r>
            <w:r w:rsidR="00BE2C1D">
              <w:rPr>
                <w:noProof/>
                <w:webHidden/>
              </w:rPr>
              <w:tab/>
            </w:r>
            <w:r w:rsidR="00BE2C1D">
              <w:rPr>
                <w:noProof/>
                <w:webHidden/>
              </w:rPr>
              <w:fldChar w:fldCharType="begin"/>
            </w:r>
            <w:r w:rsidR="00BE2C1D">
              <w:rPr>
                <w:noProof/>
                <w:webHidden/>
              </w:rPr>
              <w:instrText xml:space="preserve"> PAGEREF _Toc39585236 \h </w:instrText>
            </w:r>
            <w:r w:rsidR="00BE2C1D">
              <w:rPr>
                <w:noProof/>
                <w:webHidden/>
              </w:rPr>
            </w:r>
            <w:r w:rsidR="00BE2C1D">
              <w:rPr>
                <w:noProof/>
                <w:webHidden/>
              </w:rPr>
              <w:fldChar w:fldCharType="separate"/>
            </w:r>
            <w:r w:rsidR="00606298">
              <w:rPr>
                <w:noProof/>
                <w:webHidden/>
              </w:rPr>
              <w:t>82</w:t>
            </w:r>
            <w:r w:rsidR="00BE2C1D">
              <w:rPr>
                <w:noProof/>
                <w:webHidden/>
              </w:rPr>
              <w:fldChar w:fldCharType="end"/>
            </w:r>
          </w:hyperlink>
        </w:p>
        <w:p w14:paraId="380A0BB4" w14:textId="2D8AD712" w:rsidR="00BE2C1D" w:rsidRDefault="0046350E">
          <w:pPr>
            <w:pStyle w:val="TOC3"/>
            <w:tabs>
              <w:tab w:val="right" w:leader="dot" w:pos="9016"/>
            </w:tabs>
            <w:rPr>
              <w:rFonts w:eastAsiaTheme="minorEastAsia"/>
              <w:noProof/>
              <w:lang w:eastAsia="en-GB"/>
            </w:rPr>
          </w:pPr>
          <w:hyperlink w:anchor="_Toc39585237" w:history="1">
            <w:r w:rsidR="00BE2C1D" w:rsidRPr="000A518F">
              <w:rPr>
                <w:rStyle w:val="Hyperlink"/>
                <w:rFonts w:asciiTheme="majorHAnsi" w:eastAsiaTheme="majorEastAsia" w:hAnsiTheme="majorHAnsi" w:cstheme="majorBidi"/>
                <w:noProof/>
                <w:lang w:eastAsia="zh-CN"/>
              </w:rPr>
              <w:t>Gatekeeping as a Discursive Practice</w:t>
            </w:r>
            <w:r w:rsidR="00BE2C1D">
              <w:rPr>
                <w:noProof/>
                <w:webHidden/>
              </w:rPr>
              <w:tab/>
            </w:r>
            <w:r w:rsidR="00BE2C1D">
              <w:rPr>
                <w:noProof/>
                <w:webHidden/>
              </w:rPr>
              <w:fldChar w:fldCharType="begin"/>
            </w:r>
            <w:r w:rsidR="00BE2C1D">
              <w:rPr>
                <w:noProof/>
                <w:webHidden/>
              </w:rPr>
              <w:instrText xml:space="preserve"> PAGEREF _Toc39585237 \h </w:instrText>
            </w:r>
            <w:r w:rsidR="00BE2C1D">
              <w:rPr>
                <w:noProof/>
                <w:webHidden/>
              </w:rPr>
            </w:r>
            <w:r w:rsidR="00BE2C1D">
              <w:rPr>
                <w:noProof/>
                <w:webHidden/>
              </w:rPr>
              <w:fldChar w:fldCharType="separate"/>
            </w:r>
            <w:r w:rsidR="00606298">
              <w:rPr>
                <w:noProof/>
                <w:webHidden/>
              </w:rPr>
              <w:t>83</w:t>
            </w:r>
            <w:r w:rsidR="00BE2C1D">
              <w:rPr>
                <w:noProof/>
                <w:webHidden/>
              </w:rPr>
              <w:fldChar w:fldCharType="end"/>
            </w:r>
          </w:hyperlink>
        </w:p>
        <w:p w14:paraId="746FC8F0" w14:textId="24788970" w:rsidR="00BE2C1D" w:rsidRDefault="0046350E">
          <w:pPr>
            <w:pStyle w:val="TOC3"/>
            <w:tabs>
              <w:tab w:val="right" w:leader="dot" w:pos="9016"/>
            </w:tabs>
            <w:rPr>
              <w:rFonts w:eastAsiaTheme="minorEastAsia"/>
              <w:noProof/>
              <w:lang w:eastAsia="en-GB"/>
            </w:rPr>
          </w:pPr>
          <w:hyperlink w:anchor="_Toc39585238" w:history="1">
            <w:r w:rsidR="00BE2C1D" w:rsidRPr="000A518F">
              <w:rPr>
                <w:rStyle w:val="Hyperlink"/>
                <w:rFonts w:asciiTheme="majorHAnsi" w:eastAsiaTheme="majorEastAsia" w:hAnsiTheme="majorHAnsi" w:cstheme="majorBidi"/>
                <w:noProof/>
              </w:rPr>
              <w:t>Embodied Reflexivity and The Politics of The Field Encounters</w:t>
            </w:r>
            <w:r w:rsidR="00BE2C1D">
              <w:rPr>
                <w:noProof/>
                <w:webHidden/>
              </w:rPr>
              <w:tab/>
            </w:r>
            <w:r w:rsidR="00BE2C1D">
              <w:rPr>
                <w:noProof/>
                <w:webHidden/>
              </w:rPr>
              <w:fldChar w:fldCharType="begin"/>
            </w:r>
            <w:r w:rsidR="00BE2C1D">
              <w:rPr>
                <w:noProof/>
                <w:webHidden/>
              </w:rPr>
              <w:instrText xml:space="preserve"> PAGEREF _Toc39585238 \h </w:instrText>
            </w:r>
            <w:r w:rsidR="00BE2C1D">
              <w:rPr>
                <w:noProof/>
                <w:webHidden/>
              </w:rPr>
            </w:r>
            <w:r w:rsidR="00BE2C1D">
              <w:rPr>
                <w:noProof/>
                <w:webHidden/>
              </w:rPr>
              <w:fldChar w:fldCharType="separate"/>
            </w:r>
            <w:r w:rsidR="00606298">
              <w:rPr>
                <w:noProof/>
                <w:webHidden/>
              </w:rPr>
              <w:t>85</w:t>
            </w:r>
            <w:r w:rsidR="00BE2C1D">
              <w:rPr>
                <w:noProof/>
                <w:webHidden/>
              </w:rPr>
              <w:fldChar w:fldCharType="end"/>
            </w:r>
          </w:hyperlink>
        </w:p>
        <w:p w14:paraId="7F7C8323" w14:textId="6919F1D6" w:rsidR="00BE2C1D" w:rsidRDefault="0046350E">
          <w:pPr>
            <w:pStyle w:val="TOC3"/>
            <w:tabs>
              <w:tab w:val="right" w:leader="dot" w:pos="9016"/>
            </w:tabs>
            <w:rPr>
              <w:rFonts w:eastAsiaTheme="minorEastAsia"/>
              <w:noProof/>
              <w:lang w:eastAsia="en-GB"/>
            </w:rPr>
          </w:pPr>
          <w:hyperlink w:anchor="_Toc39585239" w:history="1">
            <w:r w:rsidR="00BE2C1D" w:rsidRPr="000A518F">
              <w:rPr>
                <w:rStyle w:val="Hyperlink"/>
                <w:rFonts w:asciiTheme="majorHAnsi" w:eastAsiaTheme="majorEastAsia" w:hAnsiTheme="majorHAnsi" w:cstheme="majorBidi"/>
                <w:noProof/>
              </w:rPr>
              <w:t>Feminist Ethics, Positionality and Analysis</w:t>
            </w:r>
            <w:r w:rsidR="00BE2C1D">
              <w:rPr>
                <w:noProof/>
                <w:webHidden/>
              </w:rPr>
              <w:tab/>
            </w:r>
            <w:r w:rsidR="00BE2C1D">
              <w:rPr>
                <w:noProof/>
                <w:webHidden/>
              </w:rPr>
              <w:fldChar w:fldCharType="begin"/>
            </w:r>
            <w:r w:rsidR="00BE2C1D">
              <w:rPr>
                <w:noProof/>
                <w:webHidden/>
              </w:rPr>
              <w:instrText xml:space="preserve"> PAGEREF _Toc39585239 \h </w:instrText>
            </w:r>
            <w:r w:rsidR="00BE2C1D">
              <w:rPr>
                <w:noProof/>
                <w:webHidden/>
              </w:rPr>
            </w:r>
            <w:r w:rsidR="00BE2C1D">
              <w:rPr>
                <w:noProof/>
                <w:webHidden/>
              </w:rPr>
              <w:fldChar w:fldCharType="separate"/>
            </w:r>
            <w:r w:rsidR="00606298">
              <w:rPr>
                <w:noProof/>
                <w:webHidden/>
              </w:rPr>
              <w:t>88</w:t>
            </w:r>
            <w:r w:rsidR="00BE2C1D">
              <w:rPr>
                <w:noProof/>
                <w:webHidden/>
              </w:rPr>
              <w:fldChar w:fldCharType="end"/>
            </w:r>
          </w:hyperlink>
        </w:p>
        <w:p w14:paraId="66BFE1E7" w14:textId="01013AC2" w:rsidR="00BE2C1D" w:rsidRDefault="0046350E">
          <w:pPr>
            <w:pStyle w:val="TOC2"/>
            <w:tabs>
              <w:tab w:val="right" w:leader="dot" w:pos="9016"/>
            </w:tabs>
            <w:rPr>
              <w:rFonts w:eastAsiaTheme="minorEastAsia"/>
              <w:noProof/>
              <w:lang w:eastAsia="en-GB"/>
            </w:rPr>
          </w:pPr>
          <w:hyperlink w:anchor="_Toc39585240" w:history="1">
            <w:r w:rsidR="00BE2C1D" w:rsidRPr="000A518F">
              <w:rPr>
                <w:rStyle w:val="Hyperlink"/>
                <w:rFonts w:asciiTheme="majorHAnsi" w:eastAsiaTheme="majorEastAsia" w:hAnsiTheme="majorHAnsi" w:cstheme="majorBidi"/>
                <w:noProof/>
                <w:lang w:eastAsia="zh-CN"/>
              </w:rPr>
              <w:t>Conclusions</w:t>
            </w:r>
            <w:r w:rsidR="00BE2C1D">
              <w:rPr>
                <w:noProof/>
                <w:webHidden/>
              </w:rPr>
              <w:tab/>
            </w:r>
            <w:r w:rsidR="00BE2C1D">
              <w:rPr>
                <w:noProof/>
                <w:webHidden/>
              </w:rPr>
              <w:fldChar w:fldCharType="begin"/>
            </w:r>
            <w:r w:rsidR="00BE2C1D">
              <w:rPr>
                <w:noProof/>
                <w:webHidden/>
              </w:rPr>
              <w:instrText xml:space="preserve"> PAGEREF _Toc39585240 \h </w:instrText>
            </w:r>
            <w:r w:rsidR="00BE2C1D">
              <w:rPr>
                <w:noProof/>
                <w:webHidden/>
              </w:rPr>
            </w:r>
            <w:r w:rsidR="00BE2C1D">
              <w:rPr>
                <w:noProof/>
                <w:webHidden/>
              </w:rPr>
              <w:fldChar w:fldCharType="separate"/>
            </w:r>
            <w:r w:rsidR="00606298">
              <w:rPr>
                <w:noProof/>
                <w:webHidden/>
              </w:rPr>
              <w:t>91</w:t>
            </w:r>
            <w:r w:rsidR="00BE2C1D">
              <w:rPr>
                <w:noProof/>
                <w:webHidden/>
              </w:rPr>
              <w:fldChar w:fldCharType="end"/>
            </w:r>
          </w:hyperlink>
        </w:p>
        <w:p w14:paraId="6A4A556C" w14:textId="73550D47" w:rsidR="00BE2C1D" w:rsidRDefault="0046350E">
          <w:pPr>
            <w:pStyle w:val="TOC1"/>
            <w:tabs>
              <w:tab w:val="right" w:leader="dot" w:pos="9016"/>
            </w:tabs>
            <w:rPr>
              <w:rFonts w:eastAsiaTheme="minorEastAsia"/>
              <w:noProof/>
              <w:lang w:eastAsia="en-GB"/>
            </w:rPr>
          </w:pPr>
          <w:hyperlink w:anchor="_Toc39585241" w:history="1">
            <w:r w:rsidR="00BE2C1D" w:rsidRPr="000A518F">
              <w:rPr>
                <w:rStyle w:val="Hyperlink"/>
                <w:rFonts w:asciiTheme="majorHAnsi" w:eastAsiaTheme="majorEastAsia" w:hAnsiTheme="majorHAnsi" w:cstheme="majorBidi"/>
                <w:noProof/>
                <w:lang w:eastAsia="zh-CN"/>
              </w:rPr>
              <w:t>Chapter 4: Navigating School Spaces: Disabled Young People’s Geographic Maturity</w:t>
            </w:r>
            <w:r w:rsidR="00BE2C1D">
              <w:rPr>
                <w:noProof/>
                <w:webHidden/>
              </w:rPr>
              <w:tab/>
            </w:r>
            <w:r w:rsidR="00BE2C1D">
              <w:rPr>
                <w:noProof/>
                <w:webHidden/>
              </w:rPr>
              <w:fldChar w:fldCharType="begin"/>
            </w:r>
            <w:r w:rsidR="00BE2C1D">
              <w:rPr>
                <w:noProof/>
                <w:webHidden/>
              </w:rPr>
              <w:instrText xml:space="preserve"> PAGEREF _Toc39585241 \h </w:instrText>
            </w:r>
            <w:r w:rsidR="00BE2C1D">
              <w:rPr>
                <w:noProof/>
                <w:webHidden/>
              </w:rPr>
            </w:r>
            <w:r w:rsidR="00BE2C1D">
              <w:rPr>
                <w:noProof/>
                <w:webHidden/>
              </w:rPr>
              <w:fldChar w:fldCharType="separate"/>
            </w:r>
            <w:r w:rsidR="00606298">
              <w:rPr>
                <w:noProof/>
                <w:webHidden/>
              </w:rPr>
              <w:t>93</w:t>
            </w:r>
            <w:r w:rsidR="00BE2C1D">
              <w:rPr>
                <w:noProof/>
                <w:webHidden/>
              </w:rPr>
              <w:fldChar w:fldCharType="end"/>
            </w:r>
          </w:hyperlink>
        </w:p>
        <w:p w14:paraId="40BC0FC3" w14:textId="4B91B01B" w:rsidR="00BE2C1D" w:rsidRDefault="0046350E">
          <w:pPr>
            <w:pStyle w:val="TOC2"/>
            <w:tabs>
              <w:tab w:val="right" w:leader="dot" w:pos="9016"/>
            </w:tabs>
            <w:rPr>
              <w:rFonts w:eastAsiaTheme="minorEastAsia"/>
              <w:noProof/>
              <w:lang w:eastAsia="en-GB"/>
            </w:rPr>
          </w:pPr>
          <w:hyperlink w:anchor="_Toc39585242" w:history="1">
            <w:r w:rsidR="00BE2C1D" w:rsidRPr="000A518F">
              <w:rPr>
                <w:rStyle w:val="Hyperlink"/>
                <w:rFonts w:asciiTheme="majorHAnsi" w:eastAsiaTheme="majorEastAsia" w:hAnsiTheme="majorHAnsi" w:cstheme="majorBidi"/>
                <w:noProof/>
                <w:lang w:eastAsia="zh-CN"/>
              </w:rPr>
              <w:t>Introduction</w:t>
            </w:r>
            <w:r w:rsidR="00BE2C1D">
              <w:rPr>
                <w:noProof/>
                <w:webHidden/>
              </w:rPr>
              <w:tab/>
            </w:r>
            <w:r w:rsidR="00BE2C1D">
              <w:rPr>
                <w:noProof/>
                <w:webHidden/>
              </w:rPr>
              <w:fldChar w:fldCharType="begin"/>
            </w:r>
            <w:r w:rsidR="00BE2C1D">
              <w:rPr>
                <w:noProof/>
                <w:webHidden/>
              </w:rPr>
              <w:instrText xml:space="preserve"> PAGEREF _Toc39585242 \h </w:instrText>
            </w:r>
            <w:r w:rsidR="00BE2C1D">
              <w:rPr>
                <w:noProof/>
                <w:webHidden/>
              </w:rPr>
            </w:r>
            <w:r w:rsidR="00BE2C1D">
              <w:rPr>
                <w:noProof/>
                <w:webHidden/>
              </w:rPr>
              <w:fldChar w:fldCharType="separate"/>
            </w:r>
            <w:r w:rsidR="00606298">
              <w:rPr>
                <w:noProof/>
                <w:webHidden/>
              </w:rPr>
              <w:t>93</w:t>
            </w:r>
            <w:r w:rsidR="00BE2C1D">
              <w:rPr>
                <w:noProof/>
                <w:webHidden/>
              </w:rPr>
              <w:fldChar w:fldCharType="end"/>
            </w:r>
          </w:hyperlink>
        </w:p>
        <w:p w14:paraId="09B58B87" w14:textId="65B70A75" w:rsidR="00BE2C1D" w:rsidRDefault="0046350E">
          <w:pPr>
            <w:pStyle w:val="TOC2"/>
            <w:tabs>
              <w:tab w:val="right" w:leader="dot" w:pos="9016"/>
            </w:tabs>
            <w:rPr>
              <w:rFonts w:eastAsiaTheme="minorEastAsia"/>
              <w:noProof/>
              <w:lang w:eastAsia="en-GB"/>
            </w:rPr>
          </w:pPr>
          <w:hyperlink w:anchor="_Toc39585243" w:history="1">
            <w:r w:rsidR="00BE2C1D" w:rsidRPr="000A518F">
              <w:rPr>
                <w:rStyle w:val="Hyperlink"/>
                <w:rFonts w:asciiTheme="majorHAnsi" w:eastAsiaTheme="majorEastAsia" w:hAnsiTheme="majorHAnsi" w:cstheme="majorBidi"/>
                <w:noProof/>
                <w:lang w:eastAsia="zh-CN"/>
              </w:rPr>
              <w:t>Disabled Young People’s Geographic Maturity</w:t>
            </w:r>
            <w:r w:rsidR="00BE2C1D">
              <w:rPr>
                <w:noProof/>
                <w:webHidden/>
              </w:rPr>
              <w:tab/>
            </w:r>
            <w:r w:rsidR="00BE2C1D">
              <w:rPr>
                <w:noProof/>
                <w:webHidden/>
              </w:rPr>
              <w:fldChar w:fldCharType="begin"/>
            </w:r>
            <w:r w:rsidR="00BE2C1D">
              <w:rPr>
                <w:noProof/>
                <w:webHidden/>
              </w:rPr>
              <w:instrText xml:space="preserve"> PAGEREF _Toc39585243 \h </w:instrText>
            </w:r>
            <w:r w:rsidR="00BE2C1D">
              <w:rPr>
                <w:noProof/>
                <w:webHidden/>
              </w:rPr>
            </w:r>
            <w:r w:rsidR="00BE2C1D">
              <w:rPr>
                <w:noProof/>
                <w:webHidden/>
              </w:rPr>
              <w:fldChar w:fldCharType="separate"/>
            </w:r>
            <w:r w:rsidR="00606298">
              <w:rPr>
                <w:noProof/>
                <w:webHidden/>
              </w:rPr>
              <w:t>94</w:t>
            </w:r>
            <w:r w:rsidR="00BE2C1D">
              <w:rPr>
                <w:noProof/>
                <w:webHidden/>
              </w:rPr>
              <w:fldChar w:fldCharType="end"/>
            </w:r>
          </w:hyperlink>
        </w:p>
        <w:p w14:paraId="14B66BCC" w14:textId="0227877C" w:rsidR="00BE2C1D" w:rsidRDefault="0046350E">
          <w:pPr>
            <w:pStyle w:val="TOC3"/>
            <w:tabs>
              <w:tab w:val="right" w:leader="dot" w:pos="9016"/>
            </w:tabs>
            <w:rPr>
              <w:rFonts w:eastAsiaTheme="minorEastAsia"/>
              <w:noProof/>
              <w:lang w:eastAsia="en-GB"/>
            </w:rPr>
          </w:pPr>
          <w:hyperlink w:anchor="_Toc39585244" w:history="1">
            <w:r w:rsidR="00BE2C1D" w:rsidRPr="000A518F">
              <w:rPr>
                <w:rStyle w:val="Hyperlink"/>
                <w:rFonts w:asciiTheme="majorHAnsi" w:eastAsiaTheme="majorEastAsia" w:hAnsiTheme="majorHAnsi" w:cstheme="majorBidi"/>
                <w:noProof/>
                <w:lang w:eastAsia="zh-CN"/>
              </w:rPr>
              <w:t>School Playground Stories</w:t>
            </w:r>
            <w:r w:rsidR="00BE2C1D">
              <w:rPr>
                <w:noProof/>
                <w:webHidden/>
              </w:rPr>
              <w:tab/>
            </w:r>
            <w:r w:rsidR="00BE2C1D">
              <w:rPr>
                <w:noProof/>
                <w:webHidden/>
              </w:rPr>
              <w:fldChar w:fldCharType="begin"/>
            </w:r>
            <w:r w:rsidR="00BE2C1D">
              <w:rPr>
                <w:noProof/>
                <w:webHidden/>
              </w:rPr>
              <w:instrText xml:space="preserve"> PAGEREF _Toc39585244 \h </w:instrText>
            </w:r>
            <w:r w:rsidR="00BE2C1D">
              <w:rPr>
                <w:noProof/>
                <w:webHidden/>
              </w:rPr>
            </w:r>
            <w:r w:rsidR="00BE2C1D">
              <w:rPr>
                <w:noProof/>
                <w:webHidden/>
              </w:rPr>
              <w:fldChar w:fldCharType="separate"/>
            </w:r>
            <w:r w:rsidR="00606298">
              <w:rPr>
                <w:noProof/>
                <w:webHidden/>
              </w:rPr>
              <w:t>96</w:t>
            </w:r>
            <w:r w:rsidR="00BE2C1D">
              <w:rPr>
                <w:noProof/>
                <w:webHidden/>
              </w:rPr>
              <w:fldChar w:fldCharType="end"/>
            </w:r>
          </w:hyperlink>
        </w:p>
        <w:p w14:paraId="35523BF7" w14:textId="4C681A6F" w:rsidR="00BE2C1D" w:rsidRDefault="0046350E">
          <w:pPr>
            <w:pStyle w:val="TOC3"/>
            <w:tabs>
              <w:tab w:val="right" w:leader="dot" w:pos="9016"/>
            </w:tabs>
            <w:rPr>
              <w:rFonts w:eastAsiaTheme="minorEastAsia"/>
              <w:noProof/>
              <w:lang w:eastAsia="en-GB"/>
            </w:rPr>
          </w:pPr>
          <w:hyperlink w:anchor="_Toc39585245" w:history="1">
            <w:r w:rsidR="00BE2C1D" w:rsidRPr="000A518F">
              <w:rPr>
                <w:rStyle w:val="Hyperlink"/>
                <w:rFonts w:asciiTheme="majorHAnsi" w:eastAsiaTheme="majorEastAsia" w:hAnsiTheme="majorHAnsi" w:cstheme="majorBidi"/>
                <w:noProof/>
                <w:lang w:eastAsia="zh-CN"/>
              </w:rPr>
              <w:t>School Toilet Stories</w:t>
            </w:r>
            <w:r w:rsidR="00BE2C1D">
              <w:rPr>
                <w:noProof/>
                <w:webHidden/>
              </w:rPr>
              <w:tab/>
            </w:r>
            <w:r w:rsidR="00BE2C1D">
              <w:rPr>
                <w:noProof/>
                <w:webHidden/>
              </w:rPr>
              <w:fldChar w:fldCharType="begin"/>
            </w:r>
            <w:r w:rsidR="00BE2C1D">
              <w:rPr>
                <w:noProof/>
                <w:webHidden/>
              </w:rPr>
              <w:instrText xml:space="preserve"> PAGEREF _Toc39585245 \h </w:instrText>
            </w:r>
            <w:r w:rsidR="00BE2C1D">
              <w:rPr>
                <w:noProof/>
                <w:webHidden/>
              </w:rPr>
            </w:r>
            <w:r w:rsidR="00BE2C1D">
              <w:rPr>
                <w:noProof/>
                <w:webHidden/>
              </w:rPr>
              <w:fldChar w:fldCharType="separate"/>
            </w:r>
            <w:r w:rsidR="00606298">
              <w:rPr>
                <w:noProof/>
                <w:webHidden/>
              </w:rPr>
              <w:t>101</w:t>
            </w:r>
            <w:r w:rsidR="00BE2C1D">
              <w:rPr>
                <w:noProof/>
                <w:webHidden/>
              </w:rPr>
              <w:fldChar w:fldCharType="end"/>
            </w:r>
          </w:hyperlink>
        </w:p>
        <w:p w14:paraId="2ED337D1" w14:textId="7AAF29C2" w:rsidR="00BE2C1D" w:rsidRDefault="0046350E">
          <w:pPr>
            <w:pStyle w:val="TOC2"/>
            <w:tabs>
              <w:tab w:val="right" w:leader="dot" w:pos="9016"/>
            </w:tabs>
            <w:rPr>
              <w:rFonts w:eastAsiaTheme="minorEastAsia"/>
              <w:noProof/>
              <w:lang w:eastAsia="en-GB"/>
            </w:rPr>
          </w:pPr>
          <w:hyperlink w:anchor="_Toc39585246" w:history="1">
            <w:r w:rsidR="00BE2C1D" w:rsidRPr="000A518F">
              <w:rPr>
                <w:rStyle w:val="Hyperlink"/>
                <w:rFonts w:asciiTheme="majorHAnsi" w:eastAsiaTheme="majorEastAsia" w:hAnsiTheme="majorHAnsi" w:cstheme="majorBidi"/>
                <w:noProof/>
                <w:lang w:eastAsia="zh-CN"/>
              </w:rPr>
              <w:t>‘Special’ Chairs: An Assemblage Analysis</w:t>
            </w:r>
            <w:r w:rsidR="00BE2C1D">
              <w:rPr>
                <w:noProof/>
                <w:webHidden/>
              </w:rPr>
              <w:tab/>
            </w:r>
            <w:r w:rsidR="00BE2C1D">
              <w:rPr>
                <w:noProof/>
                <w:webHidden/>
              </w:rPr>
              <w:fldChar w:fldCharType="begin"/>
            </w:r>
            <w:r w:rsidR="00BE2C1D">
              <w:rPr>
                <w:noProof/>
                <w:webHidden/>
              </w:rPr>
              <w:instrText xml:space="preserve"> PAGEREF _Toc39585246 \h </w:instrText>
            </w:r>
            <w:r w:rsidR="00BE2C1D">
              <w:rPr>
                <w:noProof/>
                <w:webHidden/>
              </w:rPr>
            </w:r>
            <w:r w:rsidR="00BE2C1D">
              <w:rPr>
                <w:noProof/>
                <w:webHidden/>
              </w:rPr>
              <w:fldChar w:fldCharType="separate"/>
            </w:r>
            <w:r w:rsidR="00606298">
              <w:rPr>
                <w:noProof/>
                <w:webHidden/>
              </w:rPr>
              <w:t>107</w:t>
            </w:r>
            <w:r w:rsidR="00BE2C1D">
              <w:rPr>
                <w:noProof/>
                <w:webHidden/>
              </w:rPr>
              <w:fldChar w:fldCharType="end"/>
            </w:r>
          </w:hyperlink>
        </w:p>
        <w:p w14:paraId="78111288" w14:textId="284260B5" w:rsidR="00BE2C1D" w:rsidRDefault="0046350E">
          <w:pPr>
            <w:pStyle w:val="TOC3"/>
            <w:tabs>
              <w:tab w:val="right" w:leader="dot" w:pos="9016"/>
            </w:tabs>
            <w:rPr>
              <w:rFonts w:eastAsiaTheme="minorEastAsia"/>
              <w:noProof/>
              <w:lang w:eastAsia="en-GB"/>
            </w:rPr>
          </w:pPr>
          <w:hyperlink w:anchor="_Toc39585247" w:history="1">
            <w:r w:rsidR="00BE2C1D" w:rsidRPr="000A518F">
              <w:rPr>
                <w:rStyle w:val="Hyperlink"/>
                <w:rFonts w:asciiTheme="majorHAnsi" w:eastAsiaTheme="majorEastAsia" w:hAnsiTheme="majorHAnsi" w:cstheme="majorBidi"/>
                <w:noProof/>
                <w:lang w:eastAsia="zh-CN"/>
              </w:rPr>
              <w:t>The Assemblage of Access</w:t>
            </w:r>
            <w:r w:rsidR="00BE2C1D">
              <w:rPr>
                <w:noProof/>
                <w:webHidden/>
              </w:rPr>
              <w:tab/>
            </w:r>
            <w:r w:rsidR="00BE2C1D">
              <w:rPr>
                <w:noProof/>
                <w:webHidden/>
              </w:rPr>
              <w:fldChar w:fldCharType="begin"/>
            </w:r>
            <w:r w:rsidR="00BE2C1D">
              <w:rPr>
                <w:noProof/>
                <w:webHidden/>
              </w:rPr>
              <w:instrText xml:space="preserve"> PAGEREF _Toc39585247 \h </w:instrText>
            </w:r>
            <w:r w:rsidR="00BE2C1D">
              <w:rPr>
                <w:noProof/>
                <w:webHidden/>
              </w:rPr>
            </w:r>
            <w:r w:rsidR="00BE2C1D">
              <w:rPr>
                <w:noProof/>
                <w:webHidden/>
              </w:rPr>
              <w:fldChar w:fldCharType="separate"/>
            </w:r>
            <w:r w:rsidR="00606298">
              <w:rPr>
                <w:noProof/>
                <w:webHidden/>
              </w:rPr>
              <w:t>109</w:t>
            </w:r>
            <w:r w:rsidR="00BE2C1D">
              <w:rPr>
                <w:noProof/>
                <w:webHidden/>
              </w:rPr>
              <w:fldChar w:fldCharType="end"/>
            </w:r>
          </w:hyperlink>
        </w:p>
        <w:p w14:paraId="4200E1CB" w14:textId="4DE0EC65" w:rsidR="00BE2C1D" w:rsidRDefault="0046350E">
          <w:pPr>
            <w:pStyle w:val="TOC3"/>
            <w:tabs>
              <w:tab w:val="right" w:leader="dot" w:pos="9016"/>
            </w:tabs>
            <w:rPr>
              <w:rFonts w:eastAsiaTheme="minorEastAsia"/>
              <w:noProof/>
              <w:lang w:eastAsia="en-GB"/>
            </w:rPr>
          </w:pPr>
          <w:hyperlink w:anchor="_Toc39585248" w:history="1">
            <w:r w:rsidR="00BE2C1D" w:rsidRPr="000A518F">
              <w:rPr>
                <w:rStyle w:val="Hyperlink"/>
                <w:rFonts w:asciiTheme="majorHAnsi" w:eastAsiaTheme="majorEastAsia" w:hAnsiTheme="majorHAnsi" w:cstheme="majorBidi"/>
                <w:noProof/>
              </w:rPr>
              <w:t>Negotiating Equipment in the Assemblage of Access</w:t>
            </w:r>
            <w:r w:rsidR="00BE2C1D">
              <w:rPr>
                <w:noProof/>
                <w:webHidden/>
              </w:rPr>
              <w:tab/>
            </w:r>
            <w:r w:rsidR="00BE2C1D">
              <w:rPr>
                <w:noProof/>
                <w:webHidden/>
              </w:rPr>
              <w:fldChar w:fldCharType="begin"/>
            </w:r>
            <w:r w:rsidR="00BE2C1D">
              <w:rPr>
                <w:noProof/>
                <w:webHidden/>
              </w:rPr>
              <w:instrText xml:space="preserve"> PAGEREF _Toc39585248 \h </w:instrText>
            </w:r>
            <w:r w:rsidR="00BE2C1D">
              <w:rPr>
                <w:noProof/>
                <w:webHidden/>
              </w:rPr>
            </w:r>
            <w:r w:rsidR="00BE2C1D">
              <w:rPr>
                <w:noProof/>
                <w:webHidden/>
              </w:rPr>
              <w:fldChar w:fldCharType="separate"/>
            </w:r>
            <w:r w:rsidR="00606298">
              <w:rPr>
                <w:noProof/>
                <w:webHidden/>
              </w:rPr>
              <w:t>112</w:t>
            </w:r>
            <w:r w:rsidR="00BE2C1D">
              <w:rPr>
                <w:noProof/>
                <w:webHidden/>
              </w:rPr>
              <w:fldChar w:fldCharType="end"/>
            </w:r>
          </w:hyperlink>
        </w:p>
        <w:p w14:paraId="36E30249" w14:textId="61C59E8E" w:rsidR="00BE2C1D" w:rsidRDefault="0046350E">
          <w:pPr>
            <w:pStyle w:val="TOC3"/>
            <w:tabs>
              <w:tab w:val="right" w:leader="dot" w:pos="9016"/>
            </w:tabs>
            <w:rPr>
              <w:rFonts w:eastAsiaTheme="minorEastAsia"/>
              <w:noProof/>
              <w:lang w:eastAsia="en-GB"/>
            </w:rPr>
          </w:pPr>
          <w:hyperlink w:anchor="_Toc39585249" w:history="1">
            <w:r w:rsidR="00BE2C1D" w:rsidRPr="000A518F">
              <w:rPr>
                <w:rStyle w:val="Hyperlink"/>
                <w:rFonts w:asciiTheme="majorHAnsi" w:eastAsiaTheme="majorEastAsia" w:hAnsiTheme="majorHAnsi" w:cstheme="majorBidi"/>
                <w:noProof/>
              </w:rPr>
              <w:t>Peers’ reactions and Relationality in the Assemblage of Access</w:t>
            </w:r>
            <w:r w:rsidR="00BE2C1D">
              <w:rPr>
                <w:noProof/>
                <w:webHidden/>
              </w:rPr>
              <w:tab/>
            </w:r>
            <w:r w:rsidR="00BE2C1D">
              <w:rPr>
                <w:noProof/>
                <w:webHidden/>
              </w:rPr>
              <w:fldChar w:fldCharType="begin"/>
            </w:r>
            <w:r w:rsidR="00BE2C1D">
              <w:rPr>
                <w:noProof/>
                <w:webHidden/>
              </w:rPr>
              <w:instrText xml:space="preserve"> PAGEREF _Toc39585249 \h </w:instrText>
            </w:r>
            <w:r w:rsidR="00BE2C1D">
              <w:rPr>
                <w:noProof/>
                <w:webHidden/>
              </w:rPr>
            </w:r>
            <w:r w:rsidR="00BE2C1D">
              <w:rPr>
                <w:noProof/>
                <w:webHidden/>
              </w:rPr>
              <w:fldChar w:fldCharType="separate"/>
            </w:r>
            <w:r w:rsidR="00606298">
              <w:rPr>
                <w:noProof/>
                <w:webHidden/>
              </w:rPr>
              <w:t>116</w:t>
            </w:r>
            <w:r w:rsidR="00BE2C1D">
              <w:rPr>
                <w:noProof/>
                <w:webHidden/>
              </w:rPr>
              <w:fldChar w:fldCharType="end"/>
            </w:r>
          </w:hyperlink>
        </w:p>
        <w:p w14:paraId="3DDB86AF" w14:textId="6F198FE0" w:rsidR="00BE2C1D" w:rsidRDefault="0046350E">
          <w:pPr>
            <w:pStyle w:val="TOC2"/>
            <w:tabs>
              <w:tab w:val="right" w:leader="dot" w:pos="9016"/>
            </w:tabs>
            <w:rPr>
              <w:rFonts w:eastAsiaTheme="minorEastAsia"/>
              <w:noProof/>
              <w:lang w:eastAsia="en-GB"/>
            </w:rPr>
          </w:pPr>
          <w:hyperlink w:anchor="_Toc39585250" w:history="1">
            <w:r w:rsidR="00BE2C1D" w:rsidRPr="000A518F">
              <w:rPr>
                <w:rStyle w:val="Hyperlink"/>
                <w:rFonts w:asciiTheme="majorHAnsi" w:eastAsiaTheme="majorEastAsia" w:hAnsiTheme="majorHAnsi" w:cstheme="majorBidi"/>
                <w:noProof/>
                <w:lang w:eastAsia="zh-CN"/>
              </w:rPr>
              <w:t>Conclusions</w:t>
            </w:r>
            <w:r w:rsidR="00BE2C1D">
              <w:rPr>
                <w:noProof/>
                <w:webHidden/>
              </w:rPr>
              <w:tab/>
            </w:r>
            <w:r w:rsidR="00BE2C1D">
              <w:rPr>
                <w:noProof/>
                <w:webHidden/>
              </w:rPr>
              <w:fldChar w:fldCharType="begin"/>
            </w:r>
            <w:r w:rsidR="00BE2C1D">
              <w:rPr>
                <w:noProof/>
                <w:webHidden/>
              </w:rPr>
              <w:instrText xml:space="preserve"> PAGEREF _Toc39585250 \h </w:instrText>
            </w:r>
            <w:r w:rsidR="00BE2C1D">
              <w:rPr>
                <w:noProof/>
                <w:webHidden/>
              </w:rPr>
            </w:r>
            <w:r w:rsidR="00BE2C1D">
              <w:rPr>
                <w:noProof/>
                <w:webHidden/>
              </w:rPr>
              <w:fldChar w:fldCharType="separate"/>
            </w:r>
            <w:r w:rsidR="00606298">
              <w:rPr>
                <w:noProof/>
                <w:webHidden/>
              </w:rPr>
              <w:t>119</w:t>
            </w:r>
            <w:r w:rsidR="00BE2C1D">
              <w:rPr>
                <w:noProof/>
                <w:webHidden/>
              </w:rPr>
              <w:fldChar w:fldCharType="end"/>
            </w:r>
          </w:hyperlink>
        </w:p>
        <w:p w14:paraId="29CAAB16" w14:textId="1E7476CD" w:rsidR="00BE2C1D" w:rsidRDefault="0046350E">
          <w:pPr>
            <w:pStyle w:val="TOC1"/>
            <w:tabs>
              <w:tab w:val="right" w:leader="dot" w:pos="9016"/>
            </w:tabs>
            <w:rPr>
              <w:rFonts w:eastAsiaTheme="minorEastAsia"/>
              <w:noProof/>
              <w:lang w:eastAsia="en-GB"/>
            </w:rPr>
          </w:pPr>
          <w:hyperlink w:anchor="_Toc39585251" w:history="1">
            <w:r w:rsidR="00BE2C1D" w:rsidRPr="000A518F">
              <w:rPr>
                <w:rStyle w:val="Hyperlink"/>
                <w:rFonts w:asciiTheme="majorHAnsi" w:eastAsiaTheme="majorEastAsia" w:hAnsiTheme="majorHAnsi" w:cstheme="majorBidi"/>
                <w:noProof/>
                <w:lang w:eastAsia="zh-CN"/>
              </w:rPr>
              <w:t>Chapter 5: Stories of Support, Surveillance and Resistance: Teaching Assistants and Young People with RG</w:t>
            </w:r>
            <w:r w:rsidR="00BE2C1D">
              <w:rPr>
                <w:noProof/>
                <w:webHidden/>
              </w:rPr>
              <w:tab/>
            </w:r>
            <w:r w:rsidR="00BE2C1D">
              <w:rPr>
                <w:noProof/>
                <w:webHidden/>
              </w:rPr>
              <w:fldChar w:fldCharType="begin"/>
            </w:r>
            <w:r w:rsidR="00BE2C1D">
              <w:rPr>
                <w:noProof/>
                <w:webHidden/>
              </w:rPr>
              <w:instrText xml:space="preserve"> PAGEREF _Toc39585251 \h </w:instrText>
            </w:r>
            <w:r w:rsidR="00BE2C1D">
              <w:rPr>
                <w:noProof/>
                <w:webHidden/>
              </w:rPr>
            </w:r>
            <w:r w:rsidR="00BE2C1D">
              <w:rPr>
                <w:noProof/>
                <w:webHidden/>
              </w:rPr>
              <w:fldChar w:fldCharType="separate"/>
            </w:r>
            <w:r w:rsidR="00606298">
              <w:rPr>
                <w:noProof/>
                <w:webHidden/>
              </w:rPr>
              <w:t>122</w:t>
            </w:r>
            <w:r w:rsidR="00BE2C1D">
              <w:rPr>
                <w:noProof/>
                <w:webHidden/>
              </w:rPr>
              <w:fldChar w:fldCharType="end"/>
            </w:r>
          </w:hyperlink>
        </w:p>
        <w:p w14:paraId="5F1237B8" w14:textId="11C0FC97" w:rsidR="00BE2C1D" w:rsidRDefault="0046350E">
          <w:pPr>
            <w:pStyle w:val="TOC2"/>
            <w:tabs>
              <w:tab w:val="right" w:leader="dot" w:pos="9016"/>
            </w:tabs>
            <w:rPr>
              <w:rFonts w:eastAsiaTheme="minorEastAsia"/>
              <w:noProof/>
              <w:lang w:eastAsia="en-GB"/>
            </w:rPr>
          </w:pPr>
          <w:hyperlink w:anchor="_Toc39585252" w:history="1">
            <w:r w:rsidR="00BE2C1D" w:rsidRPr="000A518F">
              <w:rPr>
                <w:rStyle w:val="Hyperlink"/>
                <w:rFonts w:eastAsiaTheme="majorEastAsia" w:cstheme="minorHAnsi"/>
                <w:noProof/>
                <w:lang w:eastAsia="zh-CN"/>
              </w:rPr>
              <w:t>Introduction</w:t>
            </w:r>
            <w:r w:rsidR="00BE2C1D">
              <w:rPr>
                <w:noProof/>
                <w:webHidden/>
              </w:rPr>
              <w:tab/>
            </w:r>
            <w:r w:rsidR="00BE2C1D">
              <w:rPr>
                <w:noProof/>
                <w:webHidden/>
              </w:rPr>
              <w:fldChar w:fldCharType="begin"/>
            </w:r>
            <w:r w:rsidR="00BE2C1D">
              <w:rPr>
                <w:noProof/>
                <w:webHidden/>
              </w:rPr>
              <w:instrText xml:space="preserve"> PAGEREF _Toc39585252 \h </w:instrText>
            </w:r>
            <w:r w:rsidR="00BE2C1D">
              <w:rPr>
                <w:noProof/>
                <w:webHidden/>
              </w:rPr>
            </w:r>
            <w:r w:rsidR="00BE2C1D">
              <w:rPr>
                <w:noProof/>
                <w:webHidden/>
              </w:rPr>
              <w:fldChar w:fldCharType="separate"/>
            </w:r>
            <w:r w:rsidR="00606298">
              <w:rPr>
                <w:noProof/>
                <w:webHidden/>
              </w:rPr>
              <w:t>122</w:t>
            </w:r>
            <w:r w:rsidR="00BE2C1D">
              <w:rPr>
                <w:noProof/>
                <w:webHidden/>
              </w:rPr>
              <w:fldChar w:fldCharType="end"/>
            </w:r>
          </w:hyperlink>
        </w:p>
        <w:p w14:paraId="58F067AE" w14:textId="4EA1D81B" w:rsidR="00BE2C1D" w:rsidRDefault="0046350E">
          <w:pPr>
            <w:pStyle w:val="TOC2"/>
            <w:tabs>
              <w:tab w:val="right" w:leader="dot" w:pos="9016"/>
            </w:tabs>
            <w:rPr>
              <w:rFonts w:eastAsiaTheme="minorEastAsia"/>
              <w:noProof/>
              <w:lang w:eastAsia="en-GB"/>
            </w:rPr>
          </w:pPr>
          <w:hyperlink w:anchor="_Toc39585253" w:history="1">
            <w:r w:rsidR="00BE2C1D" w:rsidRPr="000A518F">
              <w:rPr>
                <w:rStyle w:val="Hyperlink"/>
                <w:rFonts w:asciiTheme="majorHAnsi" w:eastAsiaTheme="majorEastAsia" w:hAnsiTheme="majorHAnsi" w:cstheme="majorBidi"/>
                <w:noProof/>
                <w:lang w:eastAsia="zh-CN"/>
              </w:rPr>
              <w:t>Teaching Assistants as Key Agents of Inclusive Education</w:t>
            </w:r>
            <w:r w:rsidR="00BE2C1D">
              <w:rPr>
                <w:noProof/>
                <w:webHidden/>
              </w:rPr>
              <w:tab/>
            </w:r>
            <w:r w:rsidR="00BE2C1D">
              <w:rPr>
                <w:noProof/>
                <w:webHidden/>
              </w:rPr>
              <w:fldChar w:fldCharType="begin"/>
            </w:r>
            <w:r w:rsidR="00BE2C1D">
              <w:rPr>
                <w:noProof/>
                <w:webHidden/>
              </w:rPr>
              <w:instrText xml:space="preserve"> PAGEREF _Toc39585253 \h </w:instrText>
            </w:r>
            <w:r w:rsidR="00BE2C1D">
              <w:rPr>
                <w:noProof/>
                <w:webHidden/>
              </w:rPr>
            </w:r>
            <w:r w:rsidR="00BE2C1D">
              <w:rPr>
                <w:noProof/>
                <w:webHidden/>
              </w:rPr>
              <w:fldChar w:fldCharType="separate"/>
            </w:r>
            <w:r w:rsidR="00606298">
              <w:rPr>
                <w:noProof/>
                <w:webHidden/>
              </w:rPr>
              <w:t>123</w:t>
            </w:r>
            <w:r w:rsidR="00BE2C1D">
              <w:rPr>
                <w:noProof/>
                <w:webHidden/>
              </w:rPr>
              <w:fldChar w:fldCharType="end"/>
            </w:r>
          </w:hyperlink>
        </w:p>
        <w:p w14:paraId="19C67640" w14:textId="31D0FA98" w:rsidR="00BE2C1D" w:rsidRDefault="0046350E">
          <w:pPr>
            <w:pStyle w:val="TOC2"/>
            <w:tabs>
              <w:tab w:val="right" w:leader="dot" w:pos="9016"/>
            </w:tabs>
            <w:rPr>
              <w:rFonts w:eastAsiaTheme="minorEastAsia"/>
              <w:noProof/>
              <w:lang w:eastAsia="en-GB"/>
            </w:rPr>
          </w:pPr>
          <w:hyperlink w:anchor="_Toc39585254" w:history="1">
            <w:r w:rsidR="00BE2C1D" w:rsidRPr="000A518F">
              <w:rPr>
                <w:rStyle w:val="Hyperlink"/>
                <w:rFonts w:asciiTheme="majorHAnsi" w:eastAsiaTheme="majorEastAsia" w:hAnsiTheme="majorHAnsi" w:cstheme="majorBidi"/>
                <w:noProof/>
                <w:lang w:eastAsia="zh-CN"/>
              </w:rPr>
              <w:t>Support As A Double-Edged Sword</w:t>
            </w:r>
            <w:r w:rsidR="00BE2C1D">
              <w:rPr>
                <w:noProof/>
                <w:webHidden/>
              </w:rPr>
              <w:tab/>
            </w:r>
            <w:r w:rsidR="00BE2C1D">
              <w:rPr>
                <w:noProof/>
                <w:webHidden/>
              </w:rPr>
              <w:fldChar w:fldCharType="begin"/>
            </w:r>
            <w:r w:rsidR="00BE2C1D">
              <w:rPr>
                <w:noProof/>
                <w:webHidden/>
              </w:rPr>
              <w:instrText xml:space="preserve"> PAGEREF _Toc39585254 \h </w:instrText>
            </w:r>
            <w:r w:rsidR="00BE2C1D">
              <w:rPr>
                <w:noProof/>
                <w:webHidden/>
              </w:rPr>
            </w:r>
            <w:r w:rsidR="00BE2C1D">
              <w:rPr>
                <w:noProof/>
                <w:webHidden/>
              </w:rPr>
              <w:fldChar w:fldCharType="separate"/>
            </w:r>
            <w:r w:rsidR="00606298">
              <w:rPr>
                <w:noProof/>
                <w:webHidden/>
              </w:rPr>
              <w:t>126</w:t>
            </w:r>
            <w:r w:rsidR="00BE2C1D">
              <w:rPr>
                <w:noProof/>
                <w:webHidden/>
              </w:rPr>
              <w:fldChar w:fldCharType="end"/>
            </w:r>
          </w:hyperlink>
        </w:p>
        <w:p w14:paraId="6DB32846" w14:textId="0D11037B" w:rsidR="00BE2C1D" w:rsidRDefault="0046350E">
          <w:pPr>
            <w:pStyle w:val="TOC3"/>
            <w:tabs>
              <w:tab w:val="right" w:leader="dot" w:pos="9016"/>
            </w:tabs>
            <w:rPr>
              <w:rFonts w:eastAsiaTheme="minorEastAsia"/>
              <w:noProof/>
              <w:lang w:eastAsia="en-GB"/>
            </w:rPr>
          </w:pPr>
          <w:hyperlink w:anchor="_Toc39585255" w:history="1">
            <w:r w:rsidR="00BE2C1D" w:rsidRPr="000A518F">
              <w:rPr>
                <w:rStyle w:val="Hyperlink"/>
                <w:rFonts w:asciiTheme="majorHAnsi" w:eastAsiaTheme="majorEastAsia" w:hAnsiTheme="majorHAnsi" w:cstheme="majorBidi"/>
                <w:noProof/>
                <w:lang w:eastAsia="zh-CN"/>
              </w:rPr>
              <w:t>Barriers to Doing</w:t>
            </w:r>
            <w:r w:rsidR="00BE2C1D">
              <w:rPr>
                <w:noProof/>
                <w:webHidden/>
              </w:rPr>
              <w:tab/>
            </w:r>
            <w:r w:rsidR="00BE2C1D">
              <w:rPr>
                <w:noProof/>
                <w:webHidden/>
              </w:rPr>
              <w:fldChar w:fldCharType="begin"/>
            </w:r>
            <w:r w:rsidR="00BE2C1D">
              <w:rPr>
                <w:noProof/>
                <w:webHidden/>
              </w:rPr>
              <w:instrText xml:space="preserve"> PAGEREF _Toc39585255 \h </w:instrText>
            </w:r>
            <w:r w:rsidR="00BE2C1D">
              <w:rPr>
                <w:noProof/>
                <w:webHidden/>
              </w:rPr>
            </w:r>
            <w:r w:rsidR="00BE2C1D">
              <w:rPr>
                <w:noProof/>
                <w:webHidden/>
              </w:rPr>
              <w:fldChar w:fldCharType="separate"/>
            </w:r>
            <w:r w:rsidR="00606298">
              <w:rPr>
                <w:noProof/>
                <w:webHidden/>
              </w:rPr>
              <w:t>126</w:t>
            </w:r>
            <w:r w:rsidR="00BE2C1D">
              <w:rPr>
                <w:noProof/>
                <w:webHidden/>
              </w:rPr>
              <w:fldChar w:fldCharType="end"/>
            </w:r>
          </w:hyperlink>
        </w:p>
        <w:p w14:paraId="0D1CFA06" w14:textId="79CD9E27" w:rsidR="00BE2C1D" w:rsidRDefault="0046350E">
          <w:pPr>
            <w:pStyle w:val="TOC3"/>
            <w:tabs>
              <w:tab w:val="right" w:leader="dot" w:pos="9016"/>
            </w:tabs>
            <w:rPr>
              <w:rFonts w:eastAsiaTheme="minorEastAsia"/>
              <w:noProof/>
              <w:lang w:eastAsia="en-GB"/>
            </w:rPr>
          </w:pPr>
          <w:hyperlink w:anchor="_Toc39585256" w:history="1">
            <w:r w:rsidR="00BE2C1D" w:rsidRPr="000A518F">
              <w:rPr>
                <w:rStyle w:val="Hyperlink"/>
                <w:rFonts w:asciiTheme="majorHAnsi" w:eastAsiaTheme="majorEastAsia" w:hAnsiTheme="majorHAnsi" w:cstheme="majorBidi"/>
                <w:noProof/>
                <w:lang w:eastAsia="zh-CN"/>
              </w:rPr>
              <w:t>Barriers to Being</w:t>
            </w:r>
            <w:r w:rsidR="00BE2C1D">
              <w:rPr>
                <w:noProof/>
                <w:webHidden/>
              </w:rPr>
              <w:tab/>
            </w:r>
            <w:r w:rsidR="00BE2C1D">
              <w:rPr>
                <w:noProof/>
                <w:webHidden/>
              </w:rPr>
              <w:fldChar w:fldCharType="begin"/>
            </w:r>
            <w:r w:rsidR="00BE2C1D">
              <w:rPr>
                <w:noProof/>
                <w:webHidden/>
              </w:rPr>
              <w:instrText xml:space="preserve"> PAGEREF _Toc39585256 \h </w:instrText>
            </w:r>
            <w:r w:rsidR="00BE2C1D">
              <w:rPr>
                <w:noProof/>
                <w:webHidden/>
              </w:rPr>
            </w:r>
            <w:r w:rsidR="00BE2C1D">
              <w:rPr>
                <w:noProof/>
                <w:webHidden/>
              </w:rPr>
              <w:fldChar w:fldCharType="separate"/>
            </w:r>
            <w:r w:rsidR="00606298">
              <w:rPr>
                <w:noProof/>
                <w:webHidden/>
              </w:rPr>
              <w:t>130</w:t>
            </w:r>
            <w:r w:rsidR="00BE2C1D">
              <w:rPr>
                <w:noProof/>
                <w:webHidden/>
              </w:rPr>
              <w:fldChar w:fldCharType="end"/>
            </w:r>
          </w:hyperlink>
        </w:p>
        <w:p w14:paraId="2BB05D92" w14:textId="1821AA9E" w:rsidR="00BE2C1D" w:rsidRDefault="0046350E">
          <w:pPr>
            <w:pStyle w:val="TOC2"/>
            <w:tabs>
              <w:tab w:val="right" w:leader="dot" w:pos="9016"/>
            </w:tabs>
            <w:rPr>
              <w:rFonts w:eastAsiaTheme="minorEastAsia"/>
              <w:noProof/>
              <w:lang w:eastAsia="en-GB"/>
            </w:rPr>
          </w:pPr>
          <w:hyperlink w:anchor="_Toc39585257" w:history="1">
            <w:r w:rsidR="00BE2C1D" w:rsidRPr="000A518F">
              <w:rPr>
                <w:rStyle w:val="Hyperlink"/>
                <w:rFonts w:asciiTheme="majorHAnsi" w:eastAsiaTheme="majorEastAsia" w:hAnsiTheme="majorHAnsi" w:cstheme="majorBidi"/>
                <w:noProof/>
                <w:lang w:eastAsia="zh-CN"/>
              </w:rPr>
              <w:t>Support and Independence</w:t>
            </w:r>
            <w:r w:rsidR="00BE2C1D">
              <w:rPr>
                <w:noProof/>
                <w:webHidden/>
              </w:rPr>
              <w:tab/>
            </w:r>
            <w:r w:rsidR="00BE2C1D">
              <w:rPr>
                <w:noProof/>
                <w:webHidden/>
              </w:rPr>
              <w:fldChar w:fldCharType="begin"/>
            </w:r>
            <w:r w:rsidR="00BE2C1D">
              <w:rPr>
                <w:noProof/>
                <w:webHidden/>
              </w:rPr>
              <w:instrText xml:space="preserve"> PAGEREF _Toc39585257 \h </w:instrText>
            </w:r>
            <w:r w:rsidR="00BE2C1D">
              <w:rPr>
                <w:noProof/>
                <w:webHidden/>
              </w:rPr>
            </w:r>
            <w:r w:rsidR="00BE2C1D">
              <w:rPr>
                <w:noProof/>
                <w:webHidden/>
              </w:rPr>
              <w:fldChar w:fldCharType="separate"/>
            </w:r>
            <w:r w:rsidR="00606298">
              <w:rPr>
                <w:noProof/>
                <w:webHidden/>
              </w:rPr>
              <w:t>132</w:t>
            </w:r>
            <w:r w:rsidR="00BE2C1D">
              <w:rPr>
                <w:noProof/>
                <w:webHidden/>
              </w:rPr>
              <w:fldChar w:fldCharType="end"/>
            </w:r>
          </w:hyperlink>
        </w:p>
        <w:p w14:paraId="28027605" w14:textId="5FF71DD8" w:rsidR="00BE2C1D" w:rsidRDefault="0046350E">
          <w:pPr>
            <w:pStyle w:val="TOC2"/>
            <w:tabs>
              <w:tab w:val="right" w:leader="dot" w:pos="9016"/>
            </w:tabs>
            <w:rPr>
              <w:rFonts w:eastAsiaTheme="minorEastAsia"/>
              <w:noProof/>
              <w:lang w:eastAsia="en-GB"/>
            </w:rPr>
          </w:pPr>
          <w:hyperlink w:anchor="_Toc39585258" w:history="1">
            <w:r w:rsidR="00BE2C1D" w:rsidRPr="000A518F">
              <w:rPr>
                <w:rStyle w:val="Hyperlink"/>
                <w:rFonts w:asciiTheme="majorHAnsi" w:eastAsiaTheme="majorEastAsia" w:hAnsiTheme="majorHAnsi" w:cstheme="majorBidi"/>
                <w:noProof/>
                <w:lang w:eastAsia="zh-CN"/>
              </w:rPr>
              <w:t>Teaching Assistants as Panopticons</w:t>
            </w:r>
            <w:r w:rsidR="00BE2C1D">
              <w:rPr>
                <w:noProof/>
                <w:webHidden/>
              </w:rPr>
              <w:tab/>
            </w:r>
            <w:r w:rsidR="00BE2C1D">
              <w:rPr>
                <w:noProof/>
                <w:webHidden/>
              </w:rPr>
              <w:fldChar w:fldCharType="begin"/>
            </w:r>
            <w:r w:rsidR="00BE2C1D">
              <w:rPr>
                <w:noProof/>
                <w:webHidden/>
              </w:rPr>
              <w:instrText xml:space="preserve"> PAGEREF _Toc39585258 \h </w:instrText>
            </w:r>
            <w:r w:rsidR="00BE2C1D">
              <w:rPr>
                <w:noProof/>
                <w:webHidden/>
              </w:rPr>
            </w:r>
            <w:r w:rsidR="00BE2C1D">
              <w:rPr>
                <w:noProof/>
                <w:webHidden/>
              </w:rPr>
              <w:fldChar w:fldCharType="separate"/>
            </w:r>
            <w:r w:rsidR="00606298">
              <w:rPr>
                <w:noProof/>
                <w:webHidden/>
              </w:rPr>
              <w:t>137</w:t>
            </w:r>
            <w:r w:rsidR="00BE2C1D">
              <w:rPr>
                <w:noProof/>
                <w:webHidden/>
              </w:rPr>
              <w:fldChar w:fldCharType="end"/>
            </w:r>
          </w:hyperlink>
        </w:p>
        <w:p w14:paraId="01765857" w14:textId="576D0DA3" w:rsidR="00BE2C1D" w:rsidRDefault="0046350E">
          <w:pPr>
            <w:pStyle w:val="TOC3"/>
            <w:tabs>
              <w:tab w:val="right" w:leader="dot" w:pos="9016"/>
            </w:tabs>
            <w:rPr>
              <w:rFonts w:eastAsiaTheme="minorEastAsia"/>
              <w:noProof/>
              <w:lang w:eastAsia="en-GB"/>
            </w:rPr>
          </w:pPr>
          <w:hyperlink w:anchor="_Toc39585259" w:history="1">
            <w:r w:rsidR="00BE2C1D" w:rsidRPr="000A518F">
              <w:rPr>
                <w:rStyle w:val="Hyperlink"/>
                <w:rFonts w:asciiTheme="majorHAnsi" w:eastAsiaTheme="majorEastAsia" w:hAnsiTheme="majorHAnsi" w:cstheme="majorBidi"/>
                <w:noProof/>
                <w:lang w:eastAsia="zh-CN"/>
              </w:rPr>
              <w:t>Stories of Surveillance</w:t>
            </w:r>
            <w:r w:rsidR="00BE2C1D">
              <w:rPr>
                <w:noProof/>
                <w:webHidden/>
              </w:rPr>
              <w:tab/>
            </w:r>
            <w:r w:rsidR="00BE2C1D">
              <w:rPr>
                <w:noProof/>
                <w:webHidden/>
              </w:rPr>
              <w:fldChar w:fldCharType="begin"/>
            </w:r>
            <w:r w:rsidR="00BE2C1D">
              <w:rPr>
                <w:noProof/>
                <w:webHidden/>
              </w:rPr>
              <w:instrText xml:space="preserve"> PAGEREF _Toc39585259 \h </w:instrText>
            </w:r>
            <w:r w:rsidR="00BE2C1D">
              <w:rPr>
                <w:noProof/>
                <w:webHidden/>
              </w:rPr>
            </w:r>
            <w:r w:rsidR="00BE2C1D">
              <w:rPr>
                <w:noProof/>
                <w:webHidden/>
              </w:rPr>
              <w:fldChar w:fldCharType="separate"/>
            </w:r>
            <w:r w:rsidR="00606298">
              <w:rPr>
                <w:noProof/>
                <w:webHidden/>
              </w:rPr>
              <w:t>139</w:t>
            </w:r>
            <w:r w:rsidR="00BE2C1D">
              <w:rPr>
                <w:noProof/>
                <w:webHidden/>
              </w:rPr>
              <w:fldChar w:fldCharType="end"/>
            </w:r>
          </w:hyperlink>
        </w:p>
        <w:p w14:paraId="3427AFC3" w14:textId="409CE5BA" w:rsidR="00BE2C1D" w:rsidRDefault="0046350E">
          <w:pPr>
            <w:pStyle w:val="TOC2"/>
            <w:tabs>
              <w:tab w:val="right" w:leader="dot" w:pos="9016"/>
            </w:tabs>
            <w:rPr>
              <w:rFonts w:eastAsiaTheme="minorEastAsia"/>
              <w:noProof/>
              <w:lang w:eastAsia="en-GB"/>
            </w:rPr>
          </w:pPr>
          <w:hyperlink w:anchor="_Toc39585260" w:history="1">
            <w:r w:rsidR="00BE2C1D" w:rsidRPr="000A518F">
              <w:rPr>
                <w:rStyle w:val="Hyperlink"/>
                <w:rFonts w:asciiTheme="majorHAnsi" w:eastAsiaTheme="majorEastAsia" w:hAnsiTheme="majorHAnsi" w:cstheme="majorBidi"/>
                <w:noProof/>
                <w:lang w:eastAsia="zh-CN"/>
              </w:rPr>
              <w:t>Resistance and the Synoptic Class</w:t>
            </w:r>
            <w:r w:rsidR="00BE2C1D">
              <w:rPr>
                <w:noProof/>
                <w:webHidden/>
              </w:rPr>
              <w:tab/>
            </w:r>
            <w:r w:rsidR="00BE2C1D">
              <w:rPr>
                <w:noProof/>
                <w:webHidden/>
              </w:rPr>
              <w:fldChar w:fldCharType="begin"/>
            </w:r>
            <w:r w:rsidR="00BE2C1D">
              <w:rPr>
                <w:noProof/>
                <w:webHidden/>
              </w:rPr>
              <w:instrText xml:space="preserve"> PAGEREF _Toc39585260 \h </w:instrText>
            </w:r>
            <w:r w:rsidR="00BE2C1D">
              <w:rPr>
                <w:noProof/>
                <w:webHidden/>
              </w:rPr>
            </w:r>
            <w:r w:rsidR="00BE2C1D">
              <w:rPr>
                <w:noProof/>
                <w:webHidden/>
              </w:rPr>
              <w:fldChar w:fldCharType="separate"/>
            </w:r>
            <w:r w:rsidR="00606298">
              <w:rPr>
                <w:noProof/>
                <w:webHidden/>
              </w:rPr>
              <w:t>143</w:t>
            </w:r>
            <w:r w:rsidR="00BE2C1D">
              <w:rPr>
                <w:noProof/>
                <w:webHidden/>
              </w:rPr>
              <w:fldChar w:fldCharType="end"/>
            </w:r>
          </w:hyperlink>
        </w:p>
        <w:p w14:paraId="718EA17B" w14:textId="4EFCD88E" w:rsidR="00BE2C1D" w:rsidRDefault="0046350E">
          <w:pPr>
            <w:pStyle w:val="TOC3"/>
            <w:tabs>
              <w:tab w:val="right" w:leader="dot" w:pos="9016"/>
            </w:tabs>
            <w:rPr>
              <w:rFonts w:eastAsiaTheme="minorEastAsia"/>
              <w:noProof/>
              <w:lang w:eastAsia="en-GB"/>
            </w:rPr>
          </w:pPr>
          <w:hyperlink w:anchor="_Toc39585261" w:history="1">
            <w:r w:rsidR="00BE2C1D" w:rsidRPr="000A518F">
              <w:rPr>
                <w:rStyle w:val="Hyperlink"/>
                <w:rFonts w:asciiTheme="majorHAnsi" w:eastAsiaTheme="majorEastAsia" w:hAnsiTheme="majorHAnsi" w:cstheme="majorBidi"/>
                <w:noProof/>
                <w:lang w:eastAsia="zh-CN"/>
              </w:rPr>
              <w:t>Returning the Gaze</w:t>
            </w:r>
            <w:r w:rsidR="00BE2C1D">
              <w:rPr>
                <w:noProof/>
                <w:webHidden/>
              </w:rPr>
              <w:tab/>
            </w:r>
            <w:r w:rsidR="00BE2C1D">
              <w:rPr>
                <w:noProof/>
                <w:webHidden/>
              </w:rPr>
              <w:fldChar w:fldCharType="begin"/>
            </w:r>
            <w:r w:rsidR="00BE2C1D">
              <w:rPr>
                <w:noProof/>
                <w:webHidden/>
              </w:rPr>
              <w:instrText xml:space="preserve"> PAGEREF _Toc39585261 \h </w:instrText>
            </w:r>
            <w:r w:rsidR="00BE2C1D">
              <w:rPr>
                <w:noProof/>
                <w:webHidden/>
              </w:rPr>
            </w:r>
            <w:r w:rsidR="00BE2C1D">
              <w:rPr>
                <w:noProof/>
                <w:webHidden/>
              </w:rPr>
              <w:fldChar w:fldCharType="separate"/>
            </w:r>
            <w:r w:rsidR="00606298">
              <w:rPr>
                <w:noProof/>
                <w:webHidden/>
              </w:rPr>
              <w:t>146</w:t>
            </w:r>
            <w:r w:rsidR="00BE2C1D">
              <w:rPr>
                <w:noProof/>
                <w:webHidden/>
              </w:rPr>
              <w:fldChar w:fldCharType="end"/>
            </w:r>
          </w:hyperlink>
        </w:p>
        <w:p w14:paraId="07D5E8A1" w14:textId="6960C48E" w:rsidR="00BE2C1D" w:rsidRDefault="0046350E">
          <w:pPr>
            <w:pStyle w:val="TOC2"/>
            <w:tabs>
              <w:tab w:val="right" w:leader="dot" w:pos="9016"/>
            </w:tabs>
            <w:rPr>
              <w:rFonts w:eastAsiaTheme="minorEastAsia"/>
              <w:noProof/>
              <w:lang w:eastAsia="en-GB"/>
            </w:rPr>
          </w:pPr>
          <w:hyperlink w:anchor="_Toc39585262" w:history="1">
            <w:r w:rsidR="00BE2C1D" w:rsidRPr="000A518F">
              <w:rPr>
                <w:rStyle w:val="Hyperlink"/>
                <w:rFonts w:asciiTheme="majorHAnsi" w:eastAsiaTheme="majorEastAsia" w:hAnsiTheme="majorHAnsi" w:cstheme="majorBidi"/>
                <w:noProof/>
                <w:lang w:eastAsia="zh-CN"/>
              </w:rPr>
              <w:t>Conclusions</w:t>
            </w:r>
            <w:r w:rsidR="00BE2C1D">
              <w:rPr>
                <w:noProof/>
                <w:webHidden/>
              </w:rPr>
              <w:tab/>
            </w:r>
            <w:r w:rsidR="00BE2C1D">
              <w:rPr>
                <w:noProof/>
                <w:webHidden/>
              </w:rPr>
              <w:fldChar w:fldCharType="begin"/>
            </w:r>
            <w:r w:rsidR="00BE2C1D">
              <w:rPr>
                <w:noProof/>
                <w:webHidden/>
              </w:rPr>
              <w:instrText xml:space="preserve"> PAGEREF _Toc39585262 \h </w:instrText>
            </w:r>
            <w:r w:rsidR="00BE2C1D">
              <w:rPr>
                <w:noProof/>
                <w:webHidden/>
              </w:rPr>
            </w:r>
            <w:r w:rsidR="00BE2C1D">
              <w:rPr>
                <w:noProof/>
                <w:webHidden/>
              </w:rPr>
              <w:fldChar w:fldCharType="separate"/>
            </w:r>
            <w:r w:rsidR="00606298">
              <w:rPr>
                <w:noProof/>
                <w:webHidden/>
              </w:rPr>
              <w:t>148</w:t>
            </w:r>
            <w:r w:rsidR="00BE2C1D">
              <w:rPr>
                <w:noProof/>
                <w:webHidden/>
              </w:rPr>
              <w:fldChar w:fldCharType="end"/>
            </w:r>
          </w:hyperlink>
        </w:p>
        <w:p w14:paraId="344A2ACD" w14:textId="487B9BE3" w:rsidR="00BE2C1D" w:rsidRDefault="0046350E">
          <w:pPr>
            <w:pStyle w:val="TOC1"/>
            <w:tabs>
              <w:tab w:val="right" w:leader="dot" w:pos="9016"/>
            </w:tabs>
            <w:rPr>
              <w:rFonts w:eastAsiaTheme="minorEastAsia"/>
              <w:noProof/>
              <w:lang w:eastAsia="en-GB"/>
            </w:rPr>
          </w:pPr>
          <w:hyperlink w:anchor="_Toc39585263" w:history="1">
            <w:r w:rsidR="00BE2C1D" w:rsidRPr="000A518F">
              <w:rPr>
                <w:rStyle w:val="Hyperlink"/>
                <w:rFonts w:asciiTheme="majorHAnsi" w:eastAsiaTheme="majorEastAsia" w:hAnsiTheme="majorHAnsi" w:cstheme="majorBidi"/>
                <w:noProof/>
                <w:lang w:eastAsia="zh-CN"/>
              </w:rPr>
              <w:t>Chapter 6: Stories of Dys-Appearance: The experiences of young people with Restricted Growth with Teachers</w:t>
            </w:r>
            <w:r w:rsidR="00BE2C1D">
              <w:rPr>
                <w:noProof/>
                <w:webHidden/>
              </w:rPr>
              <w:tab/>
            </w:r>
            <w:r w:rsidR="00BE2C1D">
              <w:rPr>
                <w:noProof/>
                <w:webHidden/>
              </w:rPr>
              <w:fldChar w:fldCharType="begin"/>
            </w:r>
            <w:r w:rsidR="00BE2C1D">
              <w:rPr>
                <w:noProof/>
                <w:webHidden/>
              </w:rPr>
              <w:instrText xml:space="preserve"> PAGEREF _Toc39585263 \h </w:instrText>
            </w:r>
            <w:r w:rsidR="00BE2C1D">
              <w:rPr>
                <w:noProof/>
                <w:webHidden/>
              </w:rPr>
            </w:r>
            <w:r w:rsidR="00BE2C1D">
              <w:rPr>
                <w:noProof/>
                <w:webHidden/>
              </w:rPr>
              <w:fldChar w:fldCharType="separate"/>
            </w:r>
            <w:r w:rsidR="00606298">
              <w:rPr>
                <w:noProof/>
                <w:webHidden/>
              </w:rPr>
              <w:t>151</w:t>
            </w:r>
            <w:r w:rsidR="00BE2C1D">
              <w:rPr>
                <w:noProof/>
                <w:webHidden/>
              </w:rPr>
              <w:fldChar w:fldCharType="end"/>
            </w:r>
          </w:hyperlink>
        </w:p>
        <w:p w14:paraId="1C58CACC" w14:textId="685B992E" w:rsidR="00BE2C1D" w:rsidRDefault="0046350E">
          <w:pPr>
            <w:pStyle w:val="TOC2"/>
            <w:tabs>
              <w:tab w:val="right" w:leader="dot" w:pos="9016"/>
            </w:tabs>
            <w:rPr>
              <w:rFonts w:eastAsiaTheme="minorEastAsia"/>
              <w:noProof/>
              <w:lang w:eastAsia="en-GB"/>
            </w:rPr>
          </w:pPr>
          <w:hyperlink w:anchor="_Toc39585264" w:history="1">
            <w:r w:rsidR="00BE2C1D" w:rsidRPr="000A518F">
              <w:rPr>
                <w:rStyle w:val="Hyperlink"/>
                <w:rFonts w:asciiTheme="majorHAnsi" w:eastAsiaTheme="majorEastAsia" w:hAnsiTheme="majorHAnsi" w:cstheme="majorBidi"/>
                <w:noProof/>
                <w:lang w:eastAsia="zh-CN"/>
              </w:rPr>
              <w:t>Introduction</w:t>
            </w:r>
            <w:r w:rsidR="00BE2C1D">
              <w:rPr>
                <w:noProof/>
                <w:webHidden/>
              </w:rPr>
              <w:tab/>
            </w:r>
            <w:r w:rsidR="00BE2C1D">
              <w:rPr>
                <w:noProof/>
                <w:webHidden/>
              </w:rPr>
              <w:fldChar w:fldCharType="begin"/>
            </w:r>
            <w:r w:rsidR="00BE2C1D">
              <w:rPr>
                <w:noProof/>
                <w:webHidden/>
              </w:rPr>
              <w:instrText xml:space="preserve"> PAGEREF _Toc39585264 \h </w:instrText>
            </w:r>
            <w:r w:rsidR="00BE2C1D">
              <w:rPr>
                <w:noProof/>
                <w:webHidden/>
              </w:rPr>
            </w:r>
            <w:r w:rsidR="00BE2C1D">
              <w:rPr>
                <w:noProof/>
                <w:webHidden/>
              </w:rPr>
              <w:fldChar w:fldCharType="separate"/>
            </w:r>
            <w:r w:rsidR="00606298">
              <w:rPr>
                <w:noProof/>
                <w:webHidden/>
              </w:rPr>
              <w:t>151</w:t>
            </w:r>
            <w:r w:rsidR="00BE2C1D">
              <w:rPr>
                <w:noProof/>
                <w:webHidden/>
              </w:rPr>
              <w:fldChar w:fldCharType="end"/>
            </w:r>
          </w:hyperlink>
        </w:p>
        <w:p w14:paraId="1568C329" w14:textId="116896DA" w:rsidR="00BE2C1D" w:rsidRDefault="0046350E">
          <w:pPr>
            <w:pStyle w:val="TOC2"/>
            <w:tabs>
              <w:tab w:val="right" w:leader="dot" w:pos="9016"/>
            </w:tabs>
            <w:rPr>
              <w:rFonts w:eastAsiaTheme="minorEastAsia"/>
              <w:noProof/>
              <w:lang w:eastAsia="en-GB"/>
            </w:rPr>
          </w:pPr>
          <w:hyperlink w:anchor="_Toc39585265" w:history="1">
            <w:r w:rsidR="00BE2C1D" w:rsidRPr="000A518F">
              <w:rPr>
                <w:rStyle w:val="Hyperlink"/>
                <w:rFonts w:asciiTheme="majorHAnsi" w:eastAsiaTheme="majorEastAsia" w:hAnsiTheme="majorHAnsi" w:cstheme="majorBidi"/>
                <w:noProof/>
              </w:rPr>
              <w:t>The dys-appearing body</w:t>
            </w:r>
            <w:r w:rsidR="00BE2C1D">
              <w:rPr>
                <w:noProof/>
                <w:webHidden/>
              </w:rPr>
              <w:tab/>
            </w:r>
            <w:r w:rsidR="00BE2C1D">
              <w:rPr>
                <w:noProof/>
                <w:webHidden/>
              </w:rPr>
              <w:fldChar w:fldCharType="begin"/>
            </w:r>
            <w:r w:rsidR="00BE2C1D">
              <w:rPr>
                <w:noProof/>
                <w:webHidden/>
              </w:rPr>
              <w:instrText xml:space="preserve"> PAGEREF _Toc39585265 \h </w:instrText>
            </w:r>
            <w:r w:rsidR="00BE2C1D">
              <w:rPr>
                <w:noProof/>
                <w:webHidden/>
              </w:rPr>
            </w:r>
            <w:r w:rsidR="00BE2C1D">
              <w:rPr>
                <w:noProof/>
                <w:webHidden/>
              </w:rPr>
              <w:fldChar w:fldCharType="separate"/>
            </w:r>
            <w:r w:rsidR="00606298">
              <w:rPr>
                <w:noProof/>
                <w:webHidden/>
              </w:rPr>
              <w:t>152</w:t>
            </w:r>
            <w:r w:rsidR="00BE2C1D">
              <w:rPr>
                <w:noProof/>
                <w:webHidden/>
              </w:rPr>
              <w:fldChar w:fldCharType="end"/>
            </w:r>
          </w:hyperlink>
        </w:p>
        <w:p w14:paraId="6F13C792" w14:textId="6BA76333" w:rsidR="00BE2C1D" w:rsidRDefault="0046350E">
          <w:pPr>
            <w:pStyle w:val="TOC2"/>
            <w:tabs>
              <w:tab w:val="right" w:leader="dot" w:pos="9016"/>
            </w:tabs>
            <w:rPr>
              <w:rFonts w:eastAsiaTheme="minorEastAsia"/>
              <w:noProof/>
              <w:lang w:eastAsia="en-GB"/>
            </w:rPr>
          </w:pPr>
          <w:hyperlink w:anchor="_Toc39585266" w:history="1">
            <w:r w:rsidR="00BE2C1D" w:rsidRPr="000A518F">
              <w:rPr>
                <w:rStyle w:val="Hyperlink"/>
                <w:rFonts w:asciiTheme="majorHAnsi" w:eastAsiaTheme="majorEastAsia" w:hAnsiTheme="majorHAnsi" w:cstheme="majorBidi"/>
                <w:noProof/>
                <w:lang w:eastAsia="zh-CN"/>
              </w:rPr>
              <w:t>Dys-appearance in Schools</w:t>
            </w:r>
            <w:r w:rsidR="00BE2C1D">
              <w:rPr>
                <w:noProof/>
                <w:webHidden/>
              </w:rPr>
              <w:tab/>
            </w:r>
            <w:r w:rsidR="00BE2C1D">
              <w:rPr>
                <w:noProof/>
                <w:webHidden/>
              </w:rPr>
              <w:fldChar w:fldCharType="begin"/>
            </w:r>
            <w:r w:rsidR="00BE2C1D">
              <w:rPr>
                <w:noProof/>
                <w:webHidden/>
              </w:rPr>
              <w:instrText xml:space="preserve"> PAGEREF _Toc39585266 \h </w:instrText>
            </w:r>
            <w:r w:rsidR="00BE2C1D">
              <w:rPr>
                <w:noProof/>
                <w:webHidden/>
              </w:rPr>
            </w:r>
            <w:r w:rsidR="00BE2C1D">
              <w:rPr>
                <w:noProof/>
                <w:webHidden/>
              </w:rPr>
              <w:fldChar w:fldCharType="separate"/>
            </w:r>
            <w:r w:rsidR="00606298">
              <w:rPr>
                <w:noProof/>
                <w:webHidden/>
              </w:rPr>
              <w:t>154</w:t>
            </w:r>
            <w:r w:rsidR="00BE2C1D">
              <w:rPr>
                <w:noProof/>
                <w:webHidden/>
              </w:rPr>
              <w:fldChar w:fldCharType="end"/>
            </w:r>
          </w:hyperlink>
        </w:p>
        <w:p w14:paraId="64DC1769" w14:textId="7F5B1136" w:rsidR="00BE2C1D" w:rsidRDefault="0046350E">
          <w:pPr>
            <w:pStyle w:val="TOC2"/>
            <w:tabs>
              <w:tab w:val="right" w:leader="dot" w:pos="9016"/>
            </w:tabs>
            <w:rPr>
              <w:rFonts w:eastAsiaTheme="minorEastAsia"/>
              <w:noProof/>
              <w:lang w:eastAsia="en-GB"/>
            </w:rPr>
          </w:pPr>
          <w:hyperlink w:anchor="_Toc39585267" w:history="1">
            <w:r w:rsidR="00BE2C1D" w:rsidRPr="000A518F">
              <w:rPr>
                <w:rStyle w:val="Hyperlink"/>
                <w:rFonts w:asciiTheme="majorHAnsi" w:eastAsiaTheme="majorEastAsia" w:hAnsiTheme="majorHAnsi" w:cstheme="majorBidi"/>
                <w:noProof/>
                <w:lang w:eastAsia="zh-CN"/>
              </w:rPr>
              <w:t>Dys-appearing in Time and Space</w:t>
            </w:r>
            <w:r w:rsidR="00BE2C1D">
              <w:rPr>
                <w:noProof/>
                <w:webHidden/>
              </w:rPr>
              <w:tab/>
            </w:r>
            <w:r w:rsidR="00BE2C1D">
              <w:rPr>
                <w:noProof/>
                <w:webHidden/>
              </w:rPr>
              <w:fldChar w:fldCharType="begin"/>
            </w:r>
            <w:r w:rsidR="00BE2C1D">
              <w:rPr>
                <w:noProof/>
                <w:webHidden/>
              </w:rPr>
              <w:instrText xml:space="preserve"> PAGEREF _Toc39585267 \h </w:instrText>
            </w:r>
            <w:r w:rsidR="00BE2C1D">
              <w:rPr>
                <w:noProof/>
                <w:webHidden/>
              </w:rPr>
            </w:r>
            <w:r w:rsidR="00BE2C1D">
              <w:rPr>
                <w:noProof/>
                <w:webHidden/>
              </w:rPr>
              <w:fldChar w:fldCharType="separate"/>
            </w:r>
            <w:r w:rsidR="00606298">
              <w:rPr>
                <w:noProof/>
                <w:webHidden/>
              </w:rPr>
              <w:t>156</w:t>
            </w:r>
            <w:r w:rsidR="00BE2C1D">
              <w:rPr>
                <w:noProof/>
                <w:webHidden/>
              </w:rPr>
              <w:fldChar w:fldCharType="end"/>
            </w:r>
          </w:hyperlink>
        </w:p>
        <w:p w14:paraId="6A7AFC38" w14:textId="3504BC2F" w:rsidR="00BE2C1D" w:rsidRDefault="0046350E">
          <w:pPr>
            <w:pStyle w:val="TOC2"/>
            <w:tabs>
              <w:tab w:val="right" w:leader="dot" w:pos="9016"/>
            </w:tabs>
            <w:rPr>
              <w:rFonts w:eastAsiaTheme="minorEastAsia"/>
              <w:noProof/>
              <w:lang w:eastAsia="en-GB"/>
            </w:rPr>
          </w:pPr>
          <w:hyperlink w:anchor="_Toc39585268" w:history="1">
            <w:r w:rsidR="00BE2C1D" w:rsidRPr="000A518F">
              <w:rPr>
                <w:rStyle w:val="Hyperlink"/>
                <w:rFonts w:asciiTheme="majorHAnsi" w:eastAsiaTheme="majorEastAsia" w:hAnsiTheme="majorHAnsi" w:cstheme="majorBidi"/>
                <w:noProof/>
                <w:lang w:eastAsia="zh-CN"/>
              </w:rPr>
              <w:t>Dys-Appearing Through Questioning</w:t>
            </w:r>
            <w:r w:rsidR="00BE2C1D">
              <w:rPr>
                <w:noProof/>
                <w:webHidden/>
              </w:rPr>
              <w:tab/>
            </w:r>
            <w:r w:rsidR="00BE2C1D">
              <w:rPr>
                <w:noProof/>
                <w:webHidden/>
              </w:rPr>
              <w:fldChar w:fldCharType="begin"/>
            </w:r>
            <w:r w:rsidR="00BE2C1D">
              <w:rPr>
                <w:noProof/>
                <w:webHidden/>
              </w:rPr>
              <w:instrText xml:space="preserve"> PAGEREF _Toc39585268 \h </w:instrText>
            </w:r>
            <w:r w:rsidR="00BE2C1D">
              <w:rPr>
                <w:noProof/>
                <w:webHidden/>
              </w:rPr>
            </w:r>
            <w:r w:rsidR="00BE2C1D">
              <w:rPr>
                <w:noProof/>
                <w:webHidden/>
              </w:rPr>
              <w:fldChar w:fldCharType="separate"/>
            </w:r>
            <w:r w:rsidR="00606298">
              <w:rPr>
                <w:noProof/>
                <w:webHidden/>
              </w:rPr>
              <w:t>161</w:t>
            </w:r>
            <w:r w:rsidR="00BE2C1D">
              <w:rPr>
                <w:noProof/>
                <w:webHidden/>
              </w:rPr>
              <w:fldChar w:fldCharType="end"/>
            </w:r>
          </w:hyperlink>
        </w:p>
        <w:p w14:paraId="0B2AF1D3" w14:textId="6AE66C28" w:rsidR="00BE2C1D" w:rsidRDefault="0046350E">
          <w:pPr>
            <w:pStyle w:val="TOC2"/>
            <w:tabs>
              <w:tab w:val="right" w:leader="dot" w:pos="9016"/>
            </w:tabs>
            <w:rPr>
              <w:rFonts w:eastAsiaTheme="minorEastAsia"/>
              <w:noProof/>
              <w:lang w:eastAsia="en-GB"/>
            </w:rPr>
          </w:pPr>
          <w:hyperlink w:anchor="_Toc39585269" w:history="1">
            <w:r w:rsidR="00BE2C1D" w:rsidRPr="000A518F">
              <w:rPr>
                <w:rStyle w:val="Hyperlink"/>
                <w:rFonts w:asciiTheme="majorHAnsi" w:eastAsiaTheme="majorEastAsia" w:hAnsiTheme="majorHAnsi" w:cstheme="majorBidi"/>
                <w:noProof/>
              </w:rPr>
              <w:t>Dys-appearing in Physical Education</w:t>
            </w:r>
            <w:r w:rsidR="00BE2C1D">
              <w:rPr>
                <w:noProof/>
                <w:webHidden/>
              </w:rPr>
              <w:tab/>
            </w:r>
            <w:r w:rsidR="00BE2C1D">
              <w:rPr>
                <w:noProof/>
                <w:webHidden/>
              </w:rPr>
              <w:fldChar w:fldCharType="begin"/>
            </w:r>
            <w:r w:rsidR="00BE2C1D">
              <w:rPr>
                <w:noProof/>
                <w:webHidden/>
              </w:rPr>
              <w:instrText xml:space="preserve"> PAGEREF _Toc39585269 \h </w:instrText>
            </w:r>
            <w:r w:rsidR="00BE2C1D">
              <w:rPr>
                <w:noProof/>
                <w:webHidden/>
              </w:rPr>
            </w:r>
            <w:r w:rsidR="00BE2C1D">
              <w:rPr>
                <w:noProof/>
                <w:webHidden/>
              </w:rPr>
              <w:fldChar w:fldCharType="separate"/>
            </w:r>
            <w:r w:rsidR="00606298">
              <w:rPr>
                <w:noProof/>
                <w:webHidden/>
              </w:rPr>
              <w:t>166</w:t>
            </w:r>
            <w:r w:rsidR="00BE2C1D">
              <w:rPr>
                <w:noProof/>
                <w:webHidden/>
              </w:rPr>
              <w:fldChar w:fldCharType="end"/>
            </w:r>
          </w:hyperlink>
        </w:p>
        <w:p w14:paraId="098BDA56" w14:textId="2C9CAD3E" w:rsidR="00BE2C1D" w:rsidRDefault="0046350E">
          <w:pPr>
            <w:pStyle w:val="TOC2"/>
            <w:tabs>
              <w:tab w:val="right" w:leader="dot" w:pos="9016"/>
            </w:tabs>
            <w:rPr>
              <w:rFonts w:eastAsiaTheme="minorEastAsia"/>
              <w:noProof/>
              <w:lang w:eastAsia="en-GB"/>
            </w:rPr>
          </w:pPr>
          <w:hyperlink w:anchor="_Toc39585270" w:history="1">
            <w:r w:rsidR="00BE2C1D" w:rsidRPr="000A518F">
              <w:rPr>
                <w:rStyle w:val="Hyperlink"/>
                <w:rFonts w:asciiTheme="majorHAnsi" w:eastAsiaTheme="majorEastAsia" w:hAnsiTheme="majorHAnsi" w:cstheme="majorBidi"/>
                <w:noProof/>
                <w:lang w:eastAsia="zh-CN"/>
              </w:rPr>
              <w:t>Conclusions</w:t>
            </w:r>
            <w:r w:rsidR="00BE2C1D">
              <w:rPr>
                <w:noProof/>
                <w:webHidden/>
              </w:rPr>
              <w:tab/>
            </w:r>
            <w:r w:rsidR="00BE2C1D">
              <w:rPr>
                <w:noProof/>
                <w:webHidden/>
              </w:rPr>
              <w:fldChar w:fldCharType="begin"/>
            </w:r>
            <w:r w:rsidR="00BE2C1D">
              <w:rPr>
                <w:noProof/>
                <w:webHidden/>
              </w:rPr>
              <w:instrText xml:space="preserve"> PAGEREF _Toc39585270 \h </w:instrText>
            </w:r>
            <w:r w:rsidR="00BE2C1D">
              <w:rPr>
                <w:noProof/>
                <w:webHidden/>
              </w:rPr>
            </w:r>
            <w:r w:rsidR="00BE2C1D">
              <w:rPr>
                <w:noProof/>
                <w:webHidden/>
              </w:rPr>
              <w:fldChar w:fldCharType="separate"/>
            </w:r>
            <w:r w:rsidR="00606298">
              <w:rPr>
                <w:noProof/>
                <w:webHidden/>
              </w:rPr>
              <w:t>173</w:t>
            </w:r>
            <w:r w:rsidR="00BE2C1D">
              <w:rPr>
                <w:noProof/>
                <w:webHidden/>
              </w:rPr>
              <w:fldChar w:fldCharType="end"/>
            </w:r>
          </w:hyperlink>
        </w:p>
        <w:p w14:paraId="5543CEF0" w14:textId="23FDA8A9" w:rsidR="00BE2C1D" w:rsidRDefault="0046350E">
          <w:pPr>
            <w:pStyle w:val="TOC1"/>
            <w:tabs>
              <w:tab w:val="right" w:leader="dot" w:pos="9016"/>
            </w:tabs>
            <w:rPr>
              <w:rFonts w:eastAsiaTheme="minorEastAsia"/>
              <w:noProof/>
              <w:lang w:eastAsia="en-GB"/>
            </w:rPr>
          </w:pPr>
          <w:hyperlink w:anchor="_Toc39585271" w:history="1">
            <w:r w:rsidR="00BE2C1D" w:rsidRPr="000A518F">
              <w:rPr>
                <w:rStyle w:val="Hyperlink"/>
                <w:rFonts w:asciiTheme="majorHAnsi" w:eastAsiaTheme="majorEastAsia" w:hAnsiTheme="majorHAnsi" w:cstheme="majorBidi"/>
                <w:noProof/>
                <w:lang w:eastAsia="zh-CN"/>
              </w:rPr>
              <w:t>Chapter 7: En/Counters with School Violence: The Experiences of Bullying of Young People with RG</w:t>
            </w:r>
            <w:r w:rsidR="00BE2C1D">
              <w:rPr>
                <w:noProof/>
                <w:webHidden/>
              </w:rPr>
              <w:tab/>
            </w:r>
            <w:r w:rsidR="00BE2C1D">
              <w:rPr>
                <w:noProof/>
                <w:webHidden/>
              </w:rPr>
              <w:fldChar w:fldCharType="begin"/>
            </w:r>
            <w:r w:rsidR="00BE2C1D">
              <w:rPr>
                <w:noProof/>
                <w:webHidden/>
              </w:rPr>
              <w:instrText xml:space="preserve"> PAGEREF _Toc39585271 \h </w:instrText>
            </w:r>
            <w:r w:rsidR="00BE2C1D">
              <w:rPr>
                <w:noProof/>
                <w:webHidden/>
              </w:rPr>
            </w:r>
            <w:r w:rsidR="00BE2C1D">
              <w:rPr>
                <w:noProof/>
                <w:webHidden/>
              </w:rPr>
              <w:fldChar w:fldCharType="separate"/>
            </w:r>
            <w:r w:rsidR="00606298">
              <w:rPr>
                <w:noProof/>
                <w:webHidden/>
              </w:rPr>
              <w:t>175</w:t>
            </w:r>
            <w:r w:rsidR="00BE2C1D">
              <w:rPr>
                <w:noProof/>
                <w:webHidden/>
              </w:rPr>
              <w:fldChar w:fldCharType="end"/>
            </w:r>
          </w:hyperlink>
        </w:p>
        <w:p w14:paraId="2566A1C9" w14:textId="5CC0A9B8" w:rsidR="00BE2C1D" w:rsidRDefault="0046350E">
          <w:pPr>
            <w:pStyle w:val="TOC2"/>
            <w:tabs>
              <w:tab w:val="right" w:leader="dot" w:pos="9016"/>
            </w:tabs>
            <w:rPr>
              <w:rFonts w:eastAsiaTheme="minorEastAsia"/>
              <w:noProof/>
              <w:lang w:eastAsia="en-GB"/>
            </w:rPr>
          </w:pPr>
          <w:hyperlink w:anchor="_Toc39585272" w:history="1">
            <w:r w:rsidR="00BE2C1D" w:rsidRPr="000A518F">
              <w:rPr>
                <w:rStyle w:val="Hyperlink"/>
                <w:rFonts w:asciiTheme="majorHAnsi" w:eastAsiaTheme="majorEastAsia" w:hAnsiTheme="majorHAnsi" w:cstheme="majorBidi"/>
                <w:noProof/>
              </w:rPr>
              <w:t>Introduction</w:t>
            </w:r>
            <w:r w:rsidR="00BE2C1D">
              <w:rPr>
                <w:noProof/>
                <w:webHidden/>
              </w:rPr>
              <w:tab/>
            </w:r>
            <w:r w:rsidR="00BE2C1D">
              <w:rPr>
                <w:noProof/>
                <w:webHidden/>
              </w:rPr>
              <w:fldChar w:fldCharType="begin"/>
            </w:r>
            <w:r w:rsidR="00BE2C1D">
              <w:rPr>
                <w:noProof/>
                <w:webHidden/>
              </w:rPr>
              <w:instrText xml:space="preserve"> PAGEREF _Toc39585272 \h </w:instrText>
            </w:r>
            <w:r w:rsidR="00BE2C1D">
              <w:rPr>
                <w:noProof/>
                <w:webHidden/>
              </w:rPr>
            </w:r>
            <w:r w:rsidR="00BE2C1D">
              <w:rPr>
                <w:noProof/>
                <w:webHidden/>
              </w:rPr>
              <w:fldChar w:fldCharType="separate"/>
            </w:r>
            <w:r w:rsidR="00606298">
              <w:rPr>
                <w:noProof/>
                <w:webHidden/>
              </w:rPr>
              <w:t>175</w:t>
            </w:r>
            <w:r w:rsidR="00BE2C1D">
              <w:rPr>
                <w:noProof/>
                <w:webHidden/>
              </w:rPr>
              <w:fldChar w:fldCharType="end"/>
            </w:r>
          </w:hyperlink>
        </w:p>
        <w:p w14:paraId="6D595244" w14:textId="5007E6E1" w:rsidR="00BE2C1D" w:rsidRDefault="0046350E">
          <w:pPr>
            <w:pStyle w:val="TOC2"/>
            <w:tabs>
              <w:tab w:val="right" w:leader="dot" w:pos="9016"/>
            </w:tabs>
            <w:rPr>
              <w:rFonts w:eastAsiaTheme="minorEastAsia"/>
              <w:noProof/>
              <w:lang w:eastAsia="en-GB"/>
            </w:rPr>
          </w:pPr>
          <w:hyperlink w:anchor="_Toc39585273" w:history="1">
            <w:r w:rsidR="00BE2C1D" w:rsidRPr="000A518F">
              <w:rPr>
                <w:rStyle w:val="Hyperlink"/>
                <w:rFonts w:asciiTheme="majorHAnsi" w:eastAsiaTheme="majorEastAsia" w:hAnsiTheme="majorHAnsi" w:cstheme="majorBidi"/>
                <w:noProof/>
              </w:rPr>
              <w:t>Ethical Considerations on Sharing Sensitive Stories</w:t>
            </w:r>
            <w:r w:rsidR="00BE2C1D">
              <w:rPr>
                <w:noProof/>
                <w:webHidden/>
              </w:rPr>
              <w:tab/>
            </w:r>
            <w:r w:rsidR="00BE2C1D">
              <w:rPr>
                <w:noProof/>
                <w:webHidden/>
              </w:rPr>
              <w:fldChar w:fldCharType="begin"/>
            </w:r>
            <w:r w:rsidR="00BE2C1D">
              <w:rPr>
                <w:noProof/>
                <w:webHidden/>
              </w:rPr>
              <w:instrText xml:space="preserve"> PAGEREF _Toc39585273 \h </w:instrText>
            </w:r>
            <w:r w:rsidR="00BE2C1D">
              <w:rPr>
                <w:noProof/>
                <w:webHidden/>
              </w:rPr>
            </w:r>
            <w:r w:rsidR="00BE2C1D">
              <w:rPr>
                <w:noProof/>
                <w:webHidden/>
              </w:rPr>
              <w:fldChar w:fldCharType="separate"/>
            </w:r>
            <w:r w:rsidR="00606298">
              <w:rPr>
                <w:noProof/>
                <w:webHidden/>
              </w:rPr>
              <w:t>176</w:t>
            </w:r>
            <w:r w:rsidR="00BE2C1D">
              <w:rPr>
                <w:noProof/>
                <w:webHidden/>
              </w:rPr>
              <w:fldChar w:fldCharType="end"/>
            </w:r>
          </w:hyperlink>
        </w:p>
        <w:p w14:paraId="16B5E807" w14:textId="6A2785FE" w:rsidR="00BE2C1D" w:rsidRDefault="0046350E">
          <w:pPr>
            <w:pStyle w:val="TOC2"/>
            <w:tabs>
              <w:tab w:val="right" w:leader="dot" w:pos="9016"/>
            </w:tabs>
            <w:rPr>
              <w:rFonts w:eastAsiaTheme="minorEastAsia"/>
              <w:noProof/>
              <w:lang w:eastAsia="en-GB"/>
            </w:rPr>
          </w:pPr>
          <w:hyperlink w:anchor="_Toc39585274" w:history="1">
            <w:r w:rsidR="00BE2C1D" w:rsidRPr="000A518F">
              <w:rPr>
                <w:rStyle w:val="Hyperlink"/>
                <w:rFonts w:asciiTheme="majorHAnsi" w:eastAsiaTheme="majorEastAsia" w:hAnsiTheme="majorHAnsi" w:cstheme="majorBidi"/>
                <w:noProof/>
              </w:rPr>
              <w:t>Researching School Violence and Disability</w:t>
            </w:r>
            <w:r w:rsidR="00BE2C1D">
              <w:rPr>
                <w:noProof/>
                <w:webHidden/>
              </w:rPr>
              <w:tab/>
            </w:r>
            <w:r w:rsidR="00BE2C1D">
              <w:rPr>
                <w:noProof/>
                <w:webHidden/>
              </w:rPr>
              <w:fldChar w:fldCharType="begin"/>
            </w:r>
            <w:r w:rsidR="00BE2C1D">
              <w:rPr>
                <w:noProof/>
                <w:webHidden/>
              </w:rPr>
              <w:instrText xml:space="preserve"> PAGEREF _Toc39585274 \h </w:instrText>
            </w:r>
            <w:r w:rsidR="00BE2C1D">
              <w:rPr>
                <w:noProof/>
                <w:webHidden/>
              </w:rPr>
            </w:r>
            <w:r w:rsidR="00BE2C1D">
              <w:rPr>
                <w:noProof/>
                <w:webHidden/>
              </w:rPr>
              <w:fldChar w:fldCharType="separate"/>
            </w:r>
            <w:r w:rsidR="00606298">
              <w:rPr>
                <w:noProof/>
                <w:webHidden/>
              </w:rPr>
              <w:t>177</w:t>
            </w:r>
            <w:r w:rsidR="00BE2C1D">
              <w:rPr>
                <w:noProof/>
                <w:webHidden/>
              </w:rPr>
              <w:fldChar w:fldCharType="end"/>
            </w:r>
          </w:hyperlink>
        </w:p>
        <w:p w14:paraId="5B93089E" w14:textId="27146438" w:rsidR="00BE2C1D" w:rsidRDefault="0046350E">
          <w:pPr>
            <w:pStyle w:val="TOC2"/>
            <w:tabs>
              <w:tab w:val="right" w:leader="dot" w:pos="9016"/>
            </w:tabs>
            <w:rPr>
              <w:rFonts w:eastAsiaTheme="minorEastAsia"/>
              <w:noProof/>
              <w:lang w:eastAsia="en-GB"/>
            </w:rPr>
          </w:pPr>
          <w:hyperlink w:anchor="_Toc39585275" w:history="1">
            <w:r w:rsidR="00BE2C1D" w:rsidRPr="000A518F">
              <w:rPr>
                <w:rStyle w:val="Hyperlink"/>
                <w:rFonts w:asciiTheme="majorHAnsi" w:eastAsiaTheme="majorEastAsia" w:hAnsiTheme="majorHAnsi" w:cstheme="majorBidi"/>
                <w:noProof/>
              </w:rPr>
              <w:t>Stories of ‘Real’ Violence: Physical and Cultural Bullying</w:t>
            </w:r>
            <w:r w:rsidR="00BE2C1D">
              <w:rPr>
                <w:noProof/>
                <w:webHidden/>
              </w:rPr>
              <w:tab/>
            </w:r>
            <w:r w:rsidR="00BE2C1D">
              <w:rPr>
                <w:noProof/>
                <w:webHidden/>
              </w:rPr>
              <w:fldChar w:fldCharType="begin"/>
            </w:r>
            <w:r w:rsidR="00BE2C1D">
              <w:rPr>
                <w:noProof/>
                <w:webHidden/>
              </w:rPr>
              <w:instrText xml:space="preserve"> PAGEREF _Toc39585275 \h </w:instrText>
            </w:r>
            <w:r w:rsidR="00BE2C1D">
              <w:rPr>
                <w:noProof/>
                <w:webHidden/>
              </w:rPr>
            </w:r>
            <w:r w:rsidR="00BE2C1D">
              <w:rPr>
                <w:noProof/>
                <w:webHidden/>
              </w:rPr>
              <w:fldChar w:fldCharType="separate"/>
            </w:r>
            <w:r w:rsidR="00606298">
              <w:rPr>
                <w:noProof/>
                <w:webHidden/>
              </w:rPr>
              <w:t>180</w:t>
            </w:r>
            <w:r w:rsidR="00BE2C1D">
              <w:rPr>
                <w:noProof/>
                <w:webHidden/>
              </w:rPr>
              <w:fldChar w:fldCharType="end"/>
            </w:r>
          </w:hyperlink>
        </w:p>
        <w:p w14:paraId="32BE7874" w14:textId="207AA88B" w:rsidR="00BE2C1D" w:rsidRDefault="0046350E">
          <w:pPr>
            <w:pStyle w:val="TOC2"/>
            <w:tabs>
              <w:tab w:val="right" w:leader="dot" w:pos="9016"/>
            </w:tabs>
            <w:rPr>
              <w:rFonts w:eastAsiaTheme="minorEastAsia"/>
              <w:noProof/>
              <w:lang w:eastAsia="en-GB"/>
            </w:rPr>
          </w:pPr>
          <w:hyperlink w:anchor="_Toc39585276" w:history="1">
            <w:r w:rsidR="00BE2C1D" w:rsidRPr="000A518F">
              <w:rPr>
                <w:rStyle w:val="Hyperlink"/>
                <w:rFonts w:asciiTheme="majorHAnsi" w:eastAsiaTheme="majorEastAsia" w:hAnsiTheme="majorHAnsi" w:cstheme="majorBidi"/>
                <w:noProof/>
              </w:rPr>
              <w:t>Stories of Psycho-emotional Violence</w:t>
            </w:r>
            <w:r w:rsidR="00BE2C1D">
              <w:rPr>
                <w:noProof/>
                <w:webHidden/>
              </w:rPr>
              <w:tab/>
            </w:r>
            <w:r w:rsidR="00BE2C1D">
              <w:rPr>
                <w:noProof/>
                <w:webHidden/>
              </w:rPr>
              <w:fldChar w:fldCharType="begin"/>
            </w:r>
            <w:r w:rsidR="00BE2C1D">
              <w:rPr>
                <w:noProof/>
                <w:webHidden/>
              </w:rPr>
              <w:instrText xml:space="preserve"> PAGEREF _Toc39585276 \h </w:instrText>
            </w:r>
            <w:r w:rsidR="00BE2C1D">
              <w:rPr>
                <w:noProof/>
                <w:webHidden/>
              </w:rPr>
            </w:r>
            <w:r w:rsidR="00BE2C1D">
              <w:rPr>
                <w:noProof/>
                <w:webHidden/>
              </w:rPr>
              <w:fldChar w:fldCharType="separate"/>
            </w:r>
            <w:r w:rsidR="00606298">
              <w:rPr>
                <w:noProof/>
                <w:webHidden/>
              </w:rPr>
              <w:t>184</w:t>
            </w:r>
            <w:r w:rsidR="00BE2C1D">
              <w:rPr>
                <w:noProof/>
                <w:webHidden/>
              </w:rPr>
              <w:fldChar w:fldCharType="end"/>
            </w:r>
          </w:hyperlink>
        </w:p>
        <w:p w14:paraId="501FD8ED" w14:textId="5B1113F0" w:rsidR="00BE2C1D" w:rsidRDefault="0046350E">
          <w:pPr>
            <w:pStyle w:val="TOC3"/>
            <w:tabs>
              <w:tab w:val="right" w:leader="dot" w:pos="9016"/>
            </w:tabs>
            <w:rPr>
              <w:rFonts w:eastAsiaTheme="minorEastAsia"/>
              <w:noProof/>
              <w:lang w:eastAsia="en-GB"/>
            </w:rPr>
          </w:pPr>
          <w:hyperlink w:anchor="_Toc39585277" w:history="1">
            <w:r w:rsidR="00BE2C1D" w:rsidRPr="000A518F">
              <w:rPr>
                <w:rStyle w:val="Hyperlink"/>
                <w:rFonts w:asciiTheme="majorHAnsi" w:eastAsiaTheme="majorEastAsia" w:hAnsiTheme="majorHAnsi" w:cstheme="majorBidi"/>
                <w:noProof/>
                <w:shd w:val="clear" w:color="auto" w:fill="FFFFFF"/>
              </w:rPr>
              <w:t>Psycho-emotional Violence</w:t>
            </w:r>
            <w:r w:rsidR="00BE2C1D">
              <w:rPr>
                <w:noProof/>
                <w:webHidden/>
              </w:rPr>
              <w:tab/>
            </w:r>
            <w:r w:rsidR="00BE2C1D">
              <w:rPr>
                <w:noProof/>
                <w:webHidden/>
              </w:rPr>
              <w:fldChar w:fldCharType="begin"/>
            </w:r>
            <w:r w:rsidR="00BE2C1D">
              <w:rPr>
                <w:noProof/>
                <w:webHidden/>
              </w:rPr>
              <w:instrText xml:space="preserve"> PAGEREF _Toc39585277 \h </w:instrText>
            </w:r>
            <w:r w:rsidR="00BE2C1D">
              <w:rPr>
                <w:noProof/>
                <w:webHidden/>
              </w:rPr>
            </w:r>
            <w:r w:rsidR="00BE2C1D">
              <w:rPr>
                <w:noProof/>
                <w:webHidden/>
              </w:rPr>
              <w:fldChar w:fldCharType="separate"/>
            </w:r>
            <w:r w:rsidR="00606298">
              <w:rPr>
                <w:noProof/>
                <w:webHidden/>
              </w:rPr>
              <w:t>185</w:t>
            </w:r>
            <w:r w:rsidR="00BE2C1D">
              <w:rPr>
                <w:noProof/>
                <w:webHidden/>
              </w:rPr>
              <w:fldChar w:fldCharType="end"/>
            </w:r>
          </w:hyperlink>
        </w:p>
        <w:p w14:paraId="70D1CD51" w14:textId="7D932626" w:rsidR="00BE2C1D" w:rsidRDefault="0046350E">
          <w:pPr>
            <w:pStyle w:val="TOC2"/>
            <w:tabs>
              <w:tab w:val="right" w:leader="dot" w:pos="9016"/>
            </w:tabs>
            <w:rPr>
              <w:rFonts w:eastAsiaTheme="minorEastAsia"/>
              <w:noProof/>
              <w:lang w:eastAsia="en-GB"/>
            </w:rPr>
          </w:pPr>
          <w:hyperlink w:anchor="_Toc39585278" w:history="1">
            <w:r w:rsidR="00BE2C1D" w:rsidRPr="000A518F">
              <w:rPr>
                <w:rStyle w:val="Hyperlink"/>
                <w:rFonts w:asciiTheme="majorHAnsi" w:eastAsiaTheme="majorEastAsia" w:hAnsiTheme="majorHAnsi" w:cstheme="majorBidi"/>
                <w:noProof/>
              </w:rPr>
              <w:t>Stories of Systemic Violence</w:t>
            </w:r>
            <w:r w:rsidR="00BE2C1D">
              <w:rPr>
                <w:noProof/>
                <w:webHidden/>
              </w:rPr>
              <w:tab/>
            </w:r>
            <w:r w:rsidR="00BE2C1D">
              <w:rPr>
                <w:noProof/>
                <w:webHidden/>
              </w:rPr>
              <w:fldChar w:fldCharType="begin"/>
            </w:r>
            <w:r w:rsidR="00BE2C1D">
              <w:rPr>
                <w:noProof/>
                <w:webHidden/>
              </w:rPr>
              <w:instrText xml:space="preserve"> PAGEREF _Toc39585278 \h </w:instrText>
            </w:r>
            <w:r w:rsidR="00BE2C1D">
              <w:rPr>
                <w:noProof/>
                <w:webHidden/>
              </w:rPr>
            </w:r>
            <w:r w:rsidR="00BE2C1D">
              <w:rPr>
                <w:noProof/>
                <w:webHidden/>
              </w:rPr>
              <w:fldChar w:fldCharType="separate"/>
            </w:r>
            <w:r w:rsidR="00606298">
              <w:rPr>
                <w:noProof/>
                <w:webHidden/>
              </w:rPr>
              <w:t>188</w:t>
            </w:r>
            <w:r w:rsidR="00BE2C1D">
              <w:rPr>
                <w:noProof/>
                <w:webHidden/>
              </w:rPr>
              <w:fldChar w:fldCharType="end"/>
            </w:r>
          </w:hyperlink>
        </w:p>
        <w:p w14:paraId="3BBE98BB" w14:textId="7E86DF15" w:rsidR="00BE2C1D" w:rsidRDefault="0046350E">
          <w:pPr>
            <w:pStyle w:val="TOC3"/>
            <w:tabs>
              <w:tab w:val="right" w:leader="dot" w:pos="9016"/>
            </w:tabs>
            <w:rPr>
              <w:rFonts w:eastAsiaTheme="minorEastAsia"/>
              <w:noProof/>
              <w:lang w:eastAsia="en-GB"/>
            </w:rPr>
          </w:pPr>
          <w:hyperlink w:anchor="_Toc39585279" w:history="1">
            <w:r w:rsidR="00BE2C1D" w:rsidRPr="000A518F">
              <w:rPr>
                <w:rStyle w:val="Hyperlink"/>
                <w:rFonts w:asciiTheme="majorHAnsi" w:eastAsiaTheme="majorEastAsia" w:hAnsiTheme="majorHAnsi" w:cstheme="majorBidi"/>
                <w:noProof/>
                <w:lang w:eastAsia="en-GB"/>
              </w:rPr>
              <w:t>Schools’ Responses to Violence</w:t>
            </w:r>
            <w:r w:rsidR="00BE2C1D">
              <w:rPr>
                <w:noProof/>
                <w:webHidden/>
              </w:rPr>
              <w:tab/>
            </w:r>
            <w:r w:rsidR="00BE2C1D">
              <w:rPr>
                <w:noProof/>
                <w:webHidden/>
              </w:rPr>
              <w:fldChar w:fldCharType="begin"/>
            </w:r>
            <w:r w:rsidR="00BE2C1D">
              <w:rPr>
                <w:noProof/>
                <w:webHidden/>
              </w:rPr>
              <w:instrText xml:space="preserve"> PAGEREF _Toc39585279 \h </w:instrText>
            </w:r>
            <w:r w:rsidR="00BE2C1D">
              <w:rPr>
                <w:noProof/>
                <w:webHidden/>
              </w:rPr>
            </w:r>
            <w:r w:rsidR="00BE2C1D">
              <w:rPr>
                <w:noProof/>
                <w:webHidden/>
              </w:rPr>
              <w:fldChar w:fldCharType="separate"/>
            </w:r>
            <w:r w:rsidR="00606298">
              <w:rPr>
                <w:noProof/>
                <w:webHidden/>
              </w:rPr>
              <w:t>189</w:t>
            </w:r>
            <w:r w:rsidR="00BE2C1D">
              <w:rPr>
                <w:noProof/>
                <w:webHidden/>
              </w:rPr>
              <w:fldChar w:fldCharType="end"/>
            </w:r>
          </w:hyperlink>
        </w:p>
        <w:p w14:paraId="19F624F6" w14:textId="4F9B89D9" w:rsidR="00BE2C1D" w:rsidRDefault="0046350E">
          <w:pPr>
            <w:pStyle w:val="TOC3"/>
            <w:tabs>
              <w:tab w:val="right" w:leader="dot" w:pos="9016"/>
            </w:tabs>
            <w:rPr>
              <w:rFonts w:eastAsiaTheme="minorEastAsia"/>
              <w:noProof/>
              <w:lang w:eastAsia="en-GB"/>
            </w:rPr>
          </w:pPr>
          <w:hyperlink w:anchor="_Toc39585280" w:history="1">
            <w:r w:rsidR="00BE2C1D" w:rsidRPr="000A518F">
              <w:rPr>
                <w:rStyle w:val="Hyperlink"/>
                <w:rFonts w:asciiTheme="majorHAnsi" w:eastAsiaTheme="majorEastAsia" w:hAnsiTheme="majorHAnsi" w:cstheme="majorBidi"/>
                <w:noProof/>
              </w:rPr>
              <w:t>The Administrative Response to Bullying</w:t>
            </w:r>
            <w:r w:rsidR="00BE2C1D">
              <w:rPr>
                <w:noProof/>
                <w:webHidden/>
              </w:rPr>
              <w:tab/>
            </w:r>
            <w:r w:rsidR="00BE2C1D">
              <w:rPr>
                <w:noProof/>
                <w:webHidden/>
              </w:rPr>
              <w:fldChar w:fldCharType="begin"/>
            </w:r>
            <w:r w:rsidR="00BE2C1D">
              <w:rPr>
                <w:noProof/>
                <w:webHidden/>
              </w:rPr>
              <w:instrText xml:space="preserve"> PAGEREF _Toc39585280 \h </w:instrText>
            </w:r>
            <w:r w:rsidR="00BE2C1D">
              <w:rPr>
                <w:noProof/>
                <w:webHidden/>
              </w:rPr>
            </w:r>
            <w:r w:rsidR="00BE2C1D">
              <w:rPr>
                <w:noProof/>
                <w:webHidden/>
              </w:rPr>
              <w:fldChar w:fldCharType="separate"/>
            </w:r>
            <w:r w:rsidR="00606298">
              <w:rPr>
                <w:noProof/>
                <w:webHidden/>
              </w:rPr>
              <w:t>192</w:t>
            </w:r>
            <w:r w:rsidR="00BE2C1D">
              <w:rPr>
                <w:noProof/>
                <w:webHidden/>
              </w:rPr>
              <w:fldChar w:fldCharType="end"/>
            </w:r>
          </w:hyperlink>
        </w:p>
        <w:p w14:paraId="12F4C1D8" w14:textId="3B650644" w:rsidR="00BE2C1D" w:rsidRDefault="0046350E">
          <w:pPr>
            <w:pStyle w:val="TOC2"/>
            <w:tabs>
              <w:tab w:val="right" w:leader="dot" w:pos="9016"/>
            </w:tabs>
            <w:rPr>
              <w:rFonts w:eastAsiaTheme="minorEastAsia"/>
              <w:noProof/>
              <w:lang w:eastAsia="en-GB"/>
            </w:rPr>
          </w:pPr>
          <w:hyperlink w:anchor="_Toc39585281" w:history="1">
            <w:r w:rsidR="00BE2C1D" w:rsidRPr="000A518F">
              <w:rPr>
                <w:rStyle w:val="Hyperlink"/>
                <w:rFonts w:asciiTheme="majorHAnsi" w:eastAsiaTheme="majorEastAsia" w:hAnsiTheme="majorHAnsi" w:cstheme="majorBidi"/>
                <w:noProof/>
              </w:rPr>
              <w:t>Stories of Resistance to Violence</w:t>
            </w:r>
            <w:r w:rsidR="00BE2C1D">
              <w:rPr>
                <w:noProof/>
                <w:webHidden/>
              </w:rPr>
              <w:tab/>
            </w:r>
            <w:r w:rsidR="00BE2C1D">
              <w:rPr>
                <w:noProof/>
                <w:webHidden/>
              </w:rPr>
              <w:fldChar w:fldCharType="begin"/>
            </w:r>
            <w:r w:rsidR="00BE2C1D">
              <w:rPr>
                <w:noProof/>
                <w:webHidden/>
              </w:rPr>
              <w:instrText xml:space="preserve"> PAGEREF _Toc39585281 \h </w:instrText>
            </w:r>
            <w:r w:rsidR="00BE2C1D">
              <w:rPr>
                <w:noProof/>
                <w:webHidden/>
              </w:rPr>
            </w:r>
            <w:r w:rsidR="00BE2C1D">
              <w:rPr>
                <w:noProof/>
                <w:webHidden/>
              </w:rPr>
              <w:fldChar w:fldCharType="separate"/>
            </w:r>
            <w:r w:rsidR="00606298">
              <w:rPr>
                <w:noProof/>
                <w:webHidden/>
              </w:rPr>
              <w:t>194</w:t>
            </w:r>
            <w:r w:rsidR="00BE2C1D">
              <w:rPr>
                <w:noProof/>
                <w:webHidden/>
              </w:rPr>
              <w:fldChar w:fldCharType="end"/>
            </w:r>
          </w:hyperlink>
        </w:p>
        <w:p w14:paraId="52BD3217" w14:textId="61B0DCAD" w:rsidR="00BE2C1D" w:rsidRDefault="0046350E">
          <w:pPr>
            <w:pStyle w:val="TOC3"/>
            <w:tabs>
              <w:tab w:val="right" w:leader="dot" w:pos="9016"/>
            </w:tabs>
            <w:rPr>
              <w:rFonts w:eastAsiaTheme="minorEastAsia"/>
              <w:noProof/>
              <w:lang w:eastAsia="en-GB"/>
            </w:rPr>
          </w:pPr>
          <w:hyperlink w:anchor="_Toc39585282" w:history="1">
            <w:r w:rsidR="00BE2C1D" w:rsidRPr="000A518F">
              <w:rPr>
                <w:rStyle w:val="Hyperlink"/>
                <w:rFonts w:asciiTheme="majorHAnsi" w:eastAsiaTheme="majorEastAsia" w:hAnsiTheme="majorHAnsi" w:cstheme="majorBidi"/>
                <w:noProof/>
                <w:lang w:eastAsia="en-GB"/>
              </w:rPr>
              <w:t>Resisting Strategies</w:t>
            </w:r>
            <w:r w:rsidR="00BE2C1D">
              <w:rPr>
                <w:noProof/>
                <w:webHidden/>
              </w:rPr>
              <w:tab/>
            </w:r>
            <w:r w:rsidR="00BE2C1D">
              <w:rPr>
                <w:noProof/>
                <w:webHidden/>
              </w:rPr>
              <w:fldChar w:fldCharType="begin"/>
            </w:r>
            <w:r w:rsidR="00BE2C1D">
              <w:rPr>
                <w:noProof/>
                <w:webHidden/>
              </w:rPr>
              <w:instrText xml:space="preserve"> PAGEREF _Toc39585282 \h </w:instrText>
            </w:r>
            <w:r w:rsidR="00BE2C1D">
              <w:rPr>
                <w:noProof/>
                <w:webHidden/>
              </w:rPr>
            </w:r>
            <w:r w:rsidR="00BE2C1D">
              <w:rPr>
                <w:noProof/>
                <w:webHidden/>
              </w:rPr>
              <w:fldChar w:fldCharType="separate"/>
            </w:r>
            <w:r w:rsidR="00606298">
              <w:rPr>
                <w:noProof/>
                <w:webHidden/>
              </w:rPr>
              <w:t>195</w:t>
            </w:r>
            <w:r w:rsidR="00BE2C1D">
              <w:rPr>
                <w:noProof/>
                <w:webHidden/>
              </w:rPr>
              <w:fldChar w:fldCharType="end"/>
            </w:r>
          </w:hyperlink>
        </w:p>
        <w:p w14:paraId="3F378628" w14:textId="78B7B661" w:rsidR="00BE2C1D" w:rsidRDefault="0046350E">
          <w:pPr>
            <w:pStyle w:val="TOC3"/>
            <w:tabs>
              <w:tab w:val="right" w:leader="dot" w:pos="9016"/>
            </w:tabs>
            <w:rPr>
              <w:rFonts w:eastAsiaTheme="minorEastAsia"/>
              <w:noProof/>
              <w:lang w:eastAsia="en-GB"/>
            </w:rPr>
          </w:pPr>
          <w:hyperlink w:anchor="_Toc39585283" w:history="1">
            <w:r w:rsidR="00BE2C1D" w:rsidRPr="000A518F">
              <w:rPr>
                <w:rStyle w:val="Hyperlink"/>
                <w:rFonts w:asciiTheme="majorHAnsi" w:eastAsiaTheme="majorEastAsia" w:hAnsiTheme="majorHAnsi" w:cstheme="majorBidi"/>
                <w:noProof/>
              </w:rPr>
              <w:t>Friendship as a site of resistance</w:t>
            </w:r>
            <w:r w:rsidR="00BE2C1D">
              <w:rPr>
                <w:noProof/>
                <w:webHidden/>
              </w:rPr>
              <w:tab/>
            </w:r>
            <w:r w:rsidR="00BE2C1D">
              <w:rPr>
                <w:noProof/>
                <w:webHidden/>
              </w:rPr>
              <w:fldChar w:fldCharType="begin"/>
            </w:r>
            <w:r w:rsidR="00BE2C1D">
              <w:rPr>
                <w:noProof/>
                <w:webHidden/>
              </w:rPr>
              <w:instrText xml:space="preserve"> PAGEREF _Toc39585283 \h </w:instrText>
            </w:r>
            <w:r w:rsidR="00BE2C1D">
              <w:rPr>
                <w:noProof/>
                <w:webHidden/>
              </w:rPr>
            </w:r>
            <w:r w:rsidR="00BE2C1D">
              <w:rPr>
                <w:noProof/>
                <w:webHidden/>
              </w:rPr>
              <w:fldChar w:fldCharType="separate"/>
            </w:r>
            <w:r w:rsidR="00606298">
              <w:rPr>
                <w:noProof/>
                <w:webHidden/>
              </w:rPr>
              <w:t>199</w:t>
            </w:r>
            <w:r w:rsidR="00BE2C1D">
              <w:rPr>
                <w:noProof/>
                <w:webHidden/>
              </w:rPr>
              <w:fldChar w:fldCharType="end"/>
            </w:r>
          </w:hyperlink>
        </w:p>
        <w:p w14:paraId="5022724A" w14:textId="4048671D" w:rsidR="00BE2C1D" w:rsidRDefault="0046350E">
          <w:pPr>
            <w:pStyle w:val="TOC2"/>
            <w:tabs>
              <w:tab w:val="right" w:leader="dot" w:pos="9016"/>
            </w:tabs>
            <w:rPr>
              <w:rFonts w:eastAsiaTheme="minorEastAsia"/>
              <w:noProof/>
              <w:lang w:eastAsia="en-GB"/>
            </w:rPr>
          </w:pPr>
          <w:hyperlink w:anchor="_Toc39585284" w:history="1">
            <w:r w:rsidR="00BE2C1D" w:rsidRPr="000A518F">
              <w:rPr>
                <w:rStyle w:val="Hyperlink"/>
                <w:rFonts w:asciiTheme="majorHAnsi" w:eastAsiaTheme="majorEastAsia" w:hAnsiTheme="majorHAnsi" w:cstheme="majorBidi"/>
                <w:noProof/>
              </w:rPr>
              <w:t>Conclusions</w:t>
            </w:r>
            <w:r w:rsidR="00BE2C1D">
              <w:rPr>
                <w:noProof/>
                <w:webHidden/>
              </w:rPr>
              <w:tab/>
            </w:r>
            <w:r w:rsidR="00BE2C1D">
              <w:rPr>
                <w:noProof/>
                <w:webHidden/>
              </w:rPr>
              <w:fldChar w:fldCharType="begin"/>
            </w:r>
            <w:r w:rsidR="00BE2C1D">
              <w:rPr>
                <w:noProof/>
                <w:webHidden/>
              </w:rPr>
              <w:instrText xml:space="preserve"> PAGEREF _Toc39585284 \h </w:instrText>
            </w:r>
            <w:r w:rsidR="00BE2C1D">
              <w:rPr>
                <w:noProof/>
                <w:webHidden/>
              </w:rPr>
            </w:r>
            <w:r w:rsidR="00BE2C1D">
              <w:rPr>
                <w:noProof/>
                <w:webHidden/>
              </w:rPr>
              <w:fldChar w:fldCharType="separate"/>
            </w:r>
            <w:r w:rsidR="00606298">
              <w:rPr>
                <w:noProof/>
                <w:webHidden/>
              </w:rPr>
              <w:t>202</w:t>
            </w:r>
            <w:r w:rsidR="00BE2C1D">
              <w:rPr>
                <w:noProof/>
                <w:webHidden/>
              </w:rPr>
              <w:fldChar w:fldCharType="end"/>
            </w:r>
          </w:hyperlink>
        </w:p>
        <w:p w14:paraId="54875ED8" w14:textId="7EC8ABC7" w:rsidR="00BE2C1D" w:rsidRDefault="0046350E">
          <w:pPr>
            <w:pStyle w:val="TOC1"/>
            <w:tabs>
              <w:tab w:val="right" w:leader="dot" w:pos="9016"/>
            </w:tabs>
            <w:rPr>
              <w:rFonts w:eastAsiaTheme="minorEastAsia"/>
              <w:noProof/>
              <w:lang w:eastAsia="en-GB"/>
            </w:rPr>
          </w:pPr>
          <w:hyperlink w:anchor="_Toc39585285" w:history="1">
            <w:r w:rsidR="00BE2C1D" w:rsidRPr="000A518F">
              <w:rPr>
                <w:rStyle w:val="Hyperlink"/>
                <w:rFonts w:asciiTheme="majorHAnsi" w:eastAsiaTheme="majorEastAsia" w:hAnsiTheme="majorHAnsi" w:cstheme="majorBidi"/>
                <w:noProof/>
                <w:lang w:eastAsia="zh-CN"/>
              </w:rPr>
              <w:t>Chapter 8: Conclusions</w:t>
            </w:r>
            <w:r w:rsidR="00BE2C1D">
              <w:rPr>
                <w:noProof/>
                <w:webHidden/>
              </w:rPr>
              <w:tab/>
            </w:r>
            <w:r w:rsidR="00BE2C1D">
              <w:rPr>
                <w:noProof/>
                <w:webHidden/>
              </w:rPr>
              <w:fldChar w:fldCharType="begin"/>
            </w:r>
            <w:r w:rsidR="00BE2C1D">
              <w:rPr>
                <w:noProof/>
                <w:webHidden/>
              </w:rPr>
              <w:instrText xml:space="preserve"> PAGEREF _Toc39585285 \h </w:instrText>
            </w:r>
            <w:r w:rsidR="00BE2C1D">
              <w:rPr>
                <w:noProof/>
                <w:webHidden/>
              </w:rPr>
            </w:r>
            <w:r w:rsidR="00BE2C1D">
              <w:rPr>
                <w:noProof/>
                <w:webHidden/>
              </w:rPr>
              <w:fldChar w:fldCharType="separate"/>
            </w:r>
            <w:r w:rsidR="00606298">
              <w:rPr>
                <w:noProof/>
                <w:webHidden/>
              </w:rPr>
              <w:t>204</w:t>
            </w:r>
            <w:r w:rsidR="00BE2C1D">
              <w:rPr>
                <w:noProof/>
                <w:webHidden/>
              </w:rPr>
              <w:fldChar w:fldCharType="end"/>
            </w:r>
          </w:hyperlink>
        </w:p>
        <w:p w14:paraId="684E55C4" w14:textId="6C46F804" w:rsidR="00BE2C1D" w:rsidRDefault="0046350E">
          <w:pPr>
            <w:pStyle w:val="TOC2"/>
            <w:tabs>
              <w:tab w:val="right" w:leader="dot" w:pos="9016"/>
            </w:tabs>
            <w:rPr>
              <w:rFonts w:eastAsiaTheme="minorEastAsia"/>
              <w:noProof/>
              <w:lang w:eastAsia="en-GB"/>
            </w:rPr>
          </w:pPr>
          <w:hyperlink w:anchor="_Toc39585286" w:history="1">
            <w:r w:rsidR="00BE2C1D" w:rsidRPr="000A518F">
              <w:rPr>
                <w:rStyle w:val="Hyperlink"/>
                <w:rFonts w:asciiTheme="majorHAnsi" w:eastAsiaTheme="majorEastAsia" w:hAnsiTheme="majorHAnsi" w:cstheme="majorBidi"/>
                <w:noProof/>
                <w:lang w:eastAsia="zh-CN"/>
              </w:rPr>
              <w:t>Introduction</w:t>
            </w:r>
            <w:r w:rsidR="00BE2C1D">
              <w:rPr>
                <w:noProof/>
                <w:webHidden/>
              </w:rPr>
              <w:tab/>
            </w:r>
            <w:r w:rsidR="00BE2C1D">
              <w:rPr>
                <w:noProof/>
                <w:webHidden/>
              </w:rPr>
              <w:fldChar w:fldCharType="begin"/>
            </w:r>
            <w:r w:rsidR="00BE2C1D">
              <w:rPr>
                <w:noProof/>
                <w:webHidden/>
              </w:rPr>
              <w:instrText xml:space="preserve"> PAGEREF _Toc39585286 \h </w:instrText>
            </w:r>
            <w:r w:rsidR="00BE2C1D">
              <w:rPr>
                <w:noProof/>
                <w:webHidden/>
              </w:rPr>
            </w:r>
            <w:r w:rsidR="00BE2C1D">
              <w:rPr>
                <w:noProof/>
                <w:webHidden/>
              </w:rPr>
              <w:fldChar w:fldCharType="separate"/>
            </w:r>
            <w:r w:rsidR="00606298">
              <w:rPr>
                <w:noProof/>
                <w:webHidden/>
              </w:rPr>
              <w:t>204</w:t>
            </w:r>
            <w:r w:rsidR="00BE2C1D">
              <w:rPr>
                <w:noProof/>
                <w:webHidden/>
              </w:rPr>
              <w:fldChar w:fldCharType="end"/>
            </w:r>
          </w:hyperlink>
        </w:p>
        <w:p w14:paraId="203D1D1E" w14:textId="79F75E72" w:rsidR="00BE2C1D" w:rsidRDefault="0046350E">
          <w:pPr>
            <w:pStyle w:val="TOC2"/>
            <w:tabs>
              <w:tab w:val="right" w:leader="dot" w:pos="9016"/>
            </w:tabs>
            <w:rPr>
              <w:rFonts w:eastAsiaTheme="minorEastAsia"/>
              <w:noProof/>
              <w:lang w:eastAsia="en-GB"/>
            </w:rPr>
          </w:pPr>
          <w:hyperlink w:anchor="_Toc39585287" w:history="1">
            <w:r w:rsidR="00BE2C1D" w:rsidRPr="000A518F">
              <w:rPr>
                <w:rStyle w:val="Hyperlink"/>
                <w:rFonts w:asciiTheme="majorHAnsi" w:eastAsiaTheme="majorEastAsia" w:hAnsiTheme="majorHAnsi" w:cstheme="majorBidi"/>
                <w:noProof/>
                <w:lang w:eastAsia="zh-CN"/>
              </w:rPr>
              <w:t>Summary of Findings: Revisiting the Research Questions</w:t>
            </w:r>
            <w:r w:rsidR="00BE2C1D">
              <w:rPr>
                <w:noProof/>
                <w:webHidden/>
              </w:rPr>
              <w:tab/>
            </w:r>
            <w:r w:rsidR="00BE2C1D">
              <w:rPr>
                <w:noProof/>
                <w:webHidden/>
              </w:rPr>
              <w:fldChar w:fldCharType="begin"/>
            </w:r>
            <w:r w:rsidR="00BE2C1D">
              <w:rPr>
                <w:noProof/>
                <w:webHidden/>
              </w:rPr>
              <w:instrText xml:space="preserve"> PAGEREF _Toc39585287 \h </w:instrText>
            </w:r>
            <w:r w:rsidR="00BE2C1D">
              <w:rPr>
                <w:noProof/>
                <w:webHidden/>
              </w:rPr>
            </w:r>
            <w:r w:rsidR="00BE2C1D">
              <w:rPr>
                <w:noProof/>
                <w:webHidden/>
              </w:rPr>
              <w:fldChar w:fldCharType="separate"/>
            </w:r>
            <w:r w:rsidR="00606298">
              <w:rPr>
                <w:noProof/>
                <w:webHidden/>
              </w:rPr>
              <w:t>204</w:t>
            </w:r>
            <w:r w:rsidR="00BE2C1D">
              <w:rPr>
                <w:noProof/>
                <w:webHidden/>
              </w:rPr>
              <w:fldChar w:fldCharType="end"/>
            </w:r>
          </w:hyperlink>
        </w:p>
        <w:p w14:paraId="78FD49A6" w14:textId="077FECC7" w:rsidR="00BE2C1D" w:rsidRDefault="0046350E">
          <w:pPr>
            <w:pStyle w:val="TOC2"/>
            <w:tabs>
              <w:tab w:val="right" w:leader="dot" w:pos="9016"/>
            </w:tabs>
            <w:rPr>
              <w:rFonts w:eastAsiaTheme="minorEastAsia"/>
              <w:noProof/>
              <w:lang w:eastAsia="en-GB"/>
            </w:rPr>
          </w:pPr>
          <w:hyperlink w:anchor="_Toc39585293" w:history="1">
            <w:r w:rsidR="00BE2C1D" w:rsidRPr="000A518F">
              <w:rPr>
                <w:rStyle w:val="Hyperlink"/>
                <w:rFonts w:asciiTheme="majorHAnsi" w:eastAsiaTheme="majorEastAsia" w:hAnsiTheme="majorHAnsi" w:cstheme="majorBidi"/>
                <w:noProof/>
                <w:lang w:eastAsia="zh-CN"/>
              </w:rPr>
              <w:t>Wider Implications of The Thesis</w:t>
            </w:r>
            <w:r w:rsidR="00BE2C1D">
              <w:rPr>
                <w:noProof/>
                <w:webHidden/>
              </w:rPr>
              <w:tab/>
            </w:r>
            <w:r w:rsidR="00BE2C1D">
              <w:rPr>
                <w:noProof/>
                <w:webHidden/>
              </w:rPr>
              <w:fldChar w:fldCharType="begin"/>
            </w:r>
            <w:r w:rsidR="00BE2C1D">
              <w:rPr>
                <w:noProof/>
                <w:webHidden/>
              </w:rPr>
              <w:instrText xml:space="preserve"> PAGEREF _Toc39585293 \h </w:instrText>
            </w:r>
            <w:r w:rsidR="00BE2C1D">
              <w:rPr>
                <w:noProof/>
                <w:webHidden/>
              </w:rPr>
            </w:r>
            <w:r w:rsidR="00BE2C1D">
              <w:rPr>
                <w:noProof/>
                <w:webHidden/>
              </w:rPr>
              <w:fldChar w:fldCharType="separate"/>
            </w:r>
            <w:r w:rsidR="00606298">
              <w:rPr>
                <w:noProof/>
                <w:webHidden/>
              </w:rPr>
              <w:t>212</w:t>
            </w:r>
            <w:r w:rsidR="00BE2C1D">
              <w:rPr>
                <w:noProof/>
                <w:webHidden/>
              </w:rPr>
              <w:fldChar w:fldCharType="end"/>
            </w:r>
          </w:hyperlink>
        </w:p>
        <w:p w14:paraId="27FF6728" w14:textId="6FB83FDA" w:rsidR="00BE2C1D" w:rsidRDefault="0046350E">
          <w:pPr>
            <w:pStyle w:val="TOC3"/>
            <w:tabs>
              <w:tab w:val="right" w:leader="dot" w:pos="9016"/>
            </w:tabs>
            <w:rPr>
              <w:rFonts w:eastAsiaTheme="minorEastAsia"/>
              <w:noProof/>
              <w:lang w:eastAsia="en-GB"/>
            </w:rPr>
          </w:pPr>
          <w:hyperlink w:anchor="_Toc39585294" w:history="1">
            <w:r w:rsidR="00BE2C1D" w:rsidRPr="000A518F">
              <w:rPr>
                <w:rStyle w:val="Hyperlink"/>
                <w:rFonts w:asciiTheme="majorHAnsi" w:eastAsiaTheme="majorEastAsia" w:hAnsiTheme="majorHAnsi" w:cstheme="majorBidi"/>
                <w:noProof/>
                <w:lang w:eastAsia="zh-CN"/>
              </w:rPr>
              <w:t>Implications for Knowledge Production/Development</w:t>
            </w:r>
            <w:r w:rsidR="00BE2C1D">
              <w:rPr>
                <w:noProof/>
                <w:webHidden/>
              </w:rPr>
              <w:tab/>
            </w:r>
            <w:r w:rsidR="00BE2C1D">
              <w:rPr>
                <w:noProof/>
                <w:webHidden/>
              </w:rPr>
              <w:fldChar w:fldCharType="begin"/>
            </w:r>
            <w:r w:rsidR="00BE2C1D">
              <w:rPr>
                <w:noProof/>
                <w:webHidden/>
              </w:rPr>
              <w:instrText xml:space="preserve"> PAGEREF _Toc39585294 \h </w:instrText>
            </w:r>
            <w:r w:rsidR="00BE2C1D">
              <w:rPr>
                <w:noProof/>
                <w:webHidden/>
              </w:rPr>
            </w:r>
            <w:r w:rsidR="00BE2C1D">
              <w:rPr>
                <w:noProof/>
                <w:webHidden/>
              </w:rPr>
              <w:fldChar w:fldCharType="separate"/>
            </w:r>
            <w:r w:rsidR="00606298">
              <w:rPr>
                <w:noProof/>
                <w:webHidden/>
              </w:rPr>
              <w:t>212</w:t>
            </w:r>
            <w:r w:rsidR="00BE2C1D">
              <w:rPr>
                <w:noProof/>
                <w:webHidden/>
              </w:rPr>
              <w:fldChar w:fldCharType="end"/>
            </w:r>
          </w:hyperlink>
        </w:p>
        <w:p w14:paraId="0C253B22" w14:textId="449D3378" w:rsidR="00BE2C1D" w:rsidRDefault="0046350E">
          <w:pPr>
            <w:pStyle w:val="TOC3"/>
            <w:tabs>
              <w:tab w:val="right" w:leader="dot" w:pos="9016"/>
            </w:tabs>
            <w:rPr>
              <w:rFonts w:eastAsiaTheme="minorEastAsia"/>
              <w:noProof/>
              <w:lang w:eastAsia="en-GB"/>
            </w:rPr>
          </w:pPr>
          <w:hyperlink w:anchor="_Toc39585295" w:history="1">
            <w:r w:rsidR="00BE2C1D" w:rsidRPr="000A518F">
              <w:rPr>
                <w:rStyle w:val="Hyperlink"/>
                <w:rFonts w:asciiTheme="majorHAnsi" w:eastAsiaTheme="majorEastAsia" w:hAnsiTheme="majorHAnsi" w:cstheme="majorBidi"/>
                <w:noProof/>
                <w:lang w:eastAsia="zh-CN"/>
              </w:rPr>
              <w:t>Implications for Research Methodologies</w:t>
            </w:r>
            <w:r w:rsidR="00BE2C1D">
              <w:rPr>
                <w:noProof/>
                <w:webHidden/>
              </w:rPr>
              <w:tab/>
            </w:r>
            <w:r w:rsidR="00BE2C1D">
              <w:rPr>
                <w:noProof/>
                <w:webHidden/>
              </w:rPr>
              <w:fldChar w:fldCharType="begin"/>
            </w:r>
            <w:r w:rsidR="00BE2C1D">
              <w:rPr>
                <w:noProof/>
                <w:webHidden/>
              </w:rPr>
              <w:instrText xml:space="preserve"> PAGEREF _Toc39585295 \h </w:instrText>
            </w:r>
            <w:r w:rsidR="00BE2C1D">
              <w:rPr>
                <w:noProof/>
                <w:webHidden/>
              </w:rPr>
            </w:r>
            <w:r w:rsidR="00BE2C1D">
              <w:rPr>
                <w:noProof/>
                <w:webHidden/>
              </w:rPr>
              <w:fldChar w:fldCharType="separate"/>
            </w:r>
            <w:r w:rsidR="00606298">
              <w:rPr>
                <w:noProof/>
                <w:webHidden/>
              </w:rPr>
              <w:t>214</w:t>
            </w:r>
            <w:r w:rsidR="00BE2C1D">
              <w:rPr>
                <w:noProof/>
                <w:webHidden/>
              </w:rPr>
              <w:fldChar w:fldCharType="end"/>
            </w:r>
          </w:hyperlink>
        </w:p>
        <w:p w14:paraId="0B5A336A" w14:textId="75400E57" w:rsidR="00BE2C1D" w:rsidRDefault="0046350E">
          <w:pPr>
            <w:pStyle w:val="TOC3"/>
            <w:tabs>
              <w:tab w:val="right" w:leader="dot" w:pos="9016"/>
            </w:tabs>
            <w:rPr>
              <w:rFonts w:eastAsiaTheme="minorEastAsia"/>
              <w:noProof/>
              <w:lang w:eastAsia="en-GB"/>
            </w:rPr>
          </w:pPr>
          <w:hyperlink w:anchor="_Toc39585296" w:history="1">
            <w:r w:rsidR="00BE2C1D" w:rsidRPr="000A518F">
              <w:rPr>
                <w:rStyle w:val="Hyperlink"/>
                <w:rFonts w:asciiTheme="majorHAnsi" w:eastAsiaTheme="majorEastAsia" w:hAnsiTheme="majorHAnsi" w:cstheme="majorBidi"/>
                <w:noProof/>
                <w:lang w:eastAsia="zh-CN"/>
              </w:rPr>
              <w:t>Implications for Educational Policy and Practitioners</w:t>
            </w:r>
            <w:r w:rsidR="00BE2C1D">
              <w:rPr>
                <w:noProof/>
                <w:webHidden/>
              </w:rPr>
              <w:tab/>
            </w:r>
            <w:r w:rsidR="00BE2C1D">
              <w:rPr>
                <w:noProof/>
                <w:webHidden/>
              </w:rPr>
              <w:fldChar w:fldCharType="begin"/>
            </w:r>
            <w:r w:rsidR="00BE2C1D">
              <w:rPr>
                <w:noProof/>
                <w:webHidden/>
              </w:rPr>
              <w:instrText xml:space="preserve"> PAGEREF _Toc39585296 \h </w:instrText>
            </w:r>
            <w:r w:rsidR="00BE2C1D">
              <w:rPr>
                <w:noProof/>
                <w:webHidden/>
              </w:rPr>
            </w:r>
            <w:r w:rsidR="00BE2C1D">
              <w:rPr>
                <w:noProof/>
                <w:webHidden/>
              </w:rPr>
              <w:fldChar w:fldCharType="separate"/>
            </w:r>
            <w:r w:rsidR="00606298">
              <w:rPr>
                <w:noProof/>
                <w:webHidden/>
              </w:rPr>
              <w:t>217</w:t>
            </w:r>
            <w:r w:rsidR="00BE2C1D">
              <w:rPr>
                <w:noProof/>
                <w:webHidden/>
              </w:rPr>
              <w:fldChar w:fldCharType="end"/>
            </w:r>
          </w:hyperlink>
        </w:p>
        <w:p w14:paraId="1E73157E" w14:textId="18375CEB" w:rsidR="00BE2C1D" w:rsidRDefault="0046350E">
          <w:pPr>
            <w:pStyle w:val="TOC3"/>
            <w:tabs>
              <w:tab w:val="right" w:leader="dot" w:pos="9016"/>
            </w:tabs>
            <w:rPr>
              <w:rFonts w:eastAsiaTheme="minorEastAsia"/>
              <w:noProof/>
              <w:lang w:eastAsia="en-GB"/>
            </w:rPr>
          </w:pPr>
          <w:hyperlink w:anchor="_Toc39585297" w:history="1">
            <w:r w:rsidR="00BE2C1D" w:rsidRPr="000A518F">
              <w:rPr>
                <w:rStyle w:val="Hyperlink"/>
                <w:rFonts w:asciiTheme="majorHAnsi" w:eastAsiaTheme="majorEastAsia" w:hAnsiTheme="majorHAnsi" w:cstheme="majorBidi"/>
                <w:noProof/>
                <w:lang w:eastAsia="zh-CN"/>
              </w:rPr>
              <w:t>Implications for Future Research</w:t>
            </w:r>
            <w:r w:rsidR="00BE2C1D">
              <w:rPr>
                <w:noProof/>
                <w:webHidden/>
              </w:rPr>
              <w:tab/>
            </w:r>
            <w:r w:rsidR="00BE2C1D">
              <w:rPr>
                <w:noProof/>
                <w:webHidden/>
              </w:rPr>
              <w:fldChar w:fldCharType="begin"/>
            </w:r>
            <w:r w:rsidR="00BE2C1D">
              <w:rPr>
                <w:noProof/>
                <w:webHidden/>
              </w:rPr>
              <w:instrText xml:space="preserve"> PAGEREF _Toc39585297 \h </w:instrText>
            </w:r>
            <w:r w:rsidR="00BE2C1D">
              <w:rPr>
                <w:noProof/>
                <w:webHidden/>
              </w:rPr>
            </w:r>
            <w:r w:rsidR="00BE2C1D">
              <w:rPr>
                <w:noProof/>
                <w:webHidden/>
              </w:rPr>
              <w:fldChar w:fldCharType="separate"/>
            </w:r>
            <w:r w:rsidR="00606298">
              <w:rPr>
                <w:noProof/>
                <w:webHidden/>
              </w:rPr>
              <w:t>219</w:t>
            </w:r>
            <w:r w:rsidR="00BE2C1D">
              <w:rPr>
                <w:noProof/>
                <w:webHidden/>
              </w:rPr>
              <w:fldChar w:fldCharType="end"/>
            </w:r>
          </w:hyperlink>
        </w:p>
        <w:p w14:paraId="400C4E27" w14:textId="773DAEC7" w:rsidR="00BE2C1D" w:rsidRDefault="0046350E">
          <w:pPr>
            <w:pStyle w:val="TOC2"/>
            <w:tabs>
              <w:tab w:val="right" w:leader="dot" w:pos="9016"/>
            </w:tabs>
            <w:rPr>
              <w:rFonts w:eastAsiaTheme="minorEastAsia"/>
              <w:noProof/>
              <w:lang w:eastAsia="en-GB"/>
            </w:rPr>
          </w:pPr>
          <w:hyperlink w:anchor="_Toc39585298" w:history="1">
            <w:r w:rsidR="00BE2C1D" w:rsidRPr="000A518F">
              <w:rPr>
                <w:rStyle w:val="Hyperlink"/>
                <w:rFonts w:asciiTheme="majorHAnsi" w:eastAsiaTheme="majorEastAsia" w:hAnsiTheme="majorHAnsi" w:cstheme="majorBidi"/>
                <w:noProof/>
                <w:lang w:eastAsia="zh-CN"/>
              </w:rPr>
              <w:t>Conclusions</w:t>
            </w:r>
            <w:r w:rsidR="00BE2C1D">
              <w:rPr>
                <w:noProof/>
                <w:webHidden/>
              </w:rPr>
              <w:tab/>
            </w:r>
            <w:r w:rsidR="00BE2C1D">
              <w:rPr>
                <w:noProof/>
                <w:webHidden/>
              </w:rPr>
              <w:fldChar w:fldCharType="begin"/>
            </w:r>
            <w:r w:rsidR="00BE2C1D">
              <w:rPr>
                <w:noProof/>
                <w:webHidden/>
              </w:rPr>
              <w:instrText xml:space="preserve"> PAGEREF _Toc39585298 \h </w:instrText>
            </w:r>
            <w:r w:rsidR="00BE2C1D">
              <w:rPr>
                <w:noProof/>
                <w:webHidden/>
              </w:rPr>
            </w:r>
            <w:r w:rsidR="00BE2C1D">
              <w:rPr>
                <w:noProof/>
                <w:webHidden/>
              </w:rPr>
              <w:fldChar w:fldCharType="separate"/>
            </w:r>
            <w:r w:rsidR="00606298">
              <w:rPr>
                <w:noProof/>
                <w:webHidden/>
              </w:rPr>
              <w:t>221</w:t>
            </w:r>
            <w:r w:rsidR="00BE2C1D">
              <w:rPr>
                <w:noProof/>
                <w:webHidden/>
              </w:rPr>
              <w:fldChar w:fldCharType="end"/>
            </w:r>
          </w:hyperlink>
        </w:p>
        <w:p w14:paraId="331EFDAB" w14:textId="06B314F1" w:rsidR="00BE2C1D" w:rsidRDefault="0046350E">
          <w:pPr>
            <w:pStyle w:val="TOC1"/>
            <w:tabs>
              <w:tab w:val="right" w:leader="dot" w:pos="9016"/>
            </w:tabs>
            <w:rPr>
              <w:rFonts w:eastAsiaTheme="minorEastAsia"/>
              <w:noProof/>
              <w:lang w:eastAsia="en-GB"/>
            </w:rPr>
          </w:pPr>
          <w:hyperlink w:anchor="_Toc39585299" w:history="1">
            <w:r w:rsidR="00BE2C1D" w:rsidRPr="000A518F">
              <w:rPr>
                <w:rStyle w:val="Hyperlink"/>
                <w:rFonts w:asciiTheme="majorHAnsi" w:eastAsiaTheme="majorEastAsia" w:hAnsiTheme="majorHAnsi" w:cstheme="majorBidi"/>
                <w:noProof/>
              </w:rPr>
              <w:t>References</w:t>
            </w:r>
            <w:r w:rsidR="00BE2C1D">
              <w:rPr>
                <w:noProof/>
                <w:webHidden/>
              </w:rPr>
              <w:tab/>
            </w:r>
            <w:r w:rsidR="00BE2C1D">
              <w:rPr>
                <w:noProof/>
                <w:webHidden/>
              </w:rPr>
              <w:fldChar w:fldCharType="begin"/>
            </w:r>
            <w:r w:rsidR="00BE2C1D">
              <w:rPr>
                <w:noProof/>
                <w:webHidden/>
              </w:rPr>
              <w:instrText xml:space="preserve"> PAGEREF _Toc39585299 \h </w:instrText>
            </w:r>
            <w:r w:rsidR="00BE2C1D">
              <w:rPr>
                <w:noProof/>
                <w:webHidden/>
              </w:rPr>
            </w:r>
            <w:r w:rsidR="00BE2C1D">
              <w:rPr>
                <w:noProof/>
                <w:webHidden/>
              </w:rPr>
              <w:fldChar w:fldCharType="separate"/>
            </w:r>
            <w:r w:rsidR="00606298">
              <w:rPr>
                <w:noProof/>
                <w:webHidden/>
              </w:rPr>
              <w:t>223</w:t>
            </w:r>
            <w:r w:rsidR="00BE2C1D">
              <w:rPr>
                <w:noProof/>
                <w:webHidden/>
              </w:rPr>
              <w:fldChar w:fldCharType="end"/>
            </w:r>
          </w:hyperlink>
        </w:p>
        <w:p w14:paraId="46F6583F" w14:textId="28612568" w:rsidR="00BE2C1D" w:rsidRDefault="0046350E">
          <w:pPr>
            <w:pStyle w:val="TOC1"/>
            <w:tabs>
              <w:tab w:val="right" w:leader="dot" w:pos="9016"/>
            </w:tabs>
            <w:rPr>
              <w:rFonts w:eastAsiaTheme="minorEastAsia"/>
              <w:noProof/>
              <w:lang w:eastAsia="en-GB"/>
            </w:rPr>
          </w:pPr>
          <w:hyperlink w:anchor="_Toc39585300" w:history="1">
            <w:r w:rsidR="00BE2C1D" w:rsidRPr="000A518F">
              <w:rPr>
                <w:rStyle w:val="Hyperlink"/>
                <w:rFonts w:asciiTheme="majorHAnsi" w:eastAsiaTheme="majorEastAsia" w:hAnsiTheme="majorHAnsi" w:cstheme="majorBidi"/>
                <w:noProof/>
              </w:rPr>
              <w:t>Appendices</w:t>
            </w:r>
            <w:r w:rsidR="00BE2C1D">
              <w:rPr>
                <w:noProof/>
                <w:webHidden/>
              </w:rPr>
              <w:tab/>
            </w:r>
            <w:r w:rsidR="00BE2C1D">
              <w:rPr>
                <w:noProof/>
                <w:webHidden/>
              </w:rPr>
              <w:fldChar w:fldCharType="begin"/>
            </w:r>
            <w:r w:rsidR="00BE2C1D">
              <w:rPr>
                <w:noProof/>
                <w:webHidden/>
              </w:rPr>
              <w:instrText xml:space="preserve"> PAGEREF _Toc39585300 \h </w:instrText>
            </w:r>
            <w:r w:rsidR="00BE2C1D">
              <w:rPr>
                <w:noProof/>
                <w:webHidden/>
              </w:rPr>
            </w:r>
            <w:r w:rsidR="00BE2C1D">
              <w:rPr>
                <w:noProof/>
                <w:webHidden/>
              </w:rPr>
              <w:fldChar w:fldCharType="separate"/>
            </w:r>
            <w:r w:rsidR="00606298">
              <w:rPr>
                <w:noProof/>
                <w:webHidden/>
              </w:rPr>
              <w:t>276</w:t>
            </w:r>
            <w:r w:rsidR="00BE2C1D">
              <w:rPr>
                <w:noProof/>
                <w:webHidden/>
              </w:rPr>
              <w:fldChar w:fldCharType="end"/>
            </w:r>
          </w:hyperlink>
        </w:p>
        <w:p w14:paraId="73A43B88" w14:textId="794EFECF" w:rsidR="00BE2C1D" w:rsidRDefault="0046350E">
          <w:pPr>
            <w:pStyle w:val="TOC2"/>
            <w:tabs>
              <w:tab w:val="right" w:leader="dot" w:pos="9016"/>
            </w:tabs>
            <w:rPr>
              <w:rFonts w:eastAsiaTheme="minorEastAsia"/>
              <w:noProof/>
              <w:lang w:eastAsia="en-GB"/>
            </w:rPr>
          </w:pPr>
          <w:hyperlink w:anchor="_Toc39585301" w:history="1">
            <w:r w:rsidR="00BE2C1D" w:rsidRPr="000A518F">
              <w:rPr>
                <w:rStyle w:val="Hyperlink"/>
                <w:rFonts w:asciiTheme="majorHAnsi" w:eastAsiaTheme="majorEastAsia" w:hAnsiTheme="majorHAnsi" w:cstheme="majorBidi"/>
                <w:noProof/>
              </w:rPr>
              <w:t>Appendix 1: Table with Studies on Children and Young People with RG</w:t>
            </w:r>
            <w:r w:rsidR="00BE2C1D">
              <w:rPr>
                <w:noProof/>
                <w:webHidden/>
              </w:rPr>
              <w:tab/>
            </w:r>
            <w:r w:rsidR="00BE2C1D">
              <w:rPr>
                <w:noProof/>
                <w:webHidden/>
              </w:rPr>
              <w:fldChar w:fldCharType="begin"/>
            </w:r>
            <w:r w:rsidR="00BE2C1D">
              <w:rPr>
                <w:noProof/>
                <w:webHidden/>
              </w:rPr>
              <w:instrText xml:space="preserve"> PAGEREF _Toc39585301 \h </w:instrText>
            </w:r>
            <w:r w:rsidR="00BE2C1D">
              <w:rPr>
                <w:noProof/>
                <w:webHidden/>
              </w:rPr>
            </w:r>
            <w:r w:rsidR="00BE2C1D">
              <w:rPr>
                <w:noProof/>
                <w:webHidden/>
              </w:rPr>
              <w:fldChar w:fldCharType="separate"/>
            </w:r>
            <w:r w:rsidR="00606298">
              <w:rPr>
                <w:noProof/>
                <w:webHidden/>
              </w:rPr>
              <w:t>276</w:t>
            </w:r>
            <w:r w:rsidR="00BE2C1D">
              <w:rPr>
                <w:noProof/>
                <w:webHidden/>
              </w:rPr>
              <w:fldChar w:fldCharType="end"/>
            </w:r>
          </w:hyperlink>
        </w:p>
        <w:p w14:paraId="7E8CB7A7" w14:textId="7FA0611E" w:rsidR="00BE2C1D" w:rsidRDefault="0046350E">
          <w:pPr>
            <w:pStyle w:val="TOC2"/>
            <w:tabs>
              <w:tab w:val="right" w:leader="dot" w:pos="9016"/>
            </w:tabs>
            <w:rPr>
              <w:rFonts w:eastAsiaTheme="minorEastAsia"/>
              <w:noProof/>
              <w:lang w:eastAsia="en-GB"/>
            </w:rPr>
          </w:pPr>
          <w:hyperlink w:anchor="_Toc39585302" w:history="1">
            <w:r w:rsidR="00BE2C1D" w:rsidRPr="000A518F">
              <w:rPr>
                <w:rStyle w:val="Hyperlink"/>
                <w:rFonts w:asciiTheme="majorHAnsi" w:eastAsiaTheme="majorEastAsia" w:hAnsiTheme="majorHAnsi" w:cstheme="majorBidi"/>
                <w:noProof/>
              </w:rPr>
              <w:t>Appendix 2: Heightism in Language</w:t>
            </w:r>
            <w:r w:rsidR="00BE2C1D">
              <w:rPr>
                <w:noProof/>
                <w:webHidden/>
              </w:rPr>
              <w:tab/>
            </w:r>
            <w:r w:rsidR="00BE2C1D">
              <w:rPr>
                <w:noProof/>
                <w:webHidden/>
              </w:rPr>
              <w:fldChar w:fldCharType="begin"/>
            </w:r>
            <w:r w:rsidR="00BE2C1D">
              <w:rPr>
                <w:noProof/>
                <w:webHidden/>
              </w:rPr>
              <w:instrText xml:space="preserve"> PAGEREF _Toc39585302 \h </w:instrText>
            </w:r>
            <w:r w:rsidR="00BE2C1D">
              <w:rPr>
                <w:noProof/>
                <w:webHidden/>
              </w:rPr>
            </w:r>
            <w:r w:rsidR="00BE2C1D">
              <w:rPr>
                <w:noProof/>
                <w:webHidden/>
              </w:rPr>
              <w:fldChar w:fldCharType="separate"/>
            </w:r>
            <w:r w:rsidR="00606298">
              <w:rPr>
                <w:noProof/>
                <w:webHidden/>
              </w:rPr>
              <w:t>297</w:t>
            </w:r>
            <w:r w:rsidR="00BE2C1D">
              <w:rPr>
                <w:noProof/>
                <w:webHidden/>
              </w:rPr>
              <w:fldChar w:fldCharType="end"/>
            </w:r>
          </w:hyperlink>
        </w:p>
        <w:p w14:paraId="776E8D8E" w14:textId="562A359E" w:rsidR="00BE2C1D" w:rsidRDefault="0046350E">
          <w:pPr>
            <w:pStyle w:val="TOC2"/>
            <w:tabs>
              <w:tab w:val="right" w:leader="dot" w:pos="9016"/>
            </w:tabs>
            <w:rPr>
              <w:rFonts w:eastAsiaTheme="minorEastAsia"/>
              <w:noProof/>
              <w:lang w:eastAsia="en-GB"/>
            </w:rPr>
          </w:pPr>
          <w:hyperlink w:anchor="_Toc39585303" w:history="1">
            <w:r w:rsidR="00BE2C1D" w:rsidRPr="000A518F">
              <w:rPr>
                <w:rStyle w:val="Hyperlink"/>
                <w:rFonts w:asciiTheme="majorHAnsi" w:eastAsiaTheme="majorEastAsia" w:hAnsiTheme="majorHAnsi" w:cstheme="majorBidi"/>
                <w:noProof/>
              </w:rPr>
              <w:t>Appendix 3: Letter of Approval</w:t>
            </w:r>
            <w:r w:rsidR="00BE2C1D">
              <w:rPr>
                <w:noProof/>
                <w:webHidden/>
              </w:rPr>
              <w:tab/>
            </w:r>
            <w:r w:rsidR="00BE2C1D">
              <w:rPr>
                <w:noProof/>
                <w:webHidden/>
              </w:rPr>
              <w:fldChar w:fldCharType="begin"/>
            </w:r>
            <w:r w:rsidR="00BE2C1D">
              <w:rPr>
                <w:noProof/>
                <w:webHidden/>
              </w:rPr>
              <w:instrText xml:space="preserve"> PAGEREF _Toc39585303 \h </w:instrText>
            </w:r>
            <w:r w:rsidR="00BE2C1D">
              <w:rPr>
                <w:noProof/>
                <w:webHidden/>
              </w:rPr>
            </w:r>
            <w:r w:rsidR="00BE2C1D">
              <w:rPr>
                <w:noProof/>
                <w:webHidden/>
              </w:rPr>
              <w:fldChar w:fldCharType="separate"/>
            </w:r>
            <w:r w:rsidR="00606298">
              <w:rPr>
                <w:noProof/>
                <w:webHidden/>
              </w:rPr>
              <w:t>298</w:t>
            </w:r>
            <w:r w:rsidR="00BE2C1D">
              <w:rPr>
                <w:noProof/>
                <w:webHidden/>
              </w:rPr>
              <w:fldChar w:fldCharType="end"/>
            </w:r>
          </w:hyperlink>
        </w:p>
        <w:p w14:paraId="67398595" w14:textId="07734163" w:rsidR="00BE2C1D" w:rsidRDefault="0046350E">
          <w:pPr>
            <w:pStyle w:val="TOC2"/>
            <w:tabs>
              <w:tab w:val="right" w:leader="dot" w:pos="9016"/>
            </w:tabs>
            <w:rPr>
              <w:rFonts w:eastAsiaTheme="minorEastAsia"/>
              <w:noProof/>
              <w:lang w:eastAsia="en-GB"/>
            </w:rPr>
          </w:pPr>
          <w:hyperlink w:anchor="_Toc39585304" w:history="1">
            <w:r w:rsidR="00BE2C1D" w:rsidRPr="000A518F">
              <w:rPr>
                <w:rStyle w:val="Hyperlink"/>
                <w:rFonts w:asciiTheme="majorHAnsi" w:eastAsiaTheme="majorEastAsia" w:hAnsiTheme="majorHAnsi" w:cstheme="majorBidi"/>
                <w:noProof/>
              </w:rPr>
              <w:t>Appendix 4: Research Posters</w:t>
            </w:r>
            <w:r w:rsidR="00BE2C1D">
              <w:rPr>
                <w:noProof/>
                <w:webHidden/>
              </w:rPr>
              <w:tab/>
            </w:r>
            <w:r w:rsidR="00BE2C1D">
              <w:rPr>
                <w:noProof/>
                <w:webHidden/>
              </w:rPr>
              <w:fldChar w:fldCharType="begin"/>
            </w:r>
            <w:r w:rsidR="00BE2C1D">
              <w:rPr>
                <w:noProof/>
                <w:webHidden/>
              </w:rPr>
              <w:instrText xml:space="preserve"> PAGEREF _Toc39585304 \h </w:instrText>
            </w:r>
            <w:r w:rsidR="00BE2C1D">
              <w:rPr>
                <w:noProof/>
                <w:webHidden/>
              </w:rPr>
            </w:r>
            <w:r w:rsidR="00BE2C1D">
              <w:rPr>
                <w:noProof/>
                <w:webHidden/>
              </w:rPr>
              <w:fldChar w:fldCharType="separate"/>
            </w:r>
            <w:r w:rsidR="00606298">
              <w:rPr>
                <w:noProof/>
                <w:webHidden/>
              </w:rPr>
              <w:t>299</w:t>
            </w:r>
            <w:r w:rsidR="00BE2C1D">
              <w:rPr>
                <w:noProof/>
                <w:webHidden/>
              </w:rPr>
              <w:fldChar w:fldCharType="end"/>
            </w:r>
          </w:hyperlink>
        </w:p>
        <w:p w14:paraId="24C68EDB" w14:textId="395BB90F" w:rsidR="00BE2C1D" w:rsidRDefault="0046350E">
          <w:pPr>
            <w:pStyle w:val="TOC2"/>
            <w:tabs>
              <w:tab w:val="right" w:leader="dot" w:pos="9016"/>
            </w:tabs>
            <w:rPr>
              <w:rFonts w:eastAsiaTheme="minorEastAsia"/>
              <w:noProof/>
              <w:lang w:eastAsia="en-GB"/>
            </w:rPr>
          </w:pPr>
          <w:hyperlink w:anchor="_Toc39585305" w:history="1">
            <w:r w:rsidR="00BE2C1D" w:rsidRPr="000A518F">
              <w:rPr>
                <w:rStyle w:val="Hyperlink"/>
                <w:rFonts w:asciiTheme="majorHAnsi" w:eastAsiaTheme="majorEastAsia" w:hAnsiTheme="majorHAnsi" w:cstheme="majorBidi"/>
                <w:noProof/>
              </w:rPr>
              <w:t>Appendix 5: Information Sheets</w:t>
            </w:r>
            <w:r w:rsidR="00BE2C1D">
              <w:rPr>
                <w:noProof/>
                <w:webHidden/>
              </w:rPr>
              <w:tab/>
            </w:r>
            <w:r w:rsidR="00BE2C1D">
              <w:rPr>
                <w:noProof/>
                <w:webHidden/>
              </w:rPr>
              <w:fldChar w:fldCharType="begin"/>
            </w:r>
            <w:r w:rsidR="00BE2C1D">
              <w:rPr>
                <w:noProof/>
                <w:webHidden/>
              </w:rPr>
              <w:instrText xml:space="preserve"> PAGEREF _Toc39585305 \h </w:instrText>
            </w:r>
            <w:r w:rsidR="00BE2C1D">
              <w:rPr>
                <w:noProof/>
                <w:webHidden/>
              </w:rPr>
            </w:r>
            <w:r w:rsidR="00BE2C1D">
              <w:rPr>
                <w:noProof/>
                <w:webHidden/>
              </w:rPr>
              <w:fldChar w:fldCharType="separate"/>
            </w:r>
            <w:r w:rsidR="00606298">
              <w:rPr>
                <w:noProof/>
                <w:webHidden/>
              </w:rPr>
              <w:t>301</w:t>
            </w:r>
            <w:r w:rsidR="00BE2C1D">
              <w:rPr>
                <w:noProof/>
                <w:webHidden/>
              </w:rPr>
              <w:fldChar w:fldCharType="end"/>
            </w:r>
          </w:hyperlink>
        </w:p>
        <w:p w14:paraId="70632659" w14:textId="652BB506" w:rsidR="00BE2C1D" w:rsidRDefault="0046350E">
          <w:pPr>
            <w:pStyle w:val="TOC3"/>
            <w:tabs>
              <w:tab w:val="right" w:leader="dot" w:pos="9016"/>
            </w:tabs>
            <w:rPr>
              <w:rFonts w:eastAsiaTheme="minorEastAsia"/>
              <w:noProof/>
              <w:lang w:eastAsia="en-GB"/>
            </w:rPr>
          </w:pPr>
          <w:hyperlink w:anchor="_Toc39585306" w:history="1">
            <w:r w:rsidR="00BE2C1D" w:rsidRPr="000A518F">
              <w:rPr>
                <w:rStyle w:val="Hyperlink"/>
                <w:rFonts w:asciiTheme="majorHAnsi" w:eastAsiaTheme="majorEastAsia" w:hAnsiTheme="majorHAnsi" w:cstheme="majorBidi"/>
                <w:noProof/>
              </w:rPr>
              <w:t>Information Sheet For Adults</w:t>
            </w:r>
            <w:r w:rsidR="00BE2C1D">
              <w:rPr>
                <w:noProof/>
                <w:webHidden/>
              </w:rPr>
              <w:tab/>
            </w:r>
            <w:r w:rsidR="00BE2C1D">
              <w:rPr>
                <w:noProof/>
                <w:webHidden/>
              </w:rPr>
              <w:fldChar w:fldCharType="begin"/>
            </w:r>
            <w:r w:rsidR="00BE2C1D">
              <w:rPr>
                <w:noProof/>
                <w:webHidden/>
              </w:rPr>
              <w:instrText xml:space="preserve"> PAGEREF _Toc39585306 \h </w:instrText>
            </w:r>
            <w:r w:rsidR="00BE2C1D">
              <w:rPr>
                <w:noProof/>
                <w:webHidden/>
              </w:rPr>
            </w:r>
            <w:r w:rsidR="00BE2C1D">
              <w:rPr>
                <w:noProof/>
                <w:webHidden/>
              </w:rPr>
              <w:fldChar w:fldCharType="separate"/>
            </w:r>
            <w:r w:rsidR="00606298">
              <w:rPr>
                <w:noProof/>
                <w:webHidden/>
              </w:rPr>
              <w:t>301</w:t>
            </w:r>
            <w:r w:rsidR="00BE2C1D">
              <w:rPr>
                <w:noProof/>
                <w:webHidden/>
              </w:rPr>
              <w:fldChar w:fldCharType="end"/>
            </w:r>
          </w:hyperlink>
        </w:p>
        <w:p w14:paraId="26C3066A" w14:textId="3BBD3DF6" w:rsidR="00BE2C1D" w:rsidRDefault="0046350E">
          <w:pPr>
            <w:pStyle w:val="TOC3"/>
            <w:tabs>
              <w:tab w:val="right" w:leader="dot" w:pos="9016"/>
            </w:tabs>
            <w:rPr>
              <w:rFonts w:eastAsiaTheme="minorEastAsia"/>
              <w:noProof/>
              <w:lang w:eastAsia="en-GB"/>
            </w:rPr>
          </w:pPr>
          <w:hyperlink w:anchor="_Toc39585307" w:history="1">
            <w:r w:rsidR="00BE2C1D" w:rsidRPr="000A518F">
              <w:rPr>
                <w:rStyle w:val="Hyperlink"/>
                <w:rFonts w:asciiTheme="majorHAnsi" w:eastAsiaTheme="majorEastAsia" w:hAnsiTheme="majorHAnsi" w:cstheme="majorBidi"/>
                <w:noProof/>
              </w:rPr>
              <w:t>Information Sheet For Parents of Teenage Participants</w:t>
            </w:r>
            <w:r w:rsidR="00BE2C1D">
              <w:rPr>
                <w:noProof/>
                <w:webHidden/>
              </w:rPr>
              <w:tab/>
            </w:r>
            <w:r w:rsidR="00BE2C1D">
              <w:rPr>
                <w:noProof/>
                <w:webHidden/>
              </w:rPr>
              <w:fldChar w:fldCharType="begin"/>
            </w:r>
            <w:r w:rsidR="00BE2C1D">
              <w:rPr>
                <w:noProof/>
                <w:webHidden/>
              </w:rPr>
              <w:instrText xml:space="preserve"> PAGEREF _Toc39585307 \h </w:instrText>
            </w:r>
            <w:r w:rsidR="00BE2C1D">
              <w:rPr>
                <w:noProof/>
                <w:webHidden/>
              </w:rPr>
            </w:r>
            <w:r w:rsidR="00BE2C1D">
              <w:rPr>
                <w:noProof/>
                <w:webHidden/>
              </w:rPr>
              <w:fldChar w:fldCharType="separate"/>
            </w:r>
            <w:r w:rsidR="00606298">
              <w:rPr>
                <w:noProof/>
                <w:webHidden/>
              </w:rPr>
              <w:t>305</w:t>
            </w:r>
            <w:r w:rsidR="00BE2C1D">
              <w:rPr>
                <w:noProof/>
                <w:webHidden/>
              </w:rPr>
              <w:fldChar w:fldCharType="end"/>
            </w:r>
          </w:hyperlink>
        </w:p>
        <w:p w14:paraId="22D9E182" w14:textId="4559523A" w:rsidR="00BE2C1D" w:rsidRDefault="0046350E">
          <w:pPr>
            <w:pStyle w:val="TOC3"/>
            <w:tabs>
              <w:tab w:val="right" w:leader="dot" w:pos="9016"/>
            </w:tabs>
            <w:rPr>
              <w:rFonts w:eastAsiaTheme="minorEastAsia"/>
              <w:noProof/>
              <w:lang w:eastAsia="en-GB"/>
            </w:rPr>
          </w:pPr>
          <w:hyperlink w:anchor="_Toc39585308" w:history="1">
            <w:r w:rsidR="00BE2C1D" w:rsidRPr="000A518F">
              <w:rPr>
                <w:rStyle w:val="Hyperlink"/>
                <w:rFonts w:asciiTheme="majorHAnsi" w:eastAsiaTheme="majorEastAsia" w:hAnsiTheme="majorHAnsi" w:cstheme="majorBidi"/>
                <w:noProof/>
              </w:rPr>
              <w:t>Information Sheet for Teenage Participants</w:t>
            </w:r>
            <w:r w:rsidR="00BE2C1D">
              <w:rPr>
                <w:noProof/>
                <w:webHidden/>
              </w:rPr>
              <w:tab/>
            </w:r>
            <w:r w:rsidR="00BE2C1D">
              <w:rPr>
                <w:noProof/>
                <w:webHidden/>
              </w:rPr>
              <w:fldChar w:fldCharType="begin"/>
            </w:r>
            <w:r w:rsidR="00BE2C1D">
              <w:rPr>
                <w:noProof/>
                <w:webHidden/>
              </w:rPr>
              <w:instrText xml:space="preserve"> PAGEREF _Toc39585308 \h </w:instrText>
            </w:r>
            <w:r w:rsidR="00BE2C1D">
              <w:rPr>
                <w:noProof/>
                <w:webHidden/>
              </w:rPr>
            </w:r>
            <w:r w:rsidR="00BE2C1D">
              <w:rPr>
                <w:noProof/>
                <w:webHidden/>
              </w:rPr>
              <w:fldChar w:fldCharType="separate"/>
            </w:r>
            <w:r w:rsidR="00606298">
              <w:rPr>
                <w:noProof/>
                <w:webHidden/>
              </w:rPr>
              <w:t>311</w:t>
            </w:r>
            <w:r w:rsidR="00BE2C1D">
              <w:rPr>
                <w:noProof/>
                <w:webHidden/>
              </w:rPr>
              <w:fldChar w:fldCharType="end"/>
            </w:r>
          </w:hyperlink>
        </w:p>
        <w:p w14:paraId="1BACF944" w14:textId="71235D6F" w:rsidR="00BE2C1D" w:rsidRDefault="0046350E">
          <w:pPr>
            <w:pStyle w:val="TOC2"/>
            <w:tabs>
              <w:tab w:val="right" w:leader="dot" w:pos="9016"/>
            </w:tabs>
            <w:rPr>
              <w:rFonts w:eastAsiaTheme="minorEastAsia"/>
              <w:noProof/>
              <w:lang w:eastAsia="en-GB"/>
            </w:rPr>
          </w:pPr>
          <w:hyperlink w:anchor="_Toc39585309" w:history="1">
            <w:r w:rsidR="00BE2C1D" w:rsidRPr="000A518F">
              <w:rPr>
                <w:rStyle w:val="Hyperlink"/>
                <w:rFonts w:asciiTheme="majorHAnsi" w:eastAsiaTheme="majorEastAsia" w:hAnsiTheme="majorHAnsi" w:cstheme="majorBidi"/>
                <w:noProof/>
              </w:rPr>
              <w:t>Appendix 6: Informed Consent Forms</w:t>
            </w:r>
            <w:r w:rsidR="00BE2C1D">
              <w:rPr>
                <w:noProof/>
                <w:webHidden/>
              </w:rPr>
              <w:tab/>
            </w:r>
            <w:r w:rsidR="00BE2C1D">
              <w:rPr>
                <w:noProof/>
                <w:webHidden/>
              </w:rPr>
              <w:fldChar w:fldCharType="begin"/>
            </w:r>
            <w:r w:rsidR="00BE2C1D">
              <w:rPr>
                <w:noProof/>
                <w:webHidden/>
              </w:rPr>
              <w:instrText xml:space="preserve"> PAGEREF _Toc39585309 \h </w:instrText>
            </w:r>
            <w:r w:rsidR="00BE2C1D">
              <w:rPr>
                <w:noProof/>
                <w:webHidden/>
              </w:rPr>
            </w:r>
            <w:r w:rsidR="00BE2C1D">
              <w:rPr>
                <w:noProof/>
                <w:webHidden/>
              </w:rPr>
              <w:fldChar w:fldCharType="separate"/>
            </w:r>
            <w:r w:rsidR="00606298">
              <w:rPr>
                <w:noProof/>
                <w:webHidden/>
              </w:rPr>
              <w:t>322</w:t>
            </w:r>
            <w:r w:rsidR="00BE2C1D">
              <w:rPr>
                <w:noProof/>
                <w:webHidden/>
              </w:rPr>
              <w:fldChar w:fldCharType="end"/>
            </w:r>
          </w:hyperlink>
        </w:p>
        <w:p w14:paraId="55E372A7" w14:textId="4B4FF302" w:rsidR="00BE2C1D" w:rsidRDefault="0046350E">
          <w:pPr>
            <w:pStyle w:val="TOC3"/>
            <w:tabs>
              <w:tab w:val="right" w:leader="dot" w:pos="9016"/>
            </w:tabs>
            <w:rPr>
              <w:rFonts w:eastAsiaTheme="minorEastAsia"/>
              <w:noProof/>
              <w:lang w:eastAsia="en-GB"/>
            </w:rPr>
          </w:pPr>
          <w:hyperlink w:anchor="_Toc39585310" w:history="1">
            <w:r w:rsidR="00BE2C1D" w:rsidRPr="000A518F">
              <w:rPr>
                <w:rStyle w:val="Hyperlink"/>
                <w:rFonts w:asciiTheme="majorHAnsi" w:eastAsiaTheme="majorEastAsia" w:hAnsiTheme="majorHAnsi" w:cstheme="majorBidi"/>
                <w:noProof/>
              </w:rPr>
              <w:t>Informed Consent Form for Adult Participants</w:t>
            </w:r>
            <w:r w:rsidR="00BE2C1D">
              <w:rPr>
                <w:noProof/>
                <w:webHidden/>
              </w:rPr>
              <w:tab/>
            </w:r>
            <w:r w:rsidR="00BE2C1D">
              <w:rPr>
                <w:noProof/>
                <w:webHidden/>
              </w:rPr>
              <w:fldChar w:fldCharType="begin"/>
            </w:r>
            <w:r w:rsidR="00BE2C1D">
              <w:rPr>
                <w:noProof/>
                <w:webHidden/>
              </w:rPr>
              <w:instrText xml:space="preserve"> PAGEREF _Toc39585310 \h </w:instrText>
            </w:r>
            <w:r w:rsidR="00BE2C1D">
              <w:rPr>
                <w:noProof/>
                <w:webHidden/>
              </w:rPr>
            </w:r>
            <w:r w:rsidR="00BE2C1D">
              <w:rPr>
                <w:noProof/>
                <w:webHidden/>
              </w:rPr>
              <w:fldChar w:fldCharType="separate"/>
            </w:r>
            <w:r w:rsidR="00606298">
              <w:rPr>
                <w:noProof/>
                <w:webHidden/>
              </w:rPr>
              <w:t>322</w:t>
            </w:r>
            <w:r w:rsidR="00BE2C1D">
              <w:rPr>
                <w:noProof/>
                <w:webHidden/>
              </w:rPr>
              <w:fldChar w:fldCharType="end"/>
            </w:r>
          </w:hyperlink>
        </w:p>
        <w:p w14:paraId="03032AD2" w14:textId="1D3DA1E5" w:rsidR="00BE2C1D" w:rsidRDefault="0046350E">
          <w:pPr>
            <w:pStyle w:val="TOC3"/>
            <w:tabs>
              <w:tab w:val="right" w:leader="dot" w:pos="9016"/>
            </w:tabs>
            <w:rPr>
              <w:rFonts w:eastAsiaTheme="minorEastAsia"/>
              <w:noProof/>
              <w:lang w:eastAsia="en-GB"/>
            </w:rPr>
          </w:pPr>
          <w:hyperlink w:anchor="_Toc39585312" w:history="1">
            <w:r w:rsidR="00BE2C1D" w:rsidRPr="000A518F">
              <w:rPr>
                <w:rStyle w:val="Hyperlink"/>
                <w:rFonts w:asciiTheme="majorHAnsi" w:eastAsiaTheme="majorEastAsia" w:hAnsiTheme="majorHAnsi" w:cstheme="majorBidi"/>
                <w:noProof/>
              </w:rPr>
              <w:t>Informed Consent For Parents</w:t>
            </w:r>
            <w:r w:rsidR="00BE2C1D">
              <w:rPr>
                <w:noProof/>
                <w:webHidden/>
              </w:rPr>
              <w:tab/>
            </w:r>
            <w:r w:rsidR="00BE2C1D">
              <w:rPr>
                <w:noProof/>
                <w:webHidden/>
              </w:rPr>
              <w:fldChar w:fldCharType="begin"/>
            </w:r>
            <w:r w:rsidR="00BE2C1D">
              <w:rPr>
                <w:noProof/>
                <w:webHidden/>
              </w:rPr>
              <w:instrText xml:space="preserve"> PAGEREF _Toc39585312 \h </w:instrText>
            </w:r>
            <w:r w:rsidR="00BE2C1D">
              <w:rPr>
                <w:noProof/>
                <w:webHidden/>
              </w:rPr>
            </w:r>
            <w:r w:rsidR="00BE2C1D">
              <w:rPr>
                <w:noProof/>
                <w:webHidden/>
              </w:rPr>
              <w:fldChar w:fldCharType="separate"/>
            </w:r>
            <w:r w:rsidR="00606298">
              <w:rPr>
                <w:noProof/>
                <w:webHidden/>
              </w:rPr>
              <w:t>324</w:t>
            </w:r>
            <w:r w:rsidR="00BE2C1D">
              <w:rPr>
                <w:noProof/>
                <w:webHidden/>
              </w:rPr>
              <w:fldChar w:fldCharType="end"/>
            </w:r>
          </w:hyperlink>
        </w:p>
        <w:p w14:paraId="122FA8B7" w14:textId="74124BF4" w:rsidR="00BE2C1D" w:rsidRDefault="0046350E">
          <w:pPr>
            <w:pStyle w:val="TOC3"/>
            <w:tabs>
              <w:tab w:val="right" w:leader="dot" w:pos="9016"/>
            </w:tabs>
            <w:rPr>
              <w:rFonts w:eastAsiaTheme="minorEastAsia"/>
              <w:noProof/>
              <w:lang w:eastAsia="en-GB"/>
            </w:rPr>
          </w:pPr>
          <w:hyperlink w:anchor="_Toc39585314" w:history="1">
            <w:r w:rsidR="00BE2C1D" w:rsidRPr="000A518F">
              <w:rPr>
                <w:rStyle w:val="Hyperlink"/>
                <w:rFonts w:asciiTheme="majorHAnsi" w:eastAsiaTheme="majorEastAsia" w:hAnsiTheme="majorHAnsi" w:cstheme="majorBidi"/>
                <w:noProof/>
              </w:rPr>
              <w:t>Informed Consent Form for Teenagers</w:t>
            </w:r>
            <w:r w:rsidR="00BE2C1D">
              <w:rPr>
                <w:noProof/>
                <w:webHidden/>
              </w:rPr>
              <w:tab/>
            </w:r>
            <w:r w:rsidR="00BE2C1D">
              <w:rPr>
                <w:noProof/>
                <w:webHidden/>
              </w:rPr>
              <w:fldChar w:fldCharType="begin"/>
            </w:r>
            <w:r w:rsidR="00BE2C1D">
              <w:rPr>
                <w:noProof/>
                <w:webHidden/>
              </w:rPr>
              <w:instrText xml:space="preserve"> PAGEREF _Toc39585314 \h </w:instrText>
            </w:r>
            <w:r w:rsidR="00BE2C1D">
              <w:rPr>
                <w:noProof/>
                <w:webHidden/>
              </w:rPr>
            </w:r>
            <w:r w:rsidR="00BE2C1D">
              <w:rPr>
                <w:noProof/>
                <w:webHidden/>
              </w:rPr>
              <w:fldChar w:fldCharType="separate"/>
            </w:r>
            <w:r w:rsidR="00606298">
              <w:rPr>
                <w:noProof/>
                <w:webHidden/>
              </w:rPr>
              <w:t>326</w:t>
            </w:r>
            <w:r w:rsidR="00BE2C1D">
              <w:rPr>
                <w:noProof/>
                <w:webHidden/>
              </w:rPr>
              <w:fldChar w:fldCharType="end"/>
            </w:r>
          </w:hyperlink>
        </w:p>
        <w:p w14:paraId="5AF43F86" w14:textId="60617947" w:rsidR="00BE2C1D" w:rsidRDefault="00BE2C1D" w:rsidP="00BE2C1D">
          <w:pPr>
            <w:rPr>
              <w:b/>
              <w:bCs/>
              <w:noProof/>
            </w:rPr>
          </w:pPr>
          <w:r w:rsidRPr="00BE2C1D">
            <w:rPr>
              <w:b/>
              <w:bCs/>
              <w:noProof/>
            </w:rPr>
            <w:fldChar w:fldCharType="end"/>
          </w:r>
        </w:p>
      </w:sdtContent>
    </w:sdt>
    <w:p w14:paraId="0B5722C6" w14:textId="77777777" w:rsidR="00BE2C1D" w:rsidRPr="00BE2C1D" w:rsidRDefault="00BE2C1D" w:rsidP="00BE2C1D">
      <w:pPr>
        <w:rPr>
          <w:b/>
          <w:bCs/>
          <w:noProof/>
          <w:sz w:val="28"/>
          <w:szCs w:val="28"/>
        </w:rPr>
      </w:pPr>
      <w:r w:rsidRPr="00BE2C1D">
        <w:rPr>
          <w:b/>
          <w:bCs/>
          <w:noProof/>
          <w:sz w:val="28"/>
          <w:szCs w:val="28"/>
        </w:rPr>
        <w:t>List of Tables:</w:t>
      </w:r>
    </w:p>
    <w:p w14:paraId="529650EE" w14:textId="0DA01C4F" w:rsidR="00CB0FF8" w:rsidRDefault="00BE2C1D" w:rsidP="00BE2C1D">
      <w:pPr>
        <w:spacing w:line="360" w:lineRule="auto"/>
        <w:jc w:val="both"/>
      </w:pPr>
      <w:r w:rsidRPr="00BE2C1D">
        <w:t>Table 1: Demographics of Teenage participants</w:t>
      </w:r>
      <w:r w:rsidR="00E27C53">
        <w:t>…………………………………………………………………………</w:t>
      </w:r>
      <w:r w:rsidR="00A30738">
        <w:t>……..60</w:t>
      </w:r>
    </w:p>
    <w:p w14:paraId="0E5513EB" w14:textId="6F34959A" w:rsidR="00CB0FF8" w:rsidRDefault="00BE2C1D" w:rsidP="00CB0FF8">
      <w:pPr>
        <w:spacing w:line="360" w:lineRule="auto"/>
        <w:jc w:val="both"/>
      </w:pPr>
      <w:r w:rsidRPr="00BE2C1D">
        <w:t>Table 2: Demographics of Adult participants</w:t>
      </w:r>
      <w:r w:rsidR="00E27C53">
        <w:t>…………………………………………………………………………………</w:t>
      </w:r>
      <w:r w:rsidR="00A30738">
        <w:t>….61</w:t>
      </w:r>
    </w:p>
    <w:p w14:paraId="5946B501" w14:textId="5A302B66" w:rsidR="00CB0FF8" w:rsidRDefault="00CB0FF8" w:rsidP="00CB0FF8">
      <w:pPr>
        <w:spacing w:line="360" w:lineRule="auto"/>
        <w:jc w:val="both"/>
      </w:pPr>
      <w:r w:rsidRPr="00CB0FF8">
        <w:rPr>
          <w:bCs/>
          <w:iCs/>
        </w:rPr>
        <w:t xml:space="preserve">Table 3: Methods the Teenagers Opted For </w:t>
      </w:r>
      <w:r w:rsidR="00E27C53">
        <w:rPr>
          <w:bCs/>
          <w:iCs/>
        </w:rPr>
        <w:t>……………………………………………………………………………………</w:t>
      </w:r>
      <w:r w:rsidR="00A30738">
        <w:rPr>
          <w:bCs/>
          <w:iCs/>
        </w:rPr>
        <w:t>63</w:t>
      </w:r>
    </w:p>
    <w:p w14:paraId="660D23D8" w14:textId="0AC59D4C" w:rsidR="00CB0FF8" w:rsidRDefault="00CB0FF8" w:rsidP="00BE2C1D">
      <w:pPr>
        <w:spacing w:line="360" w:lineRule="auto"/>
        <w:jc w:val="both"/>
      </w:pPr>
      <w:r w:rsidRPr="00CB0FF8">
        <w:rPr>
          <w:bCs/>
          <w:iCs/>
        </w:rPr>
        <w:t>Table 4: Methods the Adults Opted For</w:t>
      </w:r>
      <w:r w:rsidR="00E27C53">
        <w:rPr>
          <w:bCs/>
          <w:iCs/>
        </w:rPr>
        <w:t>………………………………………………………………………………………</w:t>
      </w:r>
      <w:r w:rsidR="00A30738">
        <w:rPr>
          <w:bCs/>
          <w:iCs/>
        </w:rPr>
        <w:t>63-64</w:t>
      </w:r>
    </w:p>
    <w:p w14:paraId="327327FB" w14:textId="11888ACA" w:rsidR="00CB0FF8" w:rsidRPr="00BE2C1D" w:rsidRDefault="00CB0FF8" w:rsidP="00BE2C1D">
      <w:pPr>
        <w:spacing w:line="360" w:lineRule="auto"/>
        <w:jc w:val="both"/>
      </w:pPr>
      <w:r>
        <w:t xml:space="preserve">Table 5: </w:t>
      </w:r>
      <w:r w:rsidRPr="00CB0FF8">
        <w:t>Participants with Teaching Assistants</w:t>
      </w:r>
      <w:r w:rsidR="00E27C53">
        <w:t>…………………………………………………………………………</w:t>
      </w:r>
      <w:r w:rsidR="00A30738">
        <w:t>127-128</w:t>
      </w:r>
    </w:p>
    <w:p w14:paraId="1325504D" w14:textId="7CEFA9EE" w:rsidR="00BE2C1D" w:rsidRDefault="00BE2C1D" w:rsidP="00BE2C1D">
      <w:pPr>
        <w:rPr>
          <w:b/>
          <w:bCs/>
          <w:noProof/>
        </w:rPr>
      </w:pPr>
    </w:p>
    <w:p w14:paraId="325805B1" w14:textId="77777777" w:rsidR="00CB0FF8" w:rsidRDefault="00BE2C1D" w:rsidP="00CB0FF8">
      <w:pPr>
        <w:rPr>
          <w:b/>
          <w:bCs/>
          <w:noProof/>
          <w:sz w:val="28"/>
          <w:szCs w:val="28"/>
        </w:rPr>
      </w:pPr>
      <w:r>
        <w:rPr>
          <w:b/>
          <w:bCs/>
          <w:noProof/>
          <w:sz w:val="28"/>
          <w:szCs w:val="28"/>
        </w:rPr>
        <w:t xml:space="preserve">List of </w:t>
      </w:r>
      <w:r w:rsidR="00CB0FF8">
        <w:rPr>
          <w:b/>
          <w:bCs/>
          <w:noProof/>
          <w:sz w:val="28"/>
          <w:szCs w:val="28"/>
        </w:rPr>
        <w:t>Figures:</w:t>
      </w:r>
    </w:p>
    <w:p w14:paraId="26052112" w14:textId="55ADD489" w:rsidR="00CB0FF8" w:rsidRPr="00CB0FF8" w:rsidRDefault="00CB0FF8" w:rsidP="00CB0FF8">
      <w:pPr>
        <w:spacing w:line="360" w:lineRule="auto"/>
        <w:jc w:val="both"/>
        <w:rPr>
          <w:rFonts w:cstheme="minorHAnsi"/>
        </w:rPr>
      </w:pPr>
      <w:r w:rsidRPr="00CB0FF8">
        <w:rPr>
          <w:rFonts w:cstheme="minorHAnsi"/>
        </w:rPr>
        <w:t>Figure 1: Assemblage of Access</w:t>
      </w:r>
      <w:r w:rsidR="00E27C53">
        <w:rPr>
          <w:rFonts w:cstheme="minorHAnsi"/>
        </w:rPr>
        <w:t>…………………………………………………………………………………………………</w:t>
      </w:r>
      <w:r w:rsidR="00A30738">
        <w:rPr>
          <w:rFonts w:cstheme="minorHAnsi"/>
        </w:rPr>
        <w:t>……111</w:t>
      </w:r>
    </w:p>
    <w:p w14:paraId="0624736F" w14:textId="3042E324" w:rsidR="00BE2C1D" w:rsidRPr="00CB0FF8" w:rsidRDefault="00CB0FF8" w:rsidP="00CB0FF8">
      <w:pPr>
        <w:spacing w:line="360" w:lineRule="auto"/>
        <w:jc w:val="both"/>
        <w:rPr>
          <w:noProof/>
        </w:rPr>
      </w:pPr>
      <w:r w:rsidRPr="00CB0FF8">
        <w:rPr>
          <w:rFonts w:cstheme="minorHAnsi"/>
        </w:rPr>
        <w:t>Figure 2: Negotiating Equipment</w:t>
      </w:r>
      <w:r w:rsidR="00E27C53">
        <w:rPr>
          <w:rFonts w:cstheme="minorHAnsi"/>
        </w:rPr>
        <w:t>………………………………………………………………………………</w:t>
      </w:r>
      <w:r w:rsidR="00A30738">
        <w:rPr>
          <w:rFonts w:cstheme="minorHAnsi"/>
        </w:rPr>
        <w:t>…………………….116</w:t>
      </w:r>
    </w:p>
    <w:p w14:paraId="3D4F6501" w14:textId="398C5D25" w:rsidR="00BE2C1D" w:rsidRDefault="00BE2C1D" w:rsidP="00BE2C1D">
      <w:pPr>
        <w:keepNext/>
        <w:keepLines/>
        <w:spacing w:before="240" w:after="0"/>
        <w:outlineLvl w:val="0"/>
        <w:rPr>
          <w:rFonts w:asciiTheme="majorHAnsi" w:eastAsiaTheme="majorEastAsia" w:hAnsiTheme="majorHAnsi" w:cstheme="majorBidi"/>
          <w:color w:val="2F5496" w:themeColor="accent1" w:themeShade="BF"/>
          <w:sz w:val="32"/>
          <w:szCs w:val="32"/>
        </w:rPr>
      </w:pPr>
    </w:p>
    <w:p w14:paraId="58DE2AD5" w14:textId="144DF9AF" w:rsidR="00BE2C1D" w:rsidRDefault="00BE2C1D" w:rsidP="00BE2C1D">
      <w:pPr>
        <w:keepNext/>
        <w:keepLines/>
        <w:spacing w:before="240" w:after="0"/>
        <w:outlineLvl w:val="0"/>
        <w:rPr>
          <w:rFonts w:asciiTheme="majorHAnsi" w:eastAsiaTheme="majorEastAsia" w:hAnsiTheme="majorHAnsi" w:cstheme="majorBidi"/>
          <w:color w:val="2F5496" w:themeColor="accent1" w:themeShade="BF"/>
          <w:sz w:val="32"/>
          <w:szCs w:val="32"/>
        </w:rPr>
      </w:pPr>
    </w:p>
    <w:p w14:paraId="390558C0" w14:textId="7E36C970" w:rsidR="00CB0FF8" w:rsidRDefault="00CB0FF8" w:rsidP="00CB0FF8">
      <w:pPr>
        <w:rPr>
          <w:rFonts w:asciiTheme="majorHAnsi" w:eastAsiaTheme="majorEastAsia" w:hAnsiTheme="majorHAnsi" w:cstheme="majorBidi"/>
          <w:color w:val="2F5496" w:themeColor="accent1" w:themeShade="BF"/>
          <w:sz w:val="32"/>
          <w:szCs w:val="32"/>
        </w:rPr>
      </w:pPr>
      <w:bookmarkStart w:id="1" w:name="_Toc39585188"/>
    </w:p>
    <w:p w14:paraId="16DADBC1" w14:textId="652D491D" w:rsidR="00CB0FF8" w:rsidRDefault="00CB0FF8" w:rsidP="00CB0FF8">
      <w:pPr>
        <w:rPr>
          <w:rFonts w:asciiTheme="majorHAnsi" w:eastAsiaTheme="majorEastAsia" w:hAnsiTheme="majorHAnsi" w:cstheme="majorBidi"/>
          <w:color w:val="2F5496" w:themeColor="accent1" w:themeShade="BF"/>
          <w:sz w:val="32"/>
          <w:szCs w:val="32"/>
        </w:rPr>
      </w:pPr>
    </w:p>
    <w:p w14:paraId="155ABAC0" w14:textId="58BFE999" w:rsidR="00CB0FF8" w:rsidRDefault="00CB0FF8" w:rsidP="00CB0FF8">
      <w:pPr>
        <w:rPr>
          <w:rFonts w:asciiTheme="majorHAnsi" w:eastAsiaTheme="majorEastAsia" w:hAnsiTheme="majorHAnsi" w:cstheme="majorBidi"/>
          <w:color w:val="2F5496" w:themeColor="accent1" w:themeShade="BF"/>
          <w:sz w:val="32"/>
          <w:szCs w:val="32"/>
        </w:rPr>
      </w:pPr>
    </w:p>
    <w:p w14:paraId="55717FAD" w14:textId="7E3BFBAA" w:rsidR="00CB0FF8" w:rsidRDefault="00CB0FF8" w:rsidP="00CB0FF8">
      <w:pPr>
        <w:rPr>
          <w:rFonts w:asciiTheme="majorHAnsi" w:eastAsiaTheme="majorEastAsia" w:hAnsiTheme="majorHAnsi" w:cstheme="majorBidi"/>
          <w:color w:val="2F5496" w:themeColor="accent1" w:themeShade="BF"/>
          <w:sz w:val="32"/>
          <w:szCs w:val="32"/>
        </w:rPr>
      </w:pPr>
    </w:p>
    <w:p w14:paraId="5E32B792" w14:textId="5AB93DF8" w:rsidR="00CB0FF8" w:rsidRDefault="00CB0FF8" w:rsidP="00CB0FF8">
      <w:pPr>
        <w:rPr>
          <w:rFonts w:asciiTheme="majorHAnsi" w:eastAsiaTheme="majorEastAsia" w:hAnsiTheme="majorHAnsi" w:cstheme="majorBidi"/>
          <w:color w:val="2F5496" w:themeColor="accent1" w:themeShade="BF"/>
          <w:sz w:val="32"/>
          <w:szCs w:val="32"/>
        </w:rPr>
      </w:pPr>
    </w:p>
    <w:p w14:paraId="0F8B3C72" w14:textId="6B9AA3B9" w:rsidR="00CB0FF8" w:rsidRDefault="00CB0FF8" w:rsidP="00CB0FF8">
      <w:pPr>
        <w:rPr>
          <w:rFonts w:asciiTheme="majorHAnsi" w:eastAsiaTheme="majorEastAsia" w:hAnsiTheme="majorHAnsi" w:cstheme="majorBidi"/>
          <w:color w:val="2F5496" w:themeColor="accent1" w:themeShade="BF"/>
          <w:sz w:val="32"/>
          <w:szCs w:val="32"/>
        </w:rPr>
      </w:pPr>
    </w:p>
    <w:p w14:paraId="2687E6E5" w14:textId="2123D07E" w:rsidR="00CB0FF8" w:rsidRDefault="00CB0FF8" w:rsidP="00CB0FF8"/>
    <w:p w14:paraId="76023E92" w14:textId="4F276E36" w:rsidR="00752708" w:rsidRDefault="00752708" w:rsidP="00CB0FF8"/>
    <w:p w14:paraId="36BBDB2B" w14:textId="77777777" w:rsidR="00752708" w:rsidRDefault="00752708" w:rsidP="00CB0FF8"/>
    <w:p w14:paraId="6435BCEE" w14:textId="71933FD9" w:rsidR="00BE2C1D" w:rsidRPr="00BE2C1D" w:rsidRDefault="00BE2C1D" w:rsidP="00CB0FF8">
      <w:pPr>
        <w:pStyle w:val="Heading1"/>
      </w:pPr>
      <w:r w:rsidRPr="00BE2C1D">
        <w:lastRenderedPageBreak/>
        <w:t>Chapter 1: Introduction</w:t>
      </w:r>
      <w:bookmarkEnd w:id="1"/>
      <w:r w:rsidRPr="00BE2C1D">
        <w:t xml:space="preserve"> </w:t>
      </w:r>
    </w:p>
    <w:p w14:paraId="7C9DDD42" w14:textId="77777777" w:rsidR="00BE2C1D" w:rsidRPr="00BE2C1D" w:rsidRDefault="00BE2C1D" w:rsidP="00BE2C1D"/>
    <w:p w14:paraId="4F3E3545" w14:textId="77777777" w:rsidR="00BE2C1D" w:rsidRPr="00BE2C1D" w:rsidRDefault="00BE2C1D" w:rsidP="00BE2C1D">
      <w:pPr>
        <w:keepNext/>
        <w:keepLines/>
        <w:spacing w:before="40" w:after="0" w:line="360" w:lineRule="auto"/>
        <w:outlineLvl w:val="1"/>
        <w:rPr>
          <w:rFonts w:asciiTheme="majorHAnsi" w:eastAsiaTheme="majorEastAsia" w:hAnsiTheme="majorHAnsi" w:cstheme="majorBidi"/>
          <w:color w:val="2F5496" w:themeColor="accent1" w:themeShade="BF"/>
          <w:sz w:val="26"/>
          <w:szCs w:val="26"/>
        </w:rPr>
      </w:pPr>
      <w:bookmarkStart w:id="2" w:name="_Toc39585189"/>
      <w:r w:rsidRPr="00BE2C1D">
        <w:rPr>
          <w:rFonts w:asciiTheme="majorHAnsi" w:eastAsiaTheme="majorEastAsia" w:hAnsiTheme="majorHAnsi" w:cstheme="majorBidi"/>
          <w:color w:val="2F5496" w:themeColor="accent1" w:themeShade="BF"/>
          <w:sz w:val="26"/>
          <w:szCs w:val="26"/>
        </w:rPr>
        <w:t>Introduction</w:t>
      </w:r>
      <w:bookmarkEnd w:id="2"/>
      <w:r w:rsidRPr="00BE2C1D">
        <w:rPr>
          <w:rFonts w:asciiTheme="majorHAnsi" w:eastAsiaTheme="majorEastAsia" w:hAnsiTheme="majorHAnsi" w:cstheme="majorBidi"/>
          <w:color w:val="2F5496" w:themeColor="accent1" w:themeShade="BF"/>
          <w:sz w:val="26"/>
          <w:szCs w:val="26"/>
        </w:rPr>
        <w:t xml:space="preserve"> </w:t>
      </w:r>
    </w:p>
    <w:p w14:paraId="208E817E" w14:textId="77777777" w:rsidR="00BE2C1D" w:rsidRPr="00BE2C1D" w:rsidRDefault="00BE2C1D" w:rsidP="00BE2C1D">
      <w:pPr>
        <w:jc w:val="center"/>
        <w:rPr>
          <w:b/>
          <w:bCs/>
          <w:sz w:val="24"/>
          <w:szCs w:val="24"/>
        </w:rPr>
      </w:pPr>
      <w:r w:rsidRPr="00BE2C1D">
        <w:rPr>
          <w:b/>
          <w:bCs/>
          <w:sz w:val="24"/>
          <w:szCs w:val="24"/>
        </w:rPr>
        <w:t>Back in the old days….</w:t>
      </w:r>
      <w:r w:rsidRPr="00BE2C1D">
        <w:rPr>
          <w:b/>
          <w:bCs/>
          <w:sz w:val="24"/>
          <w:szCs w:val="24"/>
          <w:vertAlign w:val="superscript"/>
        </w:rPr>
        <w:footnoteReference w:id="2"/>
      </w:r>
    </w:p>
    <w:p w14:paraId="160A880E" w14:textId="77777777" w:rsidR="00BE2C1D" w:rsidRPr="00BE2C1D" w:rsidRDefault="00BE2C1D" w:rsidP="00BE2C1D">
      <w:pPr>
        <w:rPr>
          <w:i/>
          <w:iCs/>
        </w:rPr>
      </w:pPr>
      <w:r w:rsidRPr="00BE2C1D">
        <w:t xml:space="preserve"> </w:t>
      </w:r>
      <w:r w:rsidRPr="00BE2C1D">
        <w:tab/>
      </w:r>
      <w:r w:rsidRPr="00BE2C1D">
        <w:rPr>
          <w:i/>
          <w:iCs/>
        </w:rPr>
        <w:t>Once upon a time, many, many years ago…</w:t>
      </w:r>
    </w:p>
    <w:p w14:paraId="2D124D4A" w14:textId="77777777" w:rsidR="00BE2C1D" w:rsidRPr="00BE2C1D" w:rsidRDefault="00BE2C1D" w:rsidP="00BE2C1D">
      <w:pPr>
        <w:ind w:left="720"/>
        <w:rPr>
          <w:i/>
          <w:iCs/>
        </w:rPr>
      </w:pPr>
      <w:r w:rsidRPr="00BE2C1D">
        <w:rPr>
          <w:i/>
          <w:iCs/>
        </w:rPr>
        <w:t>Nah, that’s not the way I would like to start my story. It’s not been that many years ago to be fair. Anyhow, time doesn’t really matter…</w:t>
      </w:r>
    </w:p>
    <w:p w14:paraId="322BDF4F" w14:textId="77777777" w:rsidR="00BE2C1D" w:rsidRPr="00BE2C1D" w:rsidRDefault="00BE2C1D" w:rsidP="00BE2C1D">
      <w:pPr>
        <w:ind w:left="720"/>
        <w:rPr>
          <w:i/>
          <w:iCs/>
        </w:rPr>
      </w:pPr>
      <w:r w:rsidRPr="00BE2C1D">
        <w:rPr>
          <w:i/>
          <w:iCs/>
        </w:rPr>
        <w:t>So, a few years ago, I started working as a primary school teacher in London and then in Sheffield. One of my biggest struggles - believe it or not - was the Interactive Whiteboard. Yes, I know, you might be laughing while reading this. Why would somebody be afraid of an Interactive Whiteboard?</w:t>
      </w:r>
    </w:p>
    <w:p w14:paraId="5822A1DB" w14:textId="77777777" w:rsidR="00BE2C1D" w:rsidRPr="00BE2C1D" w:rsidRDefault="00BE2C1D" w:rsidP="00BE2C1D">
      <w:pPr>
        <w:ind w:left="720"/>
        <w:rPr>
          <w:i/>
          <w:iCs/>
        </w:rPr>
      </w:pPr>
      <w:r w:rsidRPr="00BE2C1D">
        <w:rPr>
          <w:i/>
          <w:iCs/>
        </w:rPr>
        <w:t>Long story short, the first time I came across such a ‘thing’ was in the university. Even at that time, I never attempted to use it. Hence, it was something completely new to me. How does it work? How many seconds will it take me to break it down? It might be better for both me and it to stay away from each other for as long as possible. But my fear, my nightmare, became true the very first day at work.</w:t>
      </w:r>
    </w:p>
    <w:p w14:paraId="43A82553" w14:textId="77777777" w:rsidR="00BE2C1D" w:rsidRPr="00BE2C1D" w:rsidRDefault="00BE2C1D" w:rsidP="00BE2C1D">
      <w:pPr>
        <w:ind w:left="720"/>
        <w:rPr>
          <w:i/>
          <w:iCs/>
        </w:rPr>
      </w:pPr>
      <w:r w:rsidRPr="00BE2C1D">
        <w:rPr>
          <w:i/>
          <w:iCs/>
        </w:rPr>
        <w:t>Anyway, I think I am diverting a lot from what I actually want to share in my story. So, what did we have in secondary schools if not interactive whiteboards? No, it wasn’t laptops, tablets etc. Have you ever seen, used, felt a blackboard and a chalk? Yes, I belong to this generation, when blackboards and chalks were still in use.</w:t>
      </w:r>
    </w:p>
    <w:p w14:paraId="24ACC808" w14:textId="77777777" w:rsidR="00BE2C1D" w:rsidRPr="00BE2C1D" w:rsidRDefault="00BE2C1D" w:rsidP="00BE2C1D">
      <w:pPr>
        <w:ind w:left="720"/>
        <w:rPr>
          <w:i/>
          <w:iCs/>
        </w:rPr>
      </w:pPr>
      <w:r w:rsidRPr="00BE2C1D">
        <w:rPr>
          <w:i/>
          <w:iCs/>
        </w:rPr>
        <w:t>One use of the blackboard was for assessment. Teachers would pick one student to solve a problem on the blackboard or to demonstrate how something should be done. Every time they were about to make a decision on who that ‘lucky’ student would be, I was feeling quite stressed. I was avoiding eye contact with them as a means to decrease the possibility of being picked. In a few words, Blackboard=Nightmare. Sometimes it was because I hadn’t done my homework (yeah, that happened too, rarely though!). Most of the times, however, I couldn’t explain what the source of this stress was. I assumed that I had ‘stage fear’ (performing in front of an audience), but still, I couldn’t explain why.</w:t>
      </w:r>
    </w:p>
    <w:p w14:paraId="13829D72" w14:textId="77777777" w:rsidR="00BE2C1D" w:rsidRPr="00BE2C1D" w:rsidRDefault="00BE2C1D" w:rsidP="00BE2C1D">
      <w:pPr>
        <w:ind w:left="720"/>
        <w:rPr>
          <w:i/>
          <w:iCs/>
        </w:rPr>
      </w:pPr>
      <w:r w:rsidRPr="00BE2C1D">
        <w:rPr>
          <w:i/>
          <w:iCs/>
        </w:rPr>
        <w:t xml:space="preserve">It was only at the end of high school when I realised that this fear had to do with whether I would be able to reach the blackboard and write on it. There were times when teachers had written the task so high on the blackboard that I had to stretch myself to reach it and, still, I couldn’t. The exposure of my body and myself in this situation (not being able to reach and perform as expected) made me quite self-conscious. ‘What will my peers say/think?’ ‘Are they going to talk behind my back?’ Hundreds of thoughts and feelings were running in my mind every single time I stood in front of the blackboard. I used to feel so overwhelmed. Of course, I wouldn’t talk to anyone about it. My strategy was: ‘I smile to hide how completely overwhelmed I am’.  </w:t>
      </w:r>
    </w:p>
    <w:p w14:paraId="14DEDD48" w14:textId="77777777" w:rsidR="00BE2C1D" w:rsidRPr="00BE2C1D" w:rsidRDefault="00BE2C1D" w:rsidP="00BE2C1D">
      <w:pPr>
        <w:ind w:left="720"/>
        <w:rPr>
          <w:i/>
          <w:iCs/>
        </w:rPr>
      </w:pPr>
      <w:r w:rsidRPr="00BE2C1D">
        <w:rPr>
          <w:i/>
          <w:iCs/>
        </w:rPr>
        <w:t xml:space="preserve">To be completely honest with you, there are still times that I experience similar feelings, for instance, when I have to demonstrate a task (this time from the role of a teacher) on the Interactive Whiteboard. But, after a few seconds, I remind myself that I am perfectly capable </w:t>
      </w:r>
      <w:r w:rsidRPr="00BE2C1D">
        <w:rPr>
          <w:i/>
          <w:iCs/>
        </w:rPr>
        <w:lastRenderedPageBreak/>
        <w:t>of doing that and, most importantly, I don’t need to prove anything to anyone. This is who I am.</w:t>
      </w:r>
    </w:p>
    <w:p w14:paraId="44DBD5D8" w14:textId="77777777" w:rsidR="00BE2C1D" w:rsidRPr="00BE2C1D" w:rsidRDefault="00BE2C1D" w:rsidP="00BE2C1D">
      <w:pPr>
        <w:ind w:left="720"/>
        <w:rPr>
          <w:i/>
          <w:iCs/>
        </w:rPr>
      </w:pPr>
      <w:r w:rsidRPr="00BE2C1D">
        <w:rPr>
          <w:i/>
          <w:iCs/>
        </w:rPr>
        <w:t>If I could time-travel, I would go back and remind my teenage self of this. But until technology progresses enough to be able to do so, what I can do is to share this story with only a few, special people, including you.</w:t>
      </w:r>
    </w:p>
    <w:p w14:paraId="40A78C45" w14:textId="77777777" w:rsidR="00BE2C1D" w:rsidRPr="00BE2C1D" w:rsidRDefault="00BE2C1D" w:rsidP="00BE2C1D">
      <w:pPr>
        <w:spacing w:line="360" w:lineRule="auto"/>
        <w:jc w:val="both"/>
      </w:pPr>
      <w:r w:rsidRPr="00BE2C1D">
        <w:t>I open this thesis with a personal story, a story known to a very few people, including now you, the reader! This story was shared with three teenage participants of this research in a private weblog</w:t>
      </w:r>
      <w:r w:rsidRPr="00BE2C1D">
        <w:rPr>
          <w:vertAlign w:val="superscript"/>
        </w:rPr>
        <w:footnoteReference w:id="3"/>
      </w:r>
      <w:r w:rsidRPr="00BE2C1D">
        <w:t xml:space="preserve"> set up by me, where we could share stories of our schooling experiences with each other. There were various reasons behind the decision to share it, such as</w:t>
      </w:r>
    </w:p>
    <w:p w14:paraId="76BD13DF" w14:textId="77777777" w:rsidR="00BE2C1D" w:rsidRPr="00BE2C1D" w:rsidRDefault="00BE2C1D" w:rsidP="00BE2C1D">
      <w:pPr>
        <w:numPr>
          <w:ilvl w:val="0"/>
          <w:numId w:val="7"/>
        </w:numPr>
        <w:spacing w:line="360" w:lineRule="auto"/>
        <w:contextualSpacing/>
        <w:jc w:val="both"/>
      </w:pPr>
      <w:r w:rsidRPr="00BE2C1D">
        <w:t>this story acting as an example in terms of giving them an idea of what their stories could look like or what they could be about</w:t>
      </w:r>
      <w:r w:rsidRPr="00BE2C1D">
        <w:rPr>
          <w:vertAlign w:val="superscript"/>
        </w:rPr>
        <w:footnoteReference w:id="4"/>
      </w:r>
      <w:r w:rsidRPr="00BE2C1D">
        <w:t>;</w:t>
      </w:r>
    </w:p>
    <w:p w14:paraId="4EB045ED" w14:textId="77777777" w:rsidR="00BE2C1D" w:rsidRPr="00BE2C1D" w:rsidRDefault="00BE2C1D" w:rsidP="00BE2C1D">
      <w:pPr>
        <w:numPr>
          <w:ilvl w:val="0"/>
          <w:numId w:val="7"/>
        </w:numPr>
        <w:spacing w:line="360" w:lineRule="auto"/>
        <w:contextualSpacing/>
        <w:jc w:val="both"/>
      </w:pPr>
      <w:r w:rsidRPr="00BE2C1D">
        <w:t>prompting them to share their own stories by realising that such sharing would be reciprocal, meaning that it would be bi-directional;</w:t>
      </w:r>
    </w:p>
    <w:p w14:paraId="5B776EEF" w14:textId="77777777" w:rsidR="00BE2C1D" w:rsidRPr="00BE2C1D" w:rsidRDefault="00BE2C1D" w:rsidP="00BE2C1D">
      <w:pPr>
        <w:numPr>
          <w:ilvl w:val="0"/>
          <w:numId w:val="7"/>
        </w:numPr>
        <w:spacing w:line="360" w:lineRule="auto"/>
        <w:contextualSpacing/>
        <w:jc w:val="both"/>
      </w:pPr>
      <w:r w:rsidRPr="00BE2C1D">
        <w:t xml:space="preserve">this story being one that they could potentially relate to and, therefore, feeling more comfortable with sharing stories around similar topics.  </w:t>
      </w:r>
    </w:p>
    <w:p w14:paraId="0FE7BEDD" w14:textId="77777777" w:rsidR="00BE2C1D" w:rsidRPr="00BE2C1D" w:rsidRDefault="00BE2C1D" w:rsidP="00BE2C1D">
      <w:pPr>
        <w:spacing w:line="360" w:lineRule="auto"/>
        <w:jc w:val="both"/>
      </w:pPr>
      <w:r w:rsidRPr="00BE2C1D">
        <w:t xml:space="preserve">Moreover, sharing this story was a choice influenced by my adherence to feminist politics, according to which the ‘personal is political’ (Hanish 1969: n. p.). How we experience our dis/abled, sexualised, gendered, classed, racialised bodies as well as how we experience the world through our bodies is fundamentally political (Ahmed 2006). As hooks (1994: 136-137) maintained about bodies in the school classroom,    </w:t>
      </w:r>
    </w:p>
    <w:p w14:paraId="4891D750" w14:textId="77777777" w:rsidR="00BE2C1D" w:rsidRPr="00BE2C1D" w:rsidRDefault="00BE2C1D" w:rsidP="00BE2C1D">
      <w:pPr>
        <w:spacing w:line="360" w:lineRule="auto"/>
        <w:ind w:left="720"/>
        <w:rPr>
          <w:sz w:val="20"/>
          <w:szCs w:val="20"/>
        </w:rPr>
      </w:pPr>
      <w:r w:rsidRPr="00BE2C1D">
        <w:rPr>
          <w:sz w:val="20"/>
          <w:szCs w:val="20"/>
        </w:rPr>
        <w:t>Once we start talking in the classroom about the body and about how we live in our bodies, we’re automatically challenging the way power has orchestrated itself in that particular institutionalized space.</w:t>
      </w:r>
    </w:p>
    <w:p w14:paraId="1DFDE64A" w14:textId="77777777" w:rsidR="00BE2C1D" w:rsidRPr="00BE2C1D" w:rsidRDefault="00BE2C1D" w:rsidP="00BE2C1D">
      <w:pPr>
        <w:spacing w:line="360" w:lineRule="auto"/>
        <w:jc w:val="both"/>
      </w:pPr>
      <w:r w:rsidRPr="00BE2C1D">
        <w:t xml:space="preserve">Furthermore, my alignment with feminist politics also directed me towards carrying out research with a social justice orientation. As Harrison et al. (2001: 325) suggested, </w:t>
      </w:r>
    </w:p>
    <w:p w14:paraId="307870A3" w14:textId="77777777" w:rsidR="00BE2C1D" w:rsidRPr="00BE2C1D" w:rsidRDefault="00BE2C1D" w:rsidP="00BE2C1D">
      <w:pPr>
        <w:spacing w:line="360" w:lineRule="auto"/>
        <w:ind w:left="360"/>
        <w:jc w:val="both"/>
        <w:rPr>
          <w:sz w:val="20"/>
          <w:szCs w:val="20"/>
        </w:rPr>
      </w:pPr>
      <w:r w:rsidRPr="00BE2C1D">
        <w:rPr>
          <w:sz w:val="20"/>
          <w:szCs w:val="20"/>
        </w:rPr>
        <w:t>As feminists, we are drawn to topic areas that are important to women as well as to other groups of people who have been marginalized. We want to participate in research that contributes to and pursues social justice. We are drawn to research approaches that do not dehumanize people - to research approaches that acknowledge the complexity of people’s lives, approaches that challenge preconceived notions of what is already known and is established scientific fact.</w:t>
      </w:r>
    </w:p>
    <w:p w14:paraId="1785E932" w14:textId="77777777" w:rsidR="00BE2C1D" w:rsidRPr="00BE2C1D" w:rsidRDefault="00BE2C1D" w:rsidP="00BE2C1D">
      <w:pPr>
        <w:spacing w:line="360" w:lineRule="auto"/>
        <w:jc w:val="both"/>
      </w:pPr>
      <w:r w:rsidRPr="00BE2C1D">
        <w:lastRenderedPageBreak/>
        <w:t xml:space="preserve">This thesis focuses on a marginalised group - young people with Restricted Growth (hereinafter referred as RG) - and their schooling experiences of secondary education in the United Kingdom. It utilises a qualitative methodological approach - a narrative inquiry/small stories research (Georgakopoulou 2015) - which involved twenty young people (between the ages of eleven and thirty years old) becoming storytellers through various means and reflecting on different aspects of their schooling experiences. Their (counter)stories question the scientific facts and master narratives through which such experiences had been discussed before as well as how they were depicted and constructed in such narratives.   </w:t>
      </w:r>
    </w:p>
    <w:p w14:paraId="074FDDB0" w14:textId="77777777" w:rsidR="00BE2C1D" w:rsidRPr="00BE2C1D" w:rsidRDefault="00BE2C1D" w:rsidP="00BE2C1D">
      <w:pPr>
        <w:spacing w:line="360" w:lineRule="auto"/>
        <w:jc w:val="both"/>
      </w:pPr>
      <w:r w:rsidRPr="00BE2C1D">
        <w:t xml:space="preserve">An elaboration and justification of the above research choices takes place in the next section. This occurs by setting the scene, that is, considering what research has already been done in relation to (young) people with RG and identifying certain gaps in knowledge, and by mapping the research through identifying the research aims and questions and the significance of the research. Moving on, I discuss the linguistic choices I make throughout this thesis, that is, the ways I refer to the participants of the research, paying attention to the connotations and the context within which various terms have been used. Finally, an outline of this thesis is provided with a brief summary of each chapter and a conclusionary section summarises what was discussed in this chapter.   </w:t>
      </w:r>
    </w:p>
    <w:p w14:paraId="1DF85719" w14:textId="77777777" w:rsidR="00BE2C1D" w:rsidRPr="00BE2C1D" w:rsidRDefault="00BE2C1D" w:rsidP="00BE2C1D">
      <w:pPr>
        <w:keepNext/>
        <w:keepLines/>
        <w:spacing w:before="40" w:after="0" w:line="360" w:lineRule="auto"/>
        <w:outlineLvl w:val="1"/>
        <w:rPr>
          <w:rFonts w:asciiTheme="majorHAnsi" w:eastAsiaTheme="majorEastAsia" w:hAnsiTheme="majorHAnsi" w:cstheme="majorBidi"/>
          <w:color w:val="2F5496" w:themeColor="accent1" w:themeShade="BF"/>
          <w:sz w:val="26"/>
          <w:szCs w:val="26"/>
        </w:rPr>
      </w:pPr>
      <w:bookmarkStart w:id="3" w:name="_Toc39585190"/>
      <w:r w:rsidRPr="00BE2C1D">
        <w:rPr>
          <w:rFonts w:asciiTheme="majorHAnsi" w:eastAsiaTheme="majorEastAsia" w:hAnsiTheme="majorHAnsi" w:cstheme="majorBidi"/>
          <w:color w:val="2F5496" w:themeColor="accent1" w:themeShade="BF"/>
          <w:sz w:val="26"/>
          <w:szCs w:val="26"/>
        </w:rPr>
        <w:t>Setting the Scene and Mapping the Research</w:t>
      </w:r>
      <w:bookmarkEnd w:id="3"/>
    </w:p>
    <w:p w14:paraId="5B32095C" w14:textId="77777777" w:rsidR="00BE2C1D" w:rsidRPr="00BE2C1D" w:rsidRDefault="00BE2C1D" w:rsidP="00BE2C1D">
      <w:pPr>
        <w:spacing w:line="360" w:lineRule="auto"/>
        <w:ind w:left="720"/>
        <w:jc w:val="both"/>
        <w:rPr>
          <w:sz w:val="20"/>
          <w:szCs w:val="20"/>
        </w:rPr>
      </w:pPr>
      <w:r w:rsidRPr="00BE2C1D">
        <w:rPr>
          <w:sz w:val="20"/>
          <w:szCs w:val="20"/>
        </w:rPr>
        <w:t>Perhaps because it has rarely been seen as a major problem, there is a dearth of research, particularly robust social research, about restricted growth (Shakespeare et al. 2010: 20).</w:t>
      </w:r>
    </w:p>
    <w:p w14:paraId="299DFFDD" w14:textId="77777777" w:rsidR="00BE2C1D" w:rsidRPr="00BE2C1D" w:rsidRDefault="00BE2C1D" w:rsidP="00BE2C1D">
      <w:pPr>
        <w:spacing w:line="360" w:lineRule="auto"/>
        <w:jc w:val="both"/>
      </w:pPr>
      <w:r w:rsidRPr="00BE2C1D">
        <w:t xml:space="preserve">Shakespeare and his colleagues identified a shortage of social research on RG. They described this ‘academic neglect’ as paradoxical, considering the ‘cultural fascination with dwarfs’, as shown in ‘the very wide coverage of restricted growth within popular culture and the media’ (ibid: 20). Moreover, they proposed that research about RG was clinically orientated, meaning that the focus was on the medical complexities of RG and potential treatments to it (for a comprehensive review of such medical research see Adelson 2005c and Thompson et al. 2008). Furthermore, they argued that ‘Children have been a more popular focus than adults, but for both attention has often focused on psychosocial issues such as the relative disadvantage of short stature per se’ (ibid: 20). Medical and psychological research looked into the psychosocial adversities that came with living with RG since childhood, positioning the ‘problem’ of RG on children’s bodies and their ‘abnormal’ development (Medeiros 2016).  </w:t>
      </w:r>
    </w:p>
    <w:p w14:paraId="2D6D9B47" w14:textId="77777777" w:rsidR="00BE2C1D" w:rsidRPr="00BE2C1D" w:rsidRDefault="00BE2C1D" w:rsidP="00BE2C1D">
      <w:pPr>
        <w:spacing w:line="360" w:lineRule="auto"/>
        <w:jc w:val="both"/>
        <w:rPr>
          <w:color w:val="FF0000"/>
          <w:sz w:val="20"/>
          <w:szCs w:val="20"/>
        </w:rPr>
      </w:pPr>
      <w:r w:rsidRPr="00BE2C1D">
        <w:t xml:space="preserve">On the other hand, less studies examined the social and spatial experiences of adults with RG, (re)positioning the problem of RG on the disabling structures (e.g. inaccessible spaces) and attitudes (staring, teasing, abuse) they encountered in their everyday life (Ablon 1990; Ellis 2018; Kruse 2002, 2003;  Pritchard 2016, 2020; Shakespeare et al. 2007, 2010). These studies engaged with Disability </w:t>
      </w:r>
      <w:r w:rsidRPr="00BE2C1D">
        <w:lastRenderedPageBreak/>
        <w:t>Studies, which understood disability and RG as a social and cultural construction and not an individual tragedy lying on the body (Oliver 1990). However, children and young people were not involved in such research, leaving the ‘scientific facts’ of medical and psychological research still interpellating them into fixed positions as ‘abnormal’ and ‘lacking’. Because of the limited research examining the schooling experiences of young people with RG</w:t>
      </w:r>
      <w:r w:rsidRPr="00BE2C1D">
        <w:rPr>
          <w:vertAlign w:val="superscript"/>
        </w:rPr>
        <w:footnoteReference w:id="5"/>
      </w:r>
      <w:r w:rsidRPr="00BE2C1D">
        <w:t xml:space="preserve"> (Shakespeare et al. 2007), especially as articulated by them, this research intends to explore the insights of young people with RG into their schooling experiences of their secondary education in the United Kingdom by getting them to become the storytellers of their own experiences. </w:t>
      </w:r>
    </w:p>
    <w:p w14:paraId="60EAAC09" w14:textId="77777777" w:rsidR="00BE2C1D" w:rsidRPr="00BE2C1D" w:rsidRDefault="00BE2C1D" w:rsidP="00BE2C1D">
      <w:pPr>
        <w:spacing w:line="360" w:lineRule="auto"/>
        <w:jc w:val="both"/>
        <w:rPr>
          <w:rFonts w:ascii="Calibri" w:eastAsia="Calibri" w:hAnsi="Calibri" w:cs="Calibri"/>
          <w:color w:val="000000"/>
        </w:rPr>
      </w:pPr>
      <w:r w:rsidRPr="00BE2C1D">
        <w:t>The reason for choosing this level of education - secondary schooling- had to do with findings of previous studies (Rott 2013; Schanke and Thorsen 2014; Shakespeare et al. 2007), which drew on the retrospective narratives of adults with RG and proposed that it was during that time where young people with RG became more conscious of their height. They became more concerned about their height due to their height difference with their peers becoming more visible (what is usually referred as the growth spur of puberty) as well as due to others’ reactions to their height, including peers and teachers. Schanke and Thorsen (2014: 1468) proposed that the puberty of people with RG was experienced ‘</w:t>
      </w:r>
      <w:r w:rsidRPr="00BE2C1D">
        <w:rPr>
          <w:rFonts w:ascii="Calibri" w:eastAsia="Calibri" w:hAnsi="Calibri" w:cs="Calibri"/>
        </w:rPr>
        <w:t xml:space="preserve">as a transition from being seen as a person to becoming a representative of a category with a different body’ and concluded that ‘the </w:t>
      </w:r>
      <w:r w:rsidRPr="00BE2C1D">
        <w:rPr>
          <w:rFonts w:ascii="Calibri" w:eastAsia="Calibri" w:hAnsi="Calibri" w:cs="Calibri"/>
          <w:color w:val="000000"/>
        </w:rPr>
        <w:t xml:space="preserve">narratives of negative experiences related to being short-statured represent the main pattern in the recollections of youth’ (ibid). This research intends to look into whether young people with RG in the UK also reflect on their schooling experiences in such negative terms, and if so, what the social roots of such negative experiences are. </w:t>
      </w:r>
      <w:r w:rsidRPr="00BE2C1D">
        <w:t xml:space="preserve">Reading the literature around RG and identifying the gaps in knowledge as well as looking at findings of previous studies which were worth examining in further depth e.g.  the mixed feelings of participants towards various forms of support such as physical aids during schooling (Shakespeare et al. 2007), the following research questions were formulated: </w:t>
      </w:r>
    </w:p>
    <w:p w14:paraId="25D6CCC8" w14:textId="77777777" w:rsidR="00BE2C1D" w:rsidRPr="00BE2C1D" w:rsidRDefault="00BE2C1D" w:rsidP="00BE2C1D">
      <w:pPr>
        <w:spacing w:line="360" w:lineRule="auto"/>
        <w:jc w:val="both"/>
      </w:pPr>
      <w:r w:rsidRPr="00BE2C1D">
        <w:t xml:space="preserve">Main research question: </w:t>
      </w:r>
    </w:p>
    <w:p w14:paraId="3C7AE3A2" w14:textId="77777777" w:rsidR="00BE2C1D" w:rsidRPr="00BE2C1D" w:rsidRDefault="00BE2C1D" w:rsidP="00BE2C1D">
      <w:pPr>
        <w:numPr>
          <w:ilvl w:val="0"/>
          <w:numId w:val="11"/>
        </w:numPr>
        <w:spacing w:line="360" w:lineRule="auto"/>
        <w:contextualSpacing/>
        <w:jc w:val="both"/>
      </w:pPr>
      <w:r w:rsidRPr="00BE2C1D">
        <w:t>How do young people (between the ages of eleven and thirty years old) with RG reflect on their secondary school experiences in the United Kingdom?</w:t>
      </w:r>
    </w:p>
    <w:p w14:paraId="517B828F" w14:textId="77777777" w:rsidR="00BE2C1D" w:rsidRPr="00BE2C1D" w:rsidRDefault="00BE2C1D" w:rsidP="00BE2C1D">
      <w:pPr>
        <w:spacing w:line="360" w:lineRule="auto"/>
        <w:jc w:val="both"/>
      </w:pPr>
      <w:r w:rsidRPr="00BE2C1D">
        <w:t xml:space="preserve">This is the main research question, which is intentionally an open one, leaving space for participants to consider the whole spectrum of experiences (positive, negative, common, rare) rather than assuming that participants will speak about them exclusively in negative terms. This question is broken </w:t>
      </w:r>
      <w:r w:rsidRPr="00BE2C1D">
        <w:lastRenderedPageBreak/>
        <w:t xml:space="preserve">down into four research questions, which focus on particular aspects of such experiences. These are the following: </w:t>
      </w:r>
    </w:p>
    <w:p w14:paraId="0A4C9772" w14:textId="77777777" w:rsidR="00BE2C1D" w:rsidRPr="00BE2C1D" w:rsidRDefault="00BE2C1D" w:rsidP="00BE2C1D">
      <w:pPr>
        <w:numPr>
          <w:ilvl w:val="0"/>
          <w:numId w:val="11"/>
        </w:numPr>
        <w:spacing w:line="360" w:lineRule="auto"/>
        <w:contextualSpacing/>
        <w:jc w:val="both"/>
      </w:pPr>
      <w:r w:rsidRPr="00BE2C1D">
        <w:t>How do young people with RG experience and navigate different school spaces of their secondary schools?</w:t>
      </w:r>
    </w:p>
    <w:p w14:paraId="375AAEAE" w14:textId="77777777" w:rsidR="00BE2C1D" w:rsidRPr="00BE2C1D" w:rsidRDefault="00BE2C1D" w:rsidP="00BE2C1D">
      <w:pPr>
        <w:spacing w:line="360" w:lineRule="auto"/>
        <w:jc w:val="both"/>
      </w:pPr>
      <w:r w:rsidRPr="00BE2C1D">
        <w:t xml:space="preserve">This question aims to examine how young people move around the various school spaces and what their experiences of such spaces are. Specifically, this research question looks at which spaces participants feel included and a sense of belonging and where they feel excluded from. Moreover, it also considers what accommodations are made by schools e.g. provision of physical aids to facilitate the inclusion of the young people and what the experiences of such accommodations are. This is an important question to look into, considering that secondary schools present major differences compared to primary schools in relation to how their space is laid out, such as school buildings being much bigger in size and with all students being expected to move from one place to another in fixed time periods e.g. from one class to class another. Moreover, school furniture is designed with a certain body type in mind -that of a normatively developing body (Burman 2017; Hamraie 2017), making physical aids essential for young people who do not fit into this norm, including those with RG. </w:t>
      </w:r>
    </w:p>
    <w:p w14:paraId="2CEC20E1" w14:textId="77777777" w:rsidR="00BE2C1D" w:rsidRPr="00BE2C1D" w:rsidRDefault="00BE2C1D" w:rsidP="00BE2C1D">
      <w:pPr>
        <w:numPr>
          <w:ilvl w:val="0"/>
          <w:numId w:val="11"/>
        </w:numPr>
        <w:spacing w:line="360" w:lineRule="auto"/>
        <w:contextualSpacing/>
        <w:jc w:val="both"/>
      </w:pPr>
      <w:r w:rsidRPr="00BE2C1D">
        <w:t xml:space="preserve">What are the experiences of young people with RG with their teaching assistants?  </w:t>
      </w:r>
    </w:p>
    <w:p w14:paraId="79B61F24" w14:textId="77777777" w:rsidR="00BE2C1D" w:rsidRPr="00BE2C1D" w:rsidRDefault="00BE2C1D" w:rsidP="00BE2C1D">
      <w:pPr>
        <w:spacing w:line="360" w:lineRule="auto"/>
        <w:jc w:val="both"/>
      </w:pPr>
      <w:r w:rsidRPr="00BE2C1D">
        <w:t xml:space="preserve">This question intends to explore the interactions between the young people and their teaching assistants, considering that the latter are central figures of their schooling experiences, as they facilitate the inclusion of disabled young people into mainstream schools (Webster et al. 2010). This question focuses in particular on the experiences and feelings of the young people towards the various forms of support their teaching assistants provide them with, examining which forms of support the young people themselves identify as necessary and they are comfortable with and which ones they are not fond of due to either not finding it essential or because of its repercussions. Moreover, this question aims to look at the wider implications the presence of a teaching assistant can have for the young people, including the stigma attached to having a support person (Fraser and Meadows 2008).   </w:t>
      </w:r>
    </w:p>
    <w:p w14:paraId="5AD5AC40" w14:textId="77777777" w:rsidR="00BE2C1D" w:rsidRPr="00BE2C1D" w:rsidRDefault="00BE2C1D" w:rsidP="00BE2C1D">
      <w:pPr>
        <w:numPr>
          <w:ilvl w:val="0"/>
          <w:numId w:val="11"/>
        </w:numPr>
        <w:spacing w:line="360" w:lineRule="auto"/>
        <w:contextualSpacing/>
        <w:jc w:val="both"/>
      </w:pPr>
      <w:r w:rsidRPr="00BE2C1D">
        <w:t>What are the experiences of young people with RG with their class teachers?</w:t>
      </w:r>
    </w:p>
    <w:p w14:paraId="523DFCF9" w14:textId="77777777" w:rsidR="00BE2C1D" w:rsidRPr="00BE2C1D" w:rsidRDefault="00BE2C1D" w:rsidP="00BE2C1D">
      <w:pPr>
        <w:spacing w:line="360" w:lineRule="auto"/>
        <w:jc w:val="both"/>
      </w:pPr>
      <w:r w:rsidRPr="00BE2C1D">
        <w:t xml:space="preserve">This question is meant to investigate the interactions of the young people with their class teachers. As noted earlier, Shakespeare et al.’s (2007) research suggested that people with RG had become more concerned about their height because of the reactions of others to it, including their teachers. Thus, this question explores how the young people are treated by their teachers and how they experience their bodies in such interactions. Do their height and disability matter to their teachers, and if so, in what ways? </w:t>
      </w:r>
    </w:p>
    <w:p w14:paraId="2F1EC19D" w14:textId="77777777" w:rsidR="00BE2C1D" w:rsidRPr="00BE2C1D" w:rsidRDefault="00BE2C1D" w:rsidP="00BE2C1D">
      <w:pPr>
        <w:numPr>
          <w:ilvl w:val="0"/>
          <w:numId w:val="11"/>
        </w:numPr>
        <w:spacing w:line="360" w:lineRule="auto"/>
        <w:contextualSpacing/>
        <w:jc w:val="both"/>
      </w:pPr>
      <w:r w:rsidRPr="00BE2C1D">
        <w:t xml:space="preserve">What are the experiences of young people with their peers? </w:t>
      </w:r>
    </w:p>
    <w:p w14:paraId="49F65FC1" w14:textId="77777777" w:rsidR="00BE2C1D" w:rsidRPr="00BE2C1D" w:rsidRDefault="00BE2C1D" w:rsidP="00BE2C1D">
      <w:pPr>
        <w:spacing w:line="360" w:lineRule="auto"/>
        <w:jc w:val="both"/>
      </w:pPr>
      <w:r w:rsidRPr="00BE2C1D">
        <w:lastRenderedPageBreak/>
        <w:t xml:space="preserve">This question aims to explore the interactions of the young people with their peers. Disabled young people are often depicted as victims of peer bullying (Jones et al. 2012) and also isolated, without many friends (Espelage et al. 2015). Moreover, previous studies of people with RG discussed the various, hostile attitudes people with RG encounter in public spaces (Ellis 2018; Pritchard 2016; Shakespeare et al. 2010). This question, therefore, intends to look at whether the young people experience any form of violence at school on the one hand, and, on the other hand, the role friendship plays in their schooling experiences.  </w:t>
      </w:r>
    </w:p>
    <w:p w14:paraId="0BC4400A" w14:textId="77777777" w:rsidR="00BE2C1D" w:rsidRPr="00BE2C1D" w:rsidRDefault="00BE2C1D" w:rsidP="00BE2C1D">
      <w:pPr>
        <w:spacing w:line="360" w:lineRule="auto"/>
        <w:jc w:val="both"/>
      </w:pPr>
      <w:r w:rsidRPr="00BE2C1D">
        <w:t xml:space="preserve">Besides the research questions this thesis looks into, it also has certain aims, which I divide into three types: knowledge production/development aims, methodological aims and impact aims. Knowledge production/development aims refer to the gaps in knowledge this thesis intends to fill. These aims are: </w:t>
      </w:r>
    </w:p>
    <w:p w14:paraId="02D979B5" w14:textId="77777777" w:rsidR="00BE2C1D" w:rsidRPr="00BE2C1D" w:rsidRDefault="00BE2C1D" w:rsidP="00BE2C1D">
      <w:pPr>
        <w:numPr>
          <w:ilvl w:val="0"/>
          <w:numId w:val="8"/>
        </w:numPr>
        <w:spacing w:line="360" w:lineRule="auto"/>
        <w:contextualSpacing/>
        <w:jc w:val="both"/>
      </w:pPr>
      <w:r w:rsidRPr="00BE2C1D">
        <w:t>to examine young people’s insights into the secondary school experiences, as articulated by them, and consider what we can learn from them regarding schools in their current form (how do disabled young people experience secondary schooling?)</w:t>
      </w:r>
    </w:p>
    <w:p w14:paraId="6C1EBF76" w14:textId="77777777" w:rsidR="00BE2C1D" w:rsidRPr="00BE2C1D" w:rsidRDefault="00BE2C1D" w:rsidP="00BE2C1D">
      <w:pPr>
        <w:numPr>
          <w:ilvl w:val="0"/>
          <w:numId w:val="8"/>
        </w:numPr>
        <w:spacing w:line="360" w:lineRule="auto"/>
        <w:contextualSpacing/>
        <w:jc w:val="both"/>
      </w:pPr>
      <w:r w:rsidRPr="00BE2C1D">
        <w:t xml:space="preserve">to explore the discourses young people with RG draw on to make sense of their experiences and whether these are in agreement or opposition with the ‘scientific facts’ through which such experiences have been understood (e.g. do their stories position the problem in their bodies or at the structures?) </w:t>
      </w:r>
    </w:p>
    <w:p w14:paraId="72A4003C" w14:textId="77777777" w:rsidR="00BE2C1D" w:rsidRPr="00BE2C1D" w:rsidRDefault="00BE2C1D" w:rsidP="00BE2C1D">
      <w:pPr>
        <w:spacing w:line="360" w:lineRule="auto"/>
        <w:jc w:val="both"/>
      </w:pPr>
      <w:r w:rsidRPr="00BE2C1D">
        <w:t xml:space="preserve">Methodological aims have to do with the contributions this thesis make in relation to methodologies in Critical Disability Research (Goodley 2013; Shildrick 2013) and in Disabled Children’s Childhood Studies (Curran and Runswick-Cole 2014; Runswick-Cole et al. 2018). Such aims include: </w:t>
      </w:r>
    </w:p>
    <w:p w14:paraId="18AA03FF" w14:textId="77777777" w:rsidR="00BE2C1D" w:rsidRPr="00BE2C1D" w:rsidRDefault="00BE2C1D" w:rsidP="00BE2C1D">
      <w:pPr>
        <w:numPr>
          <w:ilvl w:val="0"/>
          <w:numId w:val="9"/>
        </w:numPr>
        <w:spacing w:line="360" w:lineRule="auto"/>
        <w:contextualSpacing/>
        <w:jc w:val="both"/>
      </w:pPr>
      <w:r w:rsidRPr="00BE2C1D">
        <w:t xml:space="preserve">engaging with a methodology which ensure the meaningful, respectful and ethical involvement of potential participants </w:t>
      </w:r>
    </w:p>
    <w:p w14:paraId="4D680D66" w14:textId="77777777" w:rsidR="00BE2C1D" w:rsidRPr="00BE2C1D" w:rsidRDefault="00BE2C1D" w:rsidP="00BE2C1D">
      <w:pPr>
        <w:numPr>
          <w:ilvl w:val="0"/>
          <w:numId w:val="9"/>
        </w:numPr>
        <w:spacing w:line="360" w:lineRule="auto"/>
        <w:contextualSpacing/>
      </w:pPr>
      <w:r w:rsidRPr="00BE2C1D">
        <w:t xml:space="preserve">proposing ways to work in partnership both with young people with RG and charities/associations for people with RG </w:t>
      </w:r>
    </w:p>
    <w:p w14:paraId="2BD6F200" w14:textId="77777777" w:rsidR="00BE2C1D" w:rsidRPr="00BE2C1D" w:rsidRDefault="00BE2C1D" w:rsidP="00BE2C1D">
      <w:pPr>
        <w:numPr>
          <w:ilvl w:val="0"/>
          <w:numId w:val="9"/>
        </w:numPr>
        <w:spacing w:line="360" w:lineRule="auto"/>
        <w:contextualSpacing/>
      </w:pPr>
      <w:r w:rsidRPr="00BE2C1D">
        <w:t>addressing the complexities in doing Critical Disability Research, including difficult discussions around positionality (doing critical disability research as a non-disabled researcher) and its effects on different stages of research, such as recruitment and analysis of data.</w:t>
      </w:r>
    </w:p>
    <w:p w14:paraId="700EABB6" w14:textId="77777777" w:rsidR="00BE2C1D" w:rsidRPr="00BE2C1D" w:rsidRDefault="00BE2C1D" w:rsidP="00BE2C1D">
      <w:pPr>
        <w:spacing w:line="360" w:lineRule="auto"/>
        <w:jc w:val="both"/>
      </w:pPr>
      <w:r w:rsidRPr="00BE2C1D">
        <w:t xml:space="preserve">Impact aims consider the effects I plan and aspire this research to have. These aims are: </w:t>
      </w:r>
    </w:p>
    <w:p w14:paraId="7DDE4A6B" w14:textId="77777777" w:rsidR="00BE2C1D" w:rsidRPr="00BE2C1D" w:rsidRDefault="00BE2C1D" w:rsidP="00BE2C1D">
      <w:pPr>
        <w:numPr>
          <w:ilvl w:val="0"/>
          <w:numId w:val="10"/>
        </w:numPr>
        <w:spacing w:line="360" w:lineRule="auto"/>
        <w:contextualSpacing/>
        <w:jc w:val="both"/>
      </w:pPr>
      <w:r w:rsidRPr="00BE2C1D">
        <w:t xml:space="preserve">to disseminate the findings of the research in accessible formats (e.g. easy-to-read) to the associations and charities of people with RG in the UK as well as other international associations. Such dissemination will take place immediately after the completion of this PhD.  </w:t>
      </w:r>
    </w:p>
    <w:p w14:paraId="53D9DAE3" w14:textId="77777777" w:rsidR="00BE2C1D" w:rsidRPr="00BE2C1D" w:rsidRDefault="00BE2C1D" w:rsidP="00BE2C1D">
      <w:pPr>
        <w:numPr>
          <w:ilvl w:val="0"/>
          <w:numId w:val="10"/>
        </w:numPr>
        <w:spacing w:line="360" w:lineRule="auto"/>
        <w:contextualSpacing/>
        <w:jc w:val="both"/>
      </w:pPr>
      <w:r w:rsidRPr="00BE2C1D">
        <w:lastRenderedPageBreak/>
        <w:t xml:space="preserve">to ensure that these stories are listened to by different audiences, including but not limited to the academic community (through publications and presentations in conferences) and educational practitioners, such as class teachers and teaching assistants (through targeted talks/lectures to trainee teachers and teaching assistants, for instance). This aim will take a longer time to be fulfilled and it will be an ongoing task following the completion of the PhD.    </w:t>
      </w:r>
    </w:p>
    <w:p w14:paraId="67AF2595" w14:textId="034257F2" w:rsidR="00BE2C1D" w:rsidRPr="00BE2C1D" w:rsidRDefault="00BE2C1D" w:rsidP="00BE2C1D">
      <w:pPr>
        <w:spacing w:line="360" w:lineRule="auto"/>
        <w:jc w:val="both"/>
      </w:pPr>
      <w:r w:rsidRPr="00BE2C1D">
        <w:t>The significance of this research has to do then with getting a marginalised group - disabled young people – to tell their stories, in their own terms. Moreover, what makes this research significant is the disruptive potential of these stories, both in terms of how we think of schools and of disabled young people. Regarding the former, Goodley and Runswick</w:t>
      </w:r>
      <w:r w:rsidR="00854555">
        <w:t>-Cole</w:t>
      </w:r>
      <w:r w:rsidRPr="00BE2C1D">
        <w:t xml:space="preserve"> (2015: 246) argue that ‘</w:t>
      </w:r>
      <w:r w:rsidRPr="00BE2C1D">
        <w:rPr>
          <w:rFonts w:ascii="Calibri" w:hAnsi="Calibri" w:cs="Calibri"/>
        </w:rPr>
        <w:t xml:space="preserve">Disabled children often demand places such as schools to rethink their priorities, their usual modes of operation and their cultural foundations’. As far as the latter is concerned, Runswick-Cole and Curran (2013: 197) maintain that  </w:t>
      </w:r>
    </w:p>
    <w:p w14:paraId="4541AD47" w14:textId="77777777" w:rsidR="00BE2C1D" w:rsidRPr="00BE2C1D" w:rsidRDefault="00BE2C1D" w:rsidP="00BE2C1D">
      <w:pPr>
        <w:spacing w:line="360" w:lineRule="auto"/>
        <w:ind w:left="720"/>
        <w:jc w:val="both"/>
        <w:rPr>
          <w:sz w:val="20"/>
          <w:szCs w:val="20"/>
        </w:rPr>
      </w:pPr>
      <w:r w:rsidRPr="00BE2C1D">
        <w:rPr>
          <w:sz w:val="20"/>
          <w:szCs w:val="20"/>
        </w:rPr>
        <w:t xml:space="preserve">Stories are never about the lives of the individuals, and rather they reveal personal narratives that speak of and to society and culture. It is also through these stories that disabled children can resist and challenge the discourses that circulate about them.  </w:t>
      </w:r>
    </w:p>
    <w:p w14:paraId="03A16911" w14:textId="77777777" w:rsidR="00BE2C1D" w:rsidRPr="00BE2C1D" w:rsidRDefault="00BE2C1D" w:rsidP="00BE2C1D">
      <w:pPr>
        <w:keepNext/>
        <w:keepLines/>
        <w:spacing w:before="40" w:after="0" w:line="360" w:lineRule="auto"/>
        <w:outlineLvl w:val="1"/>
        <w:rPr>
          <w:rFonts w:asciiTheme="majorHAnsi" w:eastAsiaTheme="majorEastAsia" w:hAnsiTheme="majorHAnsi" w:cstheme="majorBidi"/>
          <w:color w:val="2F5496" w:themeColor="accent1" w:themeShade="BF"/>
          <w:sz w:val="26"/>
          <w:szCs w:val="26"/>
        </w:rPr>
      </w:pPr>
      <w:bookmarkStart w:id="4" w:name="_Toc39585191"/>
      <w:r w:rsidRPr="00BE2C1D">
        <w:rPr>
          <w:rFonts w:asciiTheme="majorHAnsi" w:eastAsiaTheme="majorEastAsia" w:hAnsiTheme="majorHAnsi" w:cstheme="majorBidi"/>
          <w:color w:val="2F5496" w:themeColor="accent1" w:themeShade="BF"/>
          <w:sz w:val="26"/>
          <w:szCs w:val="26"/>
        </w:rPr>
        <w:t>Linguistic Choices: Navigating the Political Terrain of Terminology</w:t>
      </w:r>
      <w:bookmarkEnd w:id="4"/>
      <w:r w:rsidRPr="00BE2C1D">
        <w:rPr>
          <w:rFonts w:asciiTheme="majorHAnsi" w:eastAsiaTheme="majorEastAsia" w:hAnsiTheme="majorHAnsi" w:cstheme="majorBidi"/>
          <w:color w:val="2F5496" w:themeColor="accent1" w:themeShade="BF"/>
          <w:sz w:val="26"/>
          <w:szCs w:val="26"/>
        </w:rPr>
        <w:t xml:space="preserve"> </w:t>
      </w:r>
    </w:p>
    <w:p w14:paraId="624876B5" w14:textId="77777777" w:rsidR="00BE2C1D" w:rsidRPr="00BE2C1D" w:rsidRDefault="00BE2C1D" w:rsidP="00BE2C1D">
      <w:pPr>
        <w:spacing w:line="360" w:lineRule="auto"/>
        <w:jc w:val="both"/>
      </w:pPr>
      <w:r w:rsidRPr="00BE2C1D">
        <w:t xml:space="preserve">As Paulo Freire (1985: 18) proposed, ‘language is never neutral.’ Our linguistic choices, including how we name/refer to/label those we (as researchers and authors) speak of/about/with, are a political choice. With this in mind, I take a pause here to consider the different terms that have been used to describe those people with a height of four foot eight inches and below (Adelson 2005a) and then justify the linguistic choices I make in this thesis in relation to how I refer to the participants of this research.  </w:t>
      </w:r>
    </w:p>
    <w:p w14:paraId="10FEED2D" w14:textId="77777777" w:rsidR="00BE2C1D" w:rsidRPr="00BE2C1D" w:rsidRDefault="00BE2C1D" w:rsidP="00BE2C1D">
      <w:pPr>
        <w:spacing w:line="360" w:lineRule="auto"/>
        <w:jc w:val="both"/>
      </w:pPr>
      <w:r w:rsidRPr="00BE2C1D">
        <w:t xml:space="preserve">A range of terms has been used to refer to people of a certain height (4 foot and 8 inches or below) triggered by a medical condition (Adelson 2005a), such as </w:t>
      </w:r>
      <w:r w:rsidRPr="00BE2C1D">
        <w:rPr>
          <w:i/>
          <w:iCs/>
        </w:rPr>
        <w:t>dwarf, restricted growth, little people, short-statured, midget</w:t>
      </w:r>
      <w:r w:rsidRPr="00BE2C1D">
        <w:t xml:space="preserve">, with each term carrying its own history and connotation. These terms have also been adopted by charities and non-profit organisations across the United Kingdom e.g. Restricted Growth Association UK (RGA UK), Dwarf Sports Association UK (DSA UK), Little People UK (LPUK), Little People of Ireland (LLI), Short-Statured Scotland (SSS) as well as across the globe e.g. Little People of America (LPA), Little People of Canada (LPC), Short-Statured People of Australia (SSPA). Moreover, a range of scholars who carried out research on and/or with this group of people have also used different terms to refer to them, such as people with dwarfism (Ellis 2018) and people with Restricted </w:t>
      </w:r>
      <w:r w:rsidRPr="00BE2C1D">
        <w:lastRenderedPageBreak/>
        <w:t>Growth</w:t>
      </w:r>
      <w:r w:rsidRPr="00BE2C1D">
        <w:rPr>
          <w:vertAlign w:val="superscript"/>
        </w:rPr>
        <w:footnoteReference w:id="6"/>
      </w:r>
      <w:r w:rsidRPr="00BE2C1D">
        <w:t xml:space="preserve"> (Shakespeare et al. 2010) or people of restricted growth (Schanke and Thorsen 2014), dwarfs/dwarves (Ablon 1984; Adelson 2005a, 2005b; Pritchard 2016), little people (Kruse 2002, 2003)</w:t>
      </w:r>
      <w:r w:rsidRPr="00BE2C1D">
        <w:rPr>
          <w:vertAlign w:val="superscript"/>
        </w:rPr>
        <w:footnoteReference w:id="7"/>
      </w:r>
      <w:r w:rsidRPr="00BE2C1D">
        <w:t>. However, only few of them explained why they chose to use one term over another (see for instance Pritchard 2016).</w:t>
      </w:r>
    </w:p>
    <w:p w14:paraId="1EDD8EA6" w14:textId="77777777" w:rsidR="00BE2C1D" w:rsidRPr="00BE2C1D" w:rsidRDefault="00BE2C1D" w:rsidP="00BE2C1D">
      <w:pPr>
        <w:spacing w:line="360" w:lineRule="auto"/>
        <w:jc w:val="both"/>
      </w:pPr>
      <w:r w:rsidRPr="00BE2C1D">
        <w:t>Each of these terms carries its own meaning and connotations, to which attention should be paid. The term ‘dwarf’, for instance, referred to a mythical creature that worked in the mines, indicating the mystical social construction of dwarfism as an identity (Kruse 2003). This perception of dwarf bodies generated mixed attitudes towards dwarf people, who were either highly valued because of being considered to be close to God, or they were objectified and discriminated against as evil creatures and ill-omens (Adelson 2005a, 2005b). Adelson (2005b) also referred to how dwarf people were employed as ‘court dwarfs’, meaning that they were owned by people of the court, were given as a gift from one to another and acted as entertaining figures e.g. jesters. However, the decline of the courts in the 18</w:t>
      </w:r>
      <w:r w:rsidRPr="00BE2C1D">
        <w:rPr>
          <w:vertAlign w:val="superscript"/>
        </w:rPr>
        <w:t>th</w:t>
      </w:r>
      <w:r w:rsidRPr="00BE2C1D">
        <w:t xml:space="preserve"> century and the exclusion of disabled people from the market due to the Industrial Revolution, dwarf people started being exhibited more often at fairs and freak shows (Adelson, 2005a, Bogdan, 1990). It was during the era of freak shows (Garland-Thompson, 1996) when the term ‘midget’ was used to describe dwarf people and in particular those with a ‘proportionate’ body.</w:t>
      </w:r>
      <w:r w:rsidRPr="00BE2C1D">
        <w:rPr>
          <w:vertAlign w:val="superscript"/>
        </w:rPr>
        <w:footnoteReference w:id="8"/>
      </w:r>
      <w:r w:rsidRPr="00BE2C1D">
        <w:t xml:space="preserve"> Nevertheless, this term has a derogative connotation and has been condemned by all the associations of dwarf people. </w:t>
      </w:r>
    </w:p>
    <w:p w14:paraId="34B62BBB" w14:textId="77777777" w:rsidR="00BE2C1D" w:rsidRPr="00BE2C1D" w:rsidRDefault="00BE2C1D" w:rsidP="00BE2C1D">
      <w:pPr>
        <w:spacing w:line="360" w:lineRule="auto"/>
        <w:jc w:val="both"/>
      </w:pPr>
      <w:r w:rsidRPr="00BE2C1D">
        <w:t xml:space="preserve">Following the Enlightenment which brought about the disenchantment of the world, including the  disenchantment of the social mystical construction of dwarfism, and the development of medicine, dwarfism became known an ‘abnormality’ (Kruse 2003; Garland-Thomson 1996), which was captured by the term Restricted Growth. This term indicated the medicalisation of dwarfism by rendering it a medical condition which should be treated. As Kruse (2003: 497) proposed: </w:t>
      </w:r>
    </w:p>
    <w:p w14:paraId="4BB86BF7" w14:textId="77777777" w:rsidR="00BE2C1D" w:rsidRPr="00BE2C1D" w:rsidRDefault="00BE2C1D" w:rsidP="00BE2C1D">
      <w:pPr>
        <w:spacing w:line="360" w:lineRule="auto"/>
        <w:ind w:left="720"/>
        <w:jc w:val="both"/>
        <w:rPr>
          <w:sz w:val="20"/>
          <w:szCs w:val="20"/>
        </w:rPr>
      </w:pPr>
      <w:r w:rsidRPr="00BE2C1D">
        <w:rPr>
          <w:sz w:val="20"/>
          <w:szCs w:val="20"/>
        </w:rPr>
        <w:t xml:space="preserve">The discourse of the medical establishment is extremely influential in shaping attitudes towards dwarfism because it uncritically focuses upon biological difference as deformity and disablement. These definitions are part of the discourse of the medical establishment which explains dwarfism and other disabilities as medical conditions to be ‘treated’. </w:t>
      </w:r>
    </w:p>
    <w:p w14:paraId="7D12C40F" w14:textId="77777777" w:rsidR="00BE2C1D" w:rsidRPr="00BE2C1D" w:rsidRDefault="00BE2C1D" w:rsidP="00BE2C1D">
      <w:pPr>
        <w:spacing w:line="360" w:lineRule="auto"/>
        <w:jc w:val="both"/>
      </w:pPr>
      <w:r w:rsidRPr="00BE2C1D">
        <w:t xml:space="preserve">Little People is the preferred term in the United Stated of America and was introduced by the association Little People of America. However, the term has been critiqued for being used to also </w:t>
      </w:r>
      <w:r w:rsidRPr="00BE2C1D">
        <w:lastRenderedPageBreak/>
        <w:t xml:space="preserve">describe children and, therefore, perpetuating the infantilisation of people with Restricted Growth (Pritchard 2016). </w:t>
      </w:r>
    </w:p>
    <w:p w14:paraId="53F871C7" w14:textId="77777777" w:rsidR="00BE2C1D" w:rsidRPr="00BE2C1D" w:rsidRDefault="00BE2C1D" w:rsidP="00BE2C1D">
      <w:pPr>
        <w:spacing w:line="360" w:lineRule="auto"/>
        <w:jc w:val="both"/>
      </w:pPr>
      <w:r w:rsidRPr="00BE2C1D">
        <w:t xml:space="preserve">Therefore, each of the above terms indicate the different discourses through which people with RG were understood e.g. the mystical social construction of dwarfism, and the commodification and the medicalisation of it. In this thesis I adhere to the term RG and refer to the participants as young people with RG, as this was the preferred term of most participants. Moreover, I follow Lindley (1997: 1), who proposed that  </w:t>
      </w:r>
    </w:p>
    <w:p w14:paraId="7D31C2B8" w14:textId="77777777" w:rsidR="00BE2C1D" w:rsidRPr="00BE2C1D" w:rsidRDefault="00BE2C1D" w:rsidP="00BE2C1D">
      <w:pPr>
        <w:spacing w:line="360" w:lineRule="auto"/>
        <w:ind w:left="720"/>
        <w:jc w:val="both"/>
        <w:rPr>
          <w:sz w:val="20"/>
          <w:szCs w:val="20"/>
        </w:rPr>
      </w:pPr>
      <w:r w:rsidRPr="00BE2C1D">
        <w:rPr>
          <w:sz w:val="20"/>
          <w:szCs w:val="20"/>
        </w:rPr>
        <w:t>The people who gathered in 1969 to set up a British self-help organization for people of short stature decided to use a term with none of the traditional connotations of fairy tales and circuses, as they are particularly wished to establish a dignified image. They therefore eliminated the terms dwarf and midget. They also decided that little person, although used with great dignity in the United States and elsewhere, did not exactly satisfy their needs. They settled for restricted growth as a neutral term that covered all the medical conditions with which the organizations would be concerned.</w:t>
      </w:r>
    </w:p>
    <w:p w14:paraId="79080E77" w14:textId="77777777" w:rsidR="00BE2C1D" w:rsidRPr="00BE2C1D" w:rsidRDefault="00BE2C1D" w:rsidP="00BE2C1D">
      <w:pPr>
        <w:spacing w:line="360" w:lineRule="auto"/>
        <w:jc w:val="both"/>
        <w:rPr>
          <w:color w:val="FF0000"/>
        </w:rPr>
      </w:pPr>
      <w:r w:rsidRPr="00BE2C1D">
        <w:t>Nevertheless, I do not agree that the term RG is neutral, as it reveals the normative ways of thinking about growth, distinguishing between pathological and normal growth (Tanner 1986), with RG being a sign of the latter. Therefore, I use this term with a critical stance, remaining vigilant of the repercussions of medicalisation. Besides RG, I also refer to the participants as disabled young people rather than young people with disabilities. This shows my adherence to what is referred to as social model language (Oliver 1990) compared to people-first language (Titchkosky 2001). I agree with Titchkosky (2001:135-136) when she argues that ‘People-first language: 1) separates the individual from disability 2) circumscribes disability as something (bad) that is only understood in relation to its attachment to individuals.’ On the other hand, social model language indicates that people are disabled by society, demonstrating disability as a political construct (Oliver 1990). I also use the phrase ‘young people with RG’. It is worth clarifying that this phrase does not indicate the use of people-first language, but it is the only sound grammatical option, hence, it is used within a social model understanding. Finally, I refer to the participants as disabled young people and not children because of the lower age limit being eleven years old. I follow Skelton (2008: 23) who propose:</w:t>
      </w:r>
    </w:p>
    <w:p w14:paraId="451FF4B9" w14:textId="77777777" w:rsidR="00BE2C1D" w:rsidRPr="00BE2C1D" w:rsidRDefault="00BE2C1D" w:rsidP="00BE2C1D">
      <w:pPr>
        <w:spacing w:line="360" w:lineRule="auto"/>
        <w:ind w:left="720"/>
        <w:jc w:val="both"/>
        <w:rPr>
          <w:sz w:val="20"/>
          <w:szCs w:val="20"/>
        </w:rPr>
      </w:pPr>
      <w:r w:rsidRPr="00BE2C1D">
        <w:rPr>
          <w:sz w:val="20"/>
          <w:szCs w:val="20"/>
        </w:rPr>
        <w:t>As for many authors (UNICEF 2002, Alderson and Morrow 2004) ‘children’ is a term used to include all people under the age of 18. While this shorthand is understandable to save the cumbersome dual listing of ‘children and young people’, it does mean that young people are often not named and this can give an impression of their exclusion and/or marginalisation (Skelton 2000, Weller 2006). So for the most part, and where appropriate, this article uses the term ‘young people’ to try and right the balance but also because all of the young folk I have worked with to date have been aged 14 and above.</w:t>
      </w:r>
    </w:p>
    <w:p w14:paraId="75FC4308" w14:textId="77777777" w:rsidR="00BE2C1D" w:rsidRPr="00BE2C1D" w:rsidRDefault="00BE2C1D" w:rsidP="00BE2C1D">
      <w:pPr>
        <w:spacing w:line="360" w:lineRule="auto"/>
        <w:jc w:val="both"/>
      </w:pPr>
      <w:r w:rsidRPr="00BE2C1D">
        <w:t xml:space="preserve">Having detailed my linguistic options throughout this thesis, in the next section I discuss its structure. </w:t>
      </w:r>
    </w:p>
    <w:p w14:paraId="69A48456" w14:textId="77777777" w:rsidR="00BE2C1D" w:rsidRPr="00BE2C1D" w:rsidRDefault="00BE2C1D" w:rsidP="00BE2C1D">
      <w:pPr>
        <w:keepNext/>
        <w:keepLines/>
        <w:spacing w:before="40" w:after="0" w:line="360" w:lineRule="auto"/>
        <w:outlineLvl w:val="1"/>
        <w:rPr>
          <w:rFonts w:asciiTheme="majorHAnsi" w:eastAsiaTheme="majorEastAsia" w:hAnsiTheme="majorHAnsi" w:cstheme="majorBidi"/>
          <w:color w:val="2F5496" w:themeColor="accent1" w:themeShade="BF"/>
          <w:sz w:val="26"/>
          <w:szCs w:val="26"/>
        </w:rPr>
      </w:pPr>
      <w:bookmarkStart w:id="5" w:name="_Toc39585192"/>
      <w:r w:rsidRPr="00BE2C1D">
        <w:rPr>
          <w:rFonts w:asciiTheme="majorHAnsi" w:eastAsiaTheme="majorEastAsia" w:hAnsiTheme="majorHAnsi" w:cstheme="majorBidi"/>
          <w:color w:val="2F5496" w:themeColor="accent1" w:themeShade="BF"/>
          <w:sz w:val="26"/>
          <w:szCs w:val="26"/>
        </w:rPr>
        <w:lastRenderedPageBreak/>
        <w:t>Thesis Overview and Chapters’ Summaries</w:t>
      </w:r>
      <w:bookmarkEnd w:id="5"/>
      <w:r w:rsidRPr="00BE2C1D">
        <w:rPr>
          <w:rFonts w:asciiTheme="majorHAnsi" w:eastAsiaTheme="majorEastAsia" w:hAnsiTheme="majorHAnsi" w:cstheme="majorBidi"/>
          <w:color w:val="2F5496" w:themeColor="accent1" w:themeShade="BF"/>
          <w:sz w:val="26"/>
          <w:szCs w:val="26"/>
        </w:rPr>
        <w:t xml:space="preserve"> </w:t>
      </w:r>
    </w:p>
    <w:p w14:paraId="6775CFF3" w14:textId="77777777" w:rsidR="00BE2C1D" w:rsidRPr="00BE2C1D" w:rsidRDefault="00BE2C1D" w:rsidP="00BE2C1D">
      <w:pPr>
        <w:spacing w:line="360" w:lineRule="auto"/>
        <w:jc w:val="both"/>
      </w:pPr>
      <w:r w:rsidRPr="00BE2C1D">
        <w:t xml:space="preserve">In this part, I provide an overview of the structure of the thesis, referring to the different chapters that comprise it. The second chapter lays the theoretical foundations of this empirical investigation, whilst the third chapter details the methodological approach adopted in this research. The following four chapters (from the fourth to the seventh chapter) are data chapters, where the analysis of the data takes place. These chapters elaborate on different aspects of the schooling experiences of the disabled young people: experiences of various school spaces and of physical aids, such as special chairs; experiences with teaching assistants; experiences with teachers, and experiences of violence. The eighth and final chapter offers a summary of the key findings of the thesis as well as a consideration of its implications on knowledge production, research methodologies, educational policy and practice and future research. </w:t>
      </w:r>
    </w:p>
    <w:p w14:paraId="2DB78F05" w14:textId="77777777" w:rsidR="00BE2C1D" w:rsidRPr="00BE2C1D" w:rsidRDefault="00BE2C1D" w:rsidP="00BE2C1D">
      <w:pPr>
        <w:keepNext/>
        <w:keepLines/>
        <w:spacing w:before="40" w:after="0" w:line="360" w:lineRule="auto"/>
        <w:outlineLvl w:val="2"/>
        <w:rPr>
          <w:rFonts w:asciiTheme="majorHAnsi" w:eastAsiaTheme="majorEastAsia" w:hAnsiTheme="majorHAnsi" w:cstheme="majorBidi"/>
          <w:color w:val="1F3763" w:themeColor="accent1" w:themeShade="7F"/>
          <w:sz w:val="24"/>
          <w:szCs w:val="24"/>
          <w:lang w:eastAsia="zh-CN"/>
        </w:rPr>
      </w:pPr>
      <w:bookmarkStart w:id="6" w:name="_Toc37963500"/>
      <w:bookmarkStart w:id="7" w:name="_Toc39337310"/>
      <w:bookmarkStart w:id="8" w:name="_Toc39340060"/>
      <w:bookmarkStart w:id="9" w:name="_Toc39585193"/>
      <w:r w:rsidRPr="00BE2C1D">
        <w:rPr>
          <w:rFonts w:asciiTheme="majorHAnsi" w:eastAsiaTheme="majorEastAsia" w:hAnsiTheme="majorHAnsi" w:cstheme="majorBidi"/>
          <w:color w:val="1F3763" w:themeColor="accent1" w:themeShade="7F"/>
          <w:sz w:val="24"/>
          <w:szCs w:val="24"/>
          <w:lang w:eastAsia="zh-CN"/>
        </w:rPr>
        <w:t>Chapter 2: Literature Review</w:t>
      </w:r>
      <w:bookmarkEnd w:id="6"/>
      <w:bookmarkEnd w:id="7"/>
      <w:bookmarkEnd w:id="8"/>
      <w:bookmarkEnd w:id="9"/>
      <w:r w:rsidRPr="00BE2C1D">
        <w:rPr>
          <w:rFonts w:asciiTheme="majorHAnsi" w:eastAsiaTheme="majorEastAsia" w:hAnsiTheme="majorHAnsi" w:cstheme="majorBidi"/>
          <w:color w:val="1F3763" w:themeColor="accent1" w:themeShade="7F"/>
          <w:sz w:val="24"/>
          <w:szCs w:val="24"/>
          <w:lang w:eastAsia="zh-CN"/>
        </w:rPr>
        <w:t xml:space="preserve">  </w:t>
      </w:r>
    </w:p>
    <w:p w14:paraId="75F68250" w14:textId="77777777" w:rsidR="00BE2C1D" w:rsidRPr="00BE2C1D" w:rsidRDefault="00BE2C1D" w:rsidP="00BE2C1D">
      <w:pPr>
        <w:spacing w:line="360" w:lineRule="auto"/>
        <w:jc w:val="both"/>
      </w:pPr>
      <w:r w:rsidRPr="00BE2C1D">
        <w:t xml:space="preserve">This chapter sets out the theoretical background for this research, positioning it within the grounds of Critical Disability Studies (Goodley 2013; Shildrick 2013) and Disabled Children’s Childhood Studies (Curran and Runswick-Cole 2014; Runswick-Cole et al. 2018a). It starts with a brief introduction into the field of Critical Disability Studies and then considers a range of its theoretical approaches, including the materialist social model and the social relational model and the critical realist, phenomenological, poststructuralist and new materialist approaches. This review explores how each model/approach contributes to the study of disability experience and of disabled people. Attention is then paid to the study of disabled childhoods, since the participants of this research were disabled young people. I distinguish between ‘classic disability studies research on disabled childhoods’ and the ‘emergent Disabled Children’s Childhood Studies’, discussing how disabled childhoods have been theorised in each approach and where the focus of research lay. </w:t>
      </w:r>
    </w:p>
    <w:p w14:paraId="0CF22C8E" w14:textId="77777777" w:rsidR="00BE2C1D" w:rsidRPr="00BE2C1D" w:rsidRDefault="00BE2C1D" w:rsidP="00BE2C1D">
      <w:pPr>
        <w:spacing w:line="360" w:lineRule="auto"/>
        <w:jc w:val="both"/>
      </w:pPr>
      <w:r w:rsidRPr="00BE2C1D">
        <w:t xml:space="preserve">A review of the empirical studies on children and young people with RG from the disciplines of Psychology, Education and Medicine takes place next, which offers an insight into how they (children and young people with RG) were understood through these lenses. The review also engages with the methodological critiques of those studies (e.g. the lack of transparency in sampling) and their problematic implications (e.g. the medicalisation and pathologisation of disabled childhoods). Moreover, in this part I discuss studies related to heightism (discrimination based on one’s height) and the forms heightism takes in the context of school. This chapter closes with describing how this eclectic theoretical approach is applied in the analyses chapters. </w:t>
      </w:r>
    </w:p>
    <w:p w14:paraId="41A3EFDE" w14:textId="77777777" w:rsidR="00BE2C1D" w:rsidRPr="00BE2C1D" w:rsidRDefault="00BE2C1D" w:rsidP="00BE2C1D">
      <w:pPr>
        <w:keepNext/>
        <w:keepLines/>
        <w:spacing w:before="40" w:after="0" w:line="360" w:lineRule="auto"/>
        <w:outlineLvl w:val="2"/>
        <w:rPr>
          <w:rFonts w:asciiTheme="majorHAnsi" w:eastAsiaTheme="majorEastAsia" w:hAnsiTheme="majorHAnsi" w:cstheme="majorBidi"/>
          <w:color w:val="1F3763" w:themeColor="accent1" w:themeShade="7F"/>
          <w:sz w:val="24"/>
          <w:szCs w:val="24"/>
          <w:lang w:eastAsia="zh-CN"/>
        </w:rPr>
      </w:pPr>
      <w:bookmarkStart w:id="10" w:name="_Toc37963501"/>
      <w:bookmarkStart w:id="11" w:name="_Toc39337311"/>
      <w:bookmarkStart w:id="12" w:name="_Toc39340061"/>
      <w:bookmarkStart w:id="13" w:name="_Toc39585194"/>
      <w:r w:rsidRPr="00BE2C1D">
        <w:rPr>
          <w:rFonts w:asciiTheme="majorHAnsi" w:eastAsiaTheme="majorEastAsia" w:hAnsiTheme="majorHAnsi" w:cstheme="majorBidi"/>
          <w:color w:val="1F3763" w:themeColor="accent1" w:themeShade="7F"/>
          <w:sz w:val="24"/>
          <w:szCs w:val="24"/>
          <w:lang w:eastAsia="zh-CN"/>
        </w:rPr>
        <w:lastRenderedPageBreak/>
        <w:t>Chapter 3: Methodological Orientations</w:t>
      </w:r>
      <w:bookmarkEnd w:id="10"/>
      <w:bookmarkEnd w:id="11"/>
      <w:bookmarkEnd w:id="12"/>
      <w:bookmarkEnd w:id="13"/>
      <w:r w:rsidRPr="00BE2C1D">
        <w:rPr>
          <w:rFonts w:asciiTheme="majorHAnsi" w:eastAsiaTheme="majorEastAsia" w:hAnsiTheme="majorHAnsi" w:cstheme="majorBidi"/>
          <w:color w:val="1F3763" w:themeColor="accent1" w:themeShade="7F"/>
          <w:sz w:val="24"/>
          <w:szCs w:val="24"/>
          <w:lang w:eastAsia="zh-CN"/>
        </w:rPr>
        <w:t xml:space="preserve"> </w:t>
      </w:r>
    </w:p>
    <w:p w14:paraId="4935FEE6" w14:textId="77777777" w:rsidR="00BE2C1D" w:rsidRPr="00BE2C1D" w:rsidRDefault="00BE2C1D" w:rsidP="00BE2C1D">
      <w:pPr>
        <w:spacing w:line="360" w:lineRule="auto"/>
        <w:jc w:val="both"/>
      </w:pPr>
      <w:r w:rsidRPr="00BE2C1D">
        <w:t xml:space="preserve">I have divided this chapter into two parts: the ‘neat’ and the ‘messy’ story. The neat story provides a clear account of who was approached to take part in the research (sampling), how they were approached and recruited (access and recruitment), the number of participants and their demographics and the type of involvement (methods). Then, I discuss the methodology of this research (its epistemology and ontology) and how it has been applied in Critical Disability Studies and Disabled Children’s Childhood Studies, the method of analysis and the ethical dimensions of the research e.g. the institutional ethical landscape within which I worked.   </w:t>
      </w:r>
    </w:p>
    <w:p w14:paraId="3780A2EF" w14:textId="77777777" w:rsidR="00BE2C1D" w:rsidRPr="00BE2C1D" w:rsidRDefault="00BE2C1D" w:rsidP="00BE2C1D">
      <w:pPr>
        <w:spacing w:line="360" w:lineRule="auto"/>
        <w:jc w:val="both"/>
      </w:pPr>
      <w:r w:rsidRPr="00BE2C1D">
        <w:t xml:space="preserve">In the messy story, I engage with ‘uncomfortable reflexivity’ (Pillow 2003) to revisit some of the issues discussed in the neat story, but with a more ‘critical’ stance. In particular, the discussion revolves around the following areas: the complexities of negotiating access with online gatekeepers (e.g. administrators of online groups), such as the issue of authenticity in online spaces; my (embodied) positionality and its impact on face-to-face encounters with potential participants e.g. the interrogation of my ‘body’, my identity as a researcher and my motives to do this research; the intricacies of analysis, including the idea of ‘speaking for others’ and re-telling one’s stories. </w:t>
      </w:r>
    </w:p>
    <w:p w14:paraId="5CF77B72" w14:textId="77777777" w:rsidR="00BE2C1D" w:rsidRPr="00BE2C1D" w:rsidRDefault="00BE2C1D" w:rsidP="00BE2C1D">
      <w:pPr>
        <w:keepNext/>
        <w:keepLines/>
        <w:spacing w:before="40" w:after="0" w:line="360" w:lineRule="auto"/>
        <w:outlineLvl w:val="2"/>
        <w:rPr>
          <w:rFonts w:asciiTheme="majorHAnsi" w:eastAsiaTheme="majorEastAsia" w:hAnsiTheme="majorHAnsi" w:cstheme="majorBidi"/>
          <w:color w:val="1F3763" w:themeColor="accent1" w:themeShade="7F"/>
          <w:sz w:val="24"/>
          <w:szCs w:val="24"/>
          <w:lang w:eastAsia="zh-CN"/>
        </w:rPr>
      </w:pPr>
      <w:bookmarkStart w:id="14" w:name="_Toc37963502"/>
      <w:bookmarkStart w:id="15" w:name="_Toc39337312"/>
      <w:bookmarkStart w:id="16" w:name="_Toc39340062"/>
      <w:bookmarkStart w:id="17" w:name="_Toc39585195"/>
      <w:r w:rsidRPr="00BE2C1D">
        <w:rPr>
          <w:rFonts w:asciiTheme="majorHAnsi" w:eastAsiaTheme="majorEastAsia" w:hAnsiTheme="majorHAnsi" w:cstheme="majorBidi"/>
          <w:color w:val="1F3763" w:themeColor="accent1" w:themeShade="7F"/>
          <w:sz w:val="24"/>
          <w:szCs w:val="24"/>
          <w:lang w:eastAsia="zh-CN"/>
        </w:rPr>
        <w:t>Chapter 4:  Navigating School Spaces: Disabled Young People’s Geographic Maturity</w:t>
      </w:r>
      <w:bookmarkEnd w:id="14"/>
      <w:bookmarkEnd w:id="15"/>
      <w:bookmarkEnd w:id="16"/>
      <w:bookmarkEnd w:id="17"/>
      <w:r w:rsidRPr="00BE2C1D">
        <w:rPr>
          <w:rFonts w:asciiTheme="majorHAnsi" w:eastAsiaTheme="majorEastAsia" w:hAnsiTheme="majorHAnsi" w:cstheme="majorBidi"/>
          <w:color w:val="1F3763" w:themeColor="accent1" w:themeShade="7F"/>
          <w:sz w:val="24"/>
          <w:szCs w:val="24"/>
          <w:lang w:eastAsia="zh-CN"/>
        </w:rPr>
        <w:t xml:space="preserve"> </w:t>
      </w:r>
    </w:p>
    <w:p w14:paraId="1D47AF57" w14:textId="77777777" w:rsidR="00BE2C1D" w:rsidRPr="00BE2C1D" w:rsidRDefault="00BE2C1D" w:rsidP="00BE2C1D">
      <w:pPr>
        <w:spacing w:line="360" w:lineRule="auto"/>
        <w:jc w:val="both"/>
      </w:pPr>
      <w:r w:rsidRPr="00BE2C1D">
        <w:t xml:space="preserve">In this chapter, the focus is on participants’ experiences of different school spaces and of the special equipment - special chairs in particular - they were provided with. The first part explores how participants navigated the school playground and the school toilets and whether they felt a sense of belonging in this spaces. Drawing on poststructuralism (Rassmussen 2009; Milley and Cliff 2013), the analysis demonstrates how both these spaces were experienced as hierarchical (classifying bodies against gendered, dis/ableist norms), panoptic (disabled bodies under constant surveillance), performative (performing disability and gender) and pedagogical (teaching where disabled bodies belong to). I situate this analysis within Dorn’s (1998) concept of ‘geographic maturity’ and, in particular, the application of it to disabled young people (Stephens et al. 2015), viewing disabled young people as ‘geographically mature subjects’, meaning that they navigate these spaces ‘with insight, generating their own multiple subjectivities, adapting their identities to changing environments to generate the best possible fit in that given time and place’ (ibid: 206). </w:t>
      </w:r>
    </w:p>
    <w:p w14:paraId="621E57CC" w14:textId="77777777" w:rsidR="00BE2C1D" w:rsidRPr="00BE2C1D" w:rsidRDefault="00BE2C1D" w:rsidP="00BE2C1D">
      <w:pPr>
        <w:spacing w:line="360" w:lineRule="auto"/>
        <w:jc w:val="both"/>
      </w:pPr>
      <w:r w:rsidRPr="00BE2C1D">
        <w:t xml:space="preserve">The second part looks at the participants’ experiences of special chairs. Applying an assemblage analysis (Feeley 2019; Stephens et al. 2015), the access to such equipment, participants’ mixed feelings towards it and their peers’ reactions to it are considered. These stories show how disabled young people’s insights into the equipment they are provided with reveal aspects of using such equipment that are often overlooked and go beyond issues of physical inclusion, such as the stigma attached to </w:t>
      </w:r>
      <w:r w:rsidRPr="00BE2C1D">
        <w:lastRenderedPageBreak/>
        <w:t xml:space="preserve">such equipment or the psycho-emotional disablism triggered by peers’ reactions to it. The chapter concludes by proposing that the above stories are testimonies to the exclusion disabled young people still experience in so-called inclusive spaces.    </w:t>
      </w:r>
    </w:p>
    <w:p w14:paraId="411B19FB" w14:textId="77777777" w:rsidR="00BE2C1D" w:rsidRPr="00BE2C1D" w:rsidRDefault="00BE2C1D" w:rsidP="00BE2C1D">
      <w:pPr>
        <w:keepNext/>
        <w:keepLines/>
        <w:spacing w:before="40" w:after="0" w:line="360" w:lineRule="auto"/>
        <w:outlineLvl w:val="2"/>
        <w:rPr>
          <w:rFonts w:asciiTheme="majorHAnsi" w:eastAsiaTheme="majorEastAsia" w:hAnsiTheme="majorHAnsi" w:cstheme="majorBidi"/>
          <w:color w:val="1F3763" w:themeColor="accent1" w:themeShade="7F"/>
          <w:sz w:val="24"/>
          <w:szCs w:val="24"/>
          <w:lang w:eastAsia="zh-CN"/>
        </w:rPr>
      </w:pPr>
      <w:bookmarkStart w:id="18" w:name="_Toc37963503"/>
      <w:bookmarkStart w:id="19" w:name="_Toc39337313"/>
      <w:bookmarkStart w:id="20" w:name="_Toc39340063"/>
      <w:bookmarkStart w:id="21" w:name="_Toc39585196"/>
      <w:r w:rsidRPr="00BE2C1D">
        <w:rPr>
          <w:rFonts w:asciiTheme="majorHAnsi" w:eastAsiaTheme="majorEastAsia" w:hAnsiTheme="majorHAnsi" w:cstheme="majorBidi"/>
          <w:color w:val="1F3763" w:themeColor="accent1" w:themeShade="7F"/>
          <w:sz w:val="24"/>
          <w:szCs w:val="24"/>
          <w:lang w:eastAsia="zh-CN"/>
        </w:rPr>
        <w:t>Chapter 5: Stories of Support, Surveillance and Resistance: The experiences of young people with RG with Teaching Assistants</w:t>
      </w:r>
      <w:bookmarkEnd w:id="18"/>
      <w:bookmarkEnd w:id="19"/>
      <w:bookmarkEnd w:id="20"/>
      <w:bookmarkEnd w:id="21"/>
      <w:r w:rsidRPr="00BE2C1D">
        <w:rPr>
          <w:rFonts w:asciiTheme="majorHAnsi" w:eastAsiaTheme="majorEastAsia" w:hAnsiTheme="majorHAnsi" w:cstheme="majorBidi"/>
          <w:color w:val="1F3763" w:themeColor="accent1" w:themeShade="7F"/>
          <w:sz w:val="24"/>
          <w:szCs w:val="24"/>
          <w:lang w:eastAsia="zh-CN"/>
        </w:rPr>
        <w:t xml:space="preserve"> </w:t>
      </w:r>
    </w:p>
    <w:p w14:paraId="47C0891A" w14:textId="77777777" w:rsidR="00BE2C1D" w:rsidRPr="00BE2C1D" w:rsidRDefault="00BE2C1D" w:rsidP="00BE2C1D">
      <w:pPr>
        <w:spacing w:line="360" w:lineRule="auto"/>
        <w:jc w:val="both"/>
        <w:rPr>
          <w:color w:val="FF0000"/>
        </w:rPr>
      </w:pPr>
      <w:r w:rsidRPr="00BE2C1D">
        <w:t xml:space="preserve">This chapter focuses on participants’ experiences with their teaching assistants. It starts with a contextualisation of the role(s) of teaching assistants in the United Kingdom, including their key role in the enactment of inclusive education policy, followed by a discussion of the literature on disabled students’ insights into their experiences and interactions with their teaching assistants. Against this background, participants’ stories of the support they were provided with by their teaching assistants are explored, demonstrating their mixed feelings towards it. </w:t>
      </w:r>
    </w:p>
    <w:p w14:paraId="405878E5" w14:textId="77777777" w:rsidR="00BE2C1D" w:rsidRPr="00BE2C1D" w:rsidRDefault="00BE2C1D" w:rsidP="00BE2C1D">
      <w:pPr>
        <w:spacing w:line="360" w:lineRule="auto"/>
        <w:jc w:val="both"/>
      </w:pPr>
      <w:r w:rsidRPr="00BE2C1D">
        <w:t xml:space="preserve">In the second part, I discuss a less acknowledged role that teaching assistants play, that is positioning disabled young people under their constant surveillance (Allan 1996). Engaging with Foucault’s work on surveillance (1977), I look into how teaching assistants discipline the participants’ ‘unruly bodies’ (Erevelles 2000), aiming at the production of docile, self-governed bodies. Their stories illustrate how the surveillance of the disabled young people occur both in and outside of the school classroom as well as its repercussions. Nevertheless, participants resist to their surveillance and governance through various ways, as shown in the next section. Their resistance is analysed through Foucauldian (Foucault 1981) and Resistance Studies (Armstrong and Murphy 2012) framings, paying attention to the context within which it occurs and the discourses it draws upon. I conclude with proposing that disabled young people’s input into what support they need and their experiences of support should be taken into thorough consideration, rather than support being predetermined and imposed on them by adults such as Special Educational Needs Coordinators (hereinafter referred to as SENCOS) and class teachers. </w:t>
      </w:r>
    </w:p>
    <w:p w14:paraId="1D22C9DA" w14:textId="77777777" w:rsidR="00BE2C1D" w:rsidRPr="00BE2C1D" w:rsidRDefault="00BE2C1D" w:rsidP="00BE2C1D">
      <w:pPr>
        <w:keepNext/>
        <w:keepLines/>
        <w:spacing w:before="40" w:after="0" w:line="360" w:lineRule="auto"/>
        <w:outlineLvl w:val="2"/>
        <w:rPr>
          <w:rFonts w:asciiTheme="majorHAnsi" w:eastAsiaTheme="majorEastAsia" w:hAnsiTheme="majorHAnsi" w:cstheme="majorBidi"/>
          <w:color w:val="1F3763" w:themeColor="accent1" w:themeShade="7F"/>
          <w:sz w:val="24"/>
          <w:szCs w:val="24"/>
          <w:lang w:eastAsia="zh-CN"/>
        </w:rPr>
      </w:pPr>
      <w:bookmarkStart w:id="22" w:name="_Toc37963504"/>
      <w:bookmarkStart w:id="23" w:name="_Toc39337314"/>
      <w:bookmarkStart w:id="24" w:name="_Toc39340064"/>
      <w:bookmarkStart w:id="25" w:name="_Toc39585197"/>
      <w:r w:rsidRPr="00BE2C1D">
        <w:rPr>
          <w:rFonts w:asciiTheme="majorHAnsi" w:eastAsiaTheme="majorEastAsia" w:hAnsiTheme="majorHAnsi" w:cstheme="majorBidi"/>
          <w:color w:val="1F3763" w:themeColor="accent1" w:themeShade="7F"/>
          <w:sz w:val="24"/>
          <w:szCs w:val="24"/>
          <w:lang w:eastAsia="zh-CN"/>
        </w:rPr>
        <w:t>Chapter 6: Stories of Dys-Appearance: The experiences of young people with RG with Teachers</w:t>
      </w:r>
      <w:bookmarkEnd w:id="22"/>
      <w:bookmarkEnd w:id="23"/>
      <w:bookmarkEnd w:id="24"/>
      <w:bookmarkEnd w:id="25"/>
      <w:r w:rsidRPr="00BE2C1D">
        <w:rPr>
          <w:rFonts w:asciiTheme="majorHAnsi" w:eastAsiaTheme="majorEastAsia" w:hAnsiTheme="majorHAnsi" w:cstheme="majorBidi"/>
          <w:color w:val="1F3763" w:themeColor="accent1" w:themeShade="7F"/>
          <w:sz w:val="24"/>
          <w:szCs w:val="24"/>
          <w:lang w:eastAsia="zh-CN"/>
        </w:rPr>
        <w:t xml:space="preserve"> </w:t>
      </w:r>
    </w:p>
    <w:p w14:paraId="5AA66FCF" w14:textId="77777777" w:rsidR="00BE2C1D" w:rsidRPr="00BE2C1D" w:rsidRDefault="00BE2C1D" w:rsidP="00BE2C1D">
      <w:pPr>
        <w:spacing w:line="360" w:lineRule="auto"/>
        <w:jc w:val="both"/>
      </w:pPr>
      <w:r w:rsidRPr="00BE2C1D">
        <w:t>This chapter examines participants’ experiences with their teachers. Engaging with Leder’s (1990) concept of dys-appearance (that is how the body appears as a problem), especially as it has been adapted by feminist (Groven et al. 2013), Disability Studies (Hughes and Paterson 1997; Paterson and Hughes, 1999; Reeve, 2012) and education theorists (Paechter 2011; Warren 1999, 2005), I consider how participants’ disabled bodies dys-appeared in the eyes of their teachers. The analysis sheds light on different forms of dys-appearance: dys-appearing in time and space or dys-appearing through questioning one’s capabilities. Significantly, the analysis does not position the source of dys-</w:t>
      </w:r>
      <w:r w:rsidRPr="00BE2C1D">
        <w:lastRenderedPageBreak/>
        <w:t xml:space="preserve">appearance on the participants’ disabled bodies, but on the disabling and ableist structural organisation of schools (Davis and Watson 2001), including their ableist timeframes, disabling spaces and regulations and teachers’ attitudes. Moreover, I consider the participants’ responses to the dys-appearance of their bodies, which included its resistance e.g. by calling out their teachers for unfair treatment, and/or putting hidden labour (Scully 2010) e.g. to prove themselves capable and/or independent.    </w:t>
      </w:r>
    </w:p>
    <w:p w14:paraId="3E1C3A35" w14:textId="77777777" w:rsidR="00BE2C1D" w:rsidRPr="00BE2C1D" w:rsidRDefault="00BE2C1D" w:rsidP="00BE2C1D">
      <w:pPr>
        <w:spacing w:line="360" w:lineRule="auto"/>
        <w:jc w:val="both"/>
      </w:pPr>
      <w:r w:rsidRPr="00BE2C1D">
        <w:t xml:space="preserve">Attention is also paid to participants’ dys-appearance in the subject of Physical Education. Drawing on Depauw’s (1997) analytical framework regarding the positions that disabled people occupy in sports, stories of exclusion, accommodationand invalidation are brought to the front. These stories demonstrate how ableism in sports remains untouched when bodies are pathologised for not meeting their standards. The chapter concludes with a call to recognise the intersectional nature of dys-appearance (focusing specifically on gender and disability), its effects and the role schools play in the pathologisation and dys-appearance of disabled, gendered bodies.     </w:t>
      </w:r>
    </w:p>
    <w:p w14:paraId="5BF1CD35" w14:textId="77777777" w:rsidR="00BE2C1D" w:rsidRPr="00BE2C1D" w:rsidRDefault="00BE2C1D" w:rsidP="00BE2C1D">
      <w:pPr>
        <w:keepNext/>
        <w:keepLines/>
        <w:spacing w:before="40" w:after="0" w:line="360" w:lineRule="auto"/>
        <w:outlineLvl w:val="2"/>
        <w:rPr>
          <w:rFonts w:asciiTheme="majorHAnsi" w:eastAsiaTheme="majorEastAsia" w:hAnsiTheme="majorHAnsi" w:cstheme="majorBidi"/>
          <w:color w:val="2E74B5" w:themeColor="accent5" w:themeShade="BF"/>
          <w:sz w:val="24"/>
          <w:szCs w:val="24"/>
          <w:lang w:eastAsia="zh-CN"/>
        </w:rPr>
      </w:pPr>
      <w:bookmarkStart w:id="26" w:name="_Toc37963505"/>
      <w:bookmarkStart w:id="27" w:name="_Toc39337315"/>
      <w:bookmarkStart w:id="28" w:name="_Toc39340065"/>
      <w:bookmarkStart w:id="29" w:name="_Toc39585198"/>
      <w:r w:rsidRPr="00BE2C1D">
        <w:rPr>
          <w:rFonts w:asciiTheme="majorHAnsi" w:eastAsiaTheme="majorEastAsia" w:hAnsiTheme="majorHAnsi" w:cstheme="majorBidi"/>
          <w:color w:val="2E74B5" w:themeColor="accent5" w:themeShade="BF"/>
          <w:sz w:val="24"/>
          <w:szCs w:val="24"/>
          <w:lang w:eastAsia="zh-CN"/>
        </w:rPr>
        <w:t>Chapter 7: En/Counters with School Violence: The Experiences of Young People with RG of Bullying</w:t>
      </w:r>
      <w:bookmarkEnd w:id="26"/>
      <w:bookmarkEnd w:id="27"/>
      <w:bookmarkEnd w:id="28"/>
      <w:bookmarkEnd w:id="29"/>
      <w:r w:rsidRPr="00BE2C1D">
        <w:rPr>
          <w:rFonts w:asciiTheme="majorHAnsi" w:eastAsiaTheme="majorEastAsia" w:hAnsiTheme="majorHAnsi" w:cstheme="majorBidi"/>
          <w:color w:val="2E74B5" w:themeColor="accent5" w:themeShade="BF"/>
          <w:sz w:val="24"/>
          <w:szCs w:val="24"/>
          <w:lang w:eastAsia="zh-CN"/>
        </w:rPr>
        <w:t xml:space="preserve">  </w:t>
      </w:r>
    </w:p>
    <w:p w14:paraId="665A4ECE" w14:textId="77777777" w:rsidR="00BE2C1D" w:rsidRPr="00BE2C1D" w:rsidRDefault="00BE2C1D" w:rsidP="00BE2C1D">
      <w:pPr>
        <w:spacing w:line="360" w:lineRule="auto"/>
        <w:jc w:val="both"/>
      </w:pPr>
      <w:r w:rsidRPr="00BE2C1D">
        <w:t xml:space="preserve">This chapter explores participants’ experiences of violence in schools. It starts with a discussion around the ethical tensions of sharing these stories, including the risk of domesticating stories of oppression (Goodley and Runswick-Cole 2012), and with a justifications of the reasons I decided to share them. Then, I draw on Goodley’s and Runswick-Cole’s (2011a) distinction between the different but overlapping forms of violence - the real, the cultural, the psycho-emotional and the systemic - to identify and discuss the forms of violence the participants encountered at schools. Crucially, these stories illustrated the multifaceted nature of violence of disablism and how such violence was embodied, felt and perpetuated. </w:t>
      </w:r>
    </w:p>
    <w:p w14:paraId="318E2BE6" w14:textId="77777777" w:rsidR="00BE2C1D" w:rsidRPr="00BE2C1D" w:rsidRDefault="00BE2C1D" w:rsidP="00BE2C1D">
      <w:pPr>
        <w:spacing w:line="360" w:lineRule="auto"/>
        <w:jc w:val="both"/>
      </w:pPr>
      <w:r w:rsidRPr="00BE2C1D">
        <w:t xml:space="preserve">A separate section is devoted to the resisting strategies the participants adopted to fight against such violence. Through these stories, the disabled young people are constructed as agentic subjects who resisted the violence to which they were exposed, in opposition to their construction as passive victims of violence from the dominant bullying discourse (Rose et al. 2015). However, the analysis also shows how the participants found themselves trapped into a vicious circle of violence. When the participants adopted strategies that schools proposed for the elimination of bullying, e.g. disclosure of an incident, they found out that these made no difference. On the other hand, when they chose resisting strategies that the school did not approve of, which were their ‘last resort’ (Tholander et al. 2019: 15), such as speaking or hitting back, they got disciplined or punished by staff members. This section further considers friendship as an effective method of resistance to violence. The chapter closes with </w:t>
      </w:r>
      <w:r w:rsidRPr="00BE2C1D">
        <w:lastRenderedPageBreak/>
        <w:t xml:space="preserve">discussing how these stories of violence shake up the dominant discourses around disability and school violence. </w:t>
      </w:r>
    </w:p>
    <w:p w14:paraId="3636E215" w14:textId="77777777" w:rsidR="00BE2C1D" w:rsidRPr="00BE2C1D" w:rsidRDefault="00BE2C1D" w:rsidP="00BE2C1D">
      <w:pPr>
        <w:keepNext/>
        <w:keepLines/>
        <w:spacing w:before="40" w:after="0" w:line="360" w:lineRule="auto"/>
        <w:outlineLvl w:val="2"/>
        <w:rPr>
          <w:rFonts w:asciiTheme="majorHAnsi" w:eastAsiaTheme="majorEastAsia" w:hAnsiTheme="majorHAnsi" w:cstheme="majorBidi"/>
          <w:color w:val="1F3763" w:themeColor="accent1" w:themeShade="7F"/>
          <w:sz w:val="24"/>
          <w:szCs w:val="24"/>
          <w:lang w:eastAsia="zh-CN"/>
        </w:rPr>
      </w:pPr>
      <w:bookmarkStart w:id="30" w:name="_Toc37963506"/>
      <w:bookmarkStart w:id="31" w:name="_Toc39337316"/>
      <w:bookmarkStart w:id="32" w:name="_Toc39340066"/>
      <w:bookmarkStart w:id="33" w:name="_Toc39585199"/>
      <w:r w:rsidRPr="00BE2C1D">
        <w:rPr>
          <w:rFonts w:asciiTheme="majorHAnsi" w:eastAsiaTheme="majorEastAsia" w:hAnsiTheme="majorHAnsi" w:cstheme="majorBidi"/>
          <w:color w:val="1F3763" w:themeColor="accent1" w:themeShade="7F"/>
          <w:sz w:val="24"/>
          <w:szCs w:val="24"/>
          <w:lang w:eastAsia="zh-CN"/>
        </w:rPr>
        <w:t>Chapter 8: Conclusions</w:t>
      </w:r>
      <w:bookmarkEnd w:id="30"/>
      <w:bookmarkEnd w:id="31"/>
      <w:bookmarkEnd w:id="32"/>
      <w:bookmarkEnd w:id="33"/>
      <w:r w:rsidRPr="00BE2C1D">
        <w:rPr>
          <w:rFonts w:asciiTheme="majorHAnsi" w:eastAsiaTheme="majorEastAsia" w:hAnsiTheme="majorHAnsi" w:cstheme="majorBidi"/>
          <w:color w:val="1F3763" w:themeColor="accent1" w:themeShade="7F"/>
          <w:sz w:val="24"/>
          <w:szCs w:val="24"/>
          <w:lang w:eastAsia="zh-CN"/>
        </w:rPr>
        <w:t xml:space="preserve"> </w:t>
      </w:r>
    </w:p>
    <w:p w14:paraId="728C1D10" w14:textId="77777777" w:rsidR="00BE2C1D" w:rsidRPr="00BE2C1D" w:rsidRDefault="00BE2C1D" w:rsidP="00BE2C1D">
      <w:pPr>
        <w:spacing w:line="360" w:lineRule="auto"/>
        <w:jc w:val="both"/>
      </w:pPr>
      <w:r w:rsidRPr="00BE2C1D">
        <w:t xml:space="preserve">In this final chapter, the main findings of each analysis chapter as well as the common themes among all analyses chapters are drawn together. This summary demonstrates how each research question has been addressed. The second part of this chapter looks at the implications of this thesis on different levels, including the theoretical implications (original contributions to knowledge), the methodological implications (contributions to qualitative research methodologies), the implications on educational policy and practice (recommendations for educational policymakers and practitioners) and the implications on future research (directions for future scholarship). In the last part, a final reflection on doing this research is provided.        </w:t>
      </w:r>
    </w:p>
    <w:p w14:paraId="0443DC10" w14:textId="77777777" w:rsidR="00BE2C1D" w:rsidRPr="00BE2C1D" w:rsidRDefault="00BE2C1D" w:rsidP="00BE2C1D">
      <w:pPr>
        <w:keepNext/>
        <w:keepLines/>
        <w:spacing w:before="40" w:after="0" w:line="360" w:lineRule="auto"/>
        <w:outlineLvl w:val="1"/>
        <w:rPr>
          <w:rFonts w:asciiTheme="majorHAnsi" w:eastAsiaTheme="majorEastAsia" w:hAnsiTheme="majorHAnsi" w:cstheme="majorBidi"/>
          <w:color w:val="2F5496" w:themeColor="accent1" w:themeShade="BF"/>
          <w:sz w:val="26"/>
          <w:szCs w:val="26"/>
        </w:rPr>
      </w:pPr>
      <w:bookmarkStart w:id="34" w:name="_Toc39585200"/>
      <w:r w:rsidRPr="00BE2C1D">
        <w:rPr>
          <w:rFonts w:asciiTheme="majorHAnsi" w:eastAsiaTheme="majorEastAsia" w:hAnsiTheme="majorHAnsi" w:cstheme="majorBidi"/>
          <w:color w:val="2F5496" w:themeColor="accent1" w:themeShade="BF"/>
          <w:sz w:val="26"/>
          <w:szCs w:val="26"/>
        </w:rPr>
        <w:t>Conclusions</w:t>
      </w:r>
      <w:bookmarkEnd w:id="34"/>
    </w:p>
    <w:p w14:paraId="3A5DFEFF" w14:textId="77777777" w:rsidR="00BE2C1D" w:rsidRPr="00BE2C1D" w:rsidRDefault="00BE2C1D" w:rsidP="00BE2C1D">
      <w:pPr>
        <w:spacing w:line="360" w:lineRule="auto"/>
        <w:jc w:val="both"/>
      </w:pPr>
      <w:r w:rsidRPr="00BE2C1D">
        <w:t xml:space="preserve">This chapter served several purposes, which I summarise here. Firstly, it introduced the topic of investigation of this thesis, the secondary schooling experiences of young people with RG in the United Kingdom, and the methodological approach this thesis takes, a narrative inquiry and, specifically, a small stories approach. Secondly, it set the scene for this research, meaning that it referred briefly to the type of research has already been carried out in relation to this topic broadly speaking -predominantly clinical- and identified both a research gap and the need and value in engaging with disabled young people’s viewpoints of their schooling experiences. Thirdly, it introduced the research questions this thesis intends to look into and its aims, which were divided into knowledge, methodological and impact ones. Furthermore, this introductory chapter illustrated the personal value this topic has for me (or how close to my heart it is) through the personal story that opened this thesis as well as its political and academic significance. Moreover, the linguistic choices made throughout this thesis in reference to the participants, such as disabled young people and young people with RG, were explained and justified. Last not least, it provided a clear picture of the structure of this thesis, with a brief summary of each chapter. </w:t>
      </w:r>
    </w:p>
    <w:p w14:paraId="430C446B" w14:textId="77777777" w:rsidR="00BE2C1D" w:rsidRPr="00BE2C1D" w:rsidRDefault="00BE2C1D" w:rsidP="00BE2C1D">
      <w:pPr>
        <w:spacing w:line="360" w:lineRule="auto"/>
        <w:jc w:val="both"/>
      </w:pPr>
    </w:p>
    <w:p w14:paraId="48A99729" w14:textId="77777777" w:rsidR="00BE2C1D" w:rsidRPr="00BE2C1D" w:rsidRDefault="00BE2C1D" w:rsidP="00BE2C1D">
      <w:pPr>
        <w:spacing w:line="360" w:lineRule="auto"/>
        <w:jc w:val="both"/>
      </w:pPr>
    </w:p>
    <w:p w14:paraId="2D18D504" w14:textId="77777777" w:rsidR="00BE2C1D" w:rsidRPr="00BE2C1D" w:rsidRDefault="00BE2C1D" w:rsidP="00BE2C1D">
      <w:pPr>
        <w:spacing w:line="360" w:lineRule="auto"/>
        <w:jc w:val="both"/>
      </w:pPr>
    </w:p>
    <w:p w14:paraId="2CB0BB1E" w14:textId="77777777" w:rsidR="00BE2C1D" w:rsidRPr="00BE2C1D" w:rsidRDefault="00BE2C1D" w:rsidP="00BE2C1D">
      <w:pPr>
        <w:spacing w:line="360" w:lineRule="auto"/>
        <w:jc w:val="both"/>
      </w:pPr>
    </w:p>
    <w:p w14:paraId="61BEFE9A" w14:textId="77777777" w:rsidR="00BE2C1D" w:rsidRPr="00BE2C1D" w:rsidRDefault="00BE2C1D" w:rsidP="00BE2C1D">
      <w:pPr>
        <w:spacing w:line="360" w:lineRule="auto"/>
        <w:jc w:val="both"/>
      </w:pPr>
    </w:p>
    <w:p w14:paraId="773A3248" w14:textId="77777777" w:rsidR="00BE2C1D" w:rsidRPr="00BE2C1D" w:rsidRDefault="00BE2C1D" w:rsidP="00BE2C1D">
      <w:pPr>
        <w:keepNext/>
        <w:keepLines/>
        <w:spacing w:before="240" w:after="0"/>
        <w:outlineLvl w:val="0"/>
        <w:rPr>
          <w:rFonts w:asciiTheme="majorHAnsi" w:eastAsiaTheme="majorEastAsia" w:hAnsiTheme="majorHAnsi" w:cstheme="majorBidi"/>
          <w:color w:val="2F5496" w:themeColor="accent1" w:themeShade="BF"/>
          <w:sz w:val="32"/>
          <w:szCs w:val="32"/>
          <w:lang w:eastAsia="zh-CN"/>
        </w:rPr>
      </w:pPr>
      <w:bookmarkStart w:id="35" w:name="_Toc39585201"/>
      <w:r w:rsidRPr="00BE2C1D">
        <w:rPr>
          <w:rFonts w:asciiTheme="majorHAnsi" w:eastAsiaTheme="majorEastAsia" w:hAnsiTheme="majorHAnsi" w:cstheme="majorBidi"/>
          <w:color w:val="2F5496" w:themeColor="accent1" w:themeShade="BF"/>
          <w:sz w:val="32"/>
          <w:szCs w:val="32"/>
          <w:lang w:eastAsia="zh-CN"/>
        </w:rPr>
        <w:lastRenderedPageBreak/>
        <w:t>Chapter 2: Literature Review</w:t>
      </w:r>
      <w:bookmarkEnd w:id="35"/>
      <w:r w:rsidRPr="00BE2C1D">
        <w:rPr>
          <w:rFonts w:asciiTheme="majorHAnsi" w:eastAsiaTheme="majorEastAsia" w:hAnsiTheme="majorHAnsi" w:cstheme="majorBidi"/>
          <w:color w:val="2F5496" w:themeColor="accent1" w:themeShade="BF"/>
          <w:sz w:val="32"/>
          <w:szCs w:val="32"/>
          <w:lang w:eastAsia="zh-CN"/>
        </w:rPr>
        <w:t xml:space="preserve"> </w:t>
      </w:r>
    </w:p>
    <w:p w14:paraId="0EA7FA48" w14:textId="77777777" w:rsidR="00BE2C1D" w:rsidRPr="00BE2C1D" w:rsidRDefault="00BE2C1D" w:rsidP="00BE2C1D">
      <w:pPr>
        <w:keepNext/>
        <w:keepLines/>
        <w:spacing w:before="40" w:after="0" w:line="360" w:lineRule="auto"/>
        <w:outlineLvl w:val="1"/>
        <w:rPr>
          <w:rFonts w:asciiTheme="majorHAnsi" w:eastAsiaTheme="majorEastAsia" w:hAnsiTheme="majorHAnsi" w:cstheme="majorBidi"/>
          <w:color w:val="2F5496" w:themeColor="accent1" w:themeShade="BF"/>
          <w:sz w:val="26"/>
          <w:szCs w:val="26"/>
          <w:lang w:eastAsia="zh-CN"/>
        </w:rPr>
      </w:pPr>
      <w:bookmarkStart w:id="36" w:name="_Toc39585202"/>
      <w:r w:rsidRPr="00BE2C1D">
        <w:rPr>
          <w:rFonts w:asciiTheme="majorHAnsi" w:eastAsiaTheme="majorEastAsia" w:hAnsiTheme="majorHAnsi" w:cstheme="majorBidi"/>
          <w:color w:val="2F5496" w:themeColor="accent1" w:themeShade="BF"/>
          <w:sz w:val="26"/>
          <w:szCs w:val="26"/>
          <w:lang w:eastAsia="zh-CN"/>
        </w:rPr>
        <w:t>Introduction</w:t>
      </w:r>
      <w:bookmarkEnd w:id="36"/>
      <w:r w:rsidRPr="00BE2C1D">
        <w:rPr>
          <w:rFonts w:asciiTheme="majorHAnsi" w:eastAsiaTheme="majorEastAsia" w:hAnsiTheme="majorHAnsi" w:cstheme="majorBidi"/>
          <w:color w:val="2F5496" w:themeColor="accent1" w:themeShade="BF"/>
          <w:sz w:val="26"/>
          <w:szCs w:val="26"/>
          <w:lang w:eastAsia="zh-CN"/>
        </w:rPr>
        <w:t xml:space="preserve"> </w:t>
      </w:r>
    </w:p>
    <w:p w14:paraId="5D395506" w14:textId="77777777" w:rsidR="00BE2C1D" w:rsidRPr="00BE2C1D" w:rsidRDefault="00BE2C1D" w:rsidP="00BE2C1D">
      <w:pPr>
        <w:spacing w:line="360" w:lineRule="auto"/>
        <w:jc w:val="both"/>
        <w:rPr>
          <w:rFonts w:eastAsiaTheme="minorEastAsia"/>
          <w:lang w:eastAsia="zh-CN"/>
        </w:rPr>
      </w:pPr>
      <w:r w:rsidRPr="00BE2C1D">
        <w:rPr>
          <w:rFonts w:eastAsiaTheme="minorEastAsia"/>
          <w:lang w:eastAsia="zh-CN"/>
        </w:rPr>
        <w:t xml:space="preserve">This chapter has two purposes: firstly, it introduces the theoretical frameworks I draw on, namely Critical Disability Studies (Goodley et al. 2019; Goodley 2013; Meekosha and Shuttleworth 2009) and Disabled Children’s Childhood Studies (Curran and Runswick-Cole 2014; Runswick-Cole et al. 2018a). Secondly, it provides a critical review of the research that was conducted on children and young people with Restricted Growth, considering their wider implications on how they were (and I would propose still are) viewed. </w:t>
      </w:r>
    </w:p>
    <w:p w14:paraId="7B7FC235" w14:textId="77777777" w:rsidR="00BE2C1D" w:rsidRPr="00BE2C1D" w:rsidRDefault="00BE2C1D" w:rsidP="00BE2C1D">
      <w:pPr>
        <w:spacing w:line="360" w:lineRule="auto"/>
        <w:jc w:val="both"/>
        <w:rPr>
          <w:rFonts w:eastAsiaTheme="minorEastAsia"/>
          <w:lang w:eastAsia="zh-CN"/>
        </w:rPr>
      </w:pPr>
      <w:r w:rsidRPr="00BE2C1D">
        <w:rPr>
          <w:rFonts w:eastAsiaTheme="minorEastAsia"/>
          <w:lang w:eastAsia="zh-CN"/>
        </w:rPr>
        <w:t xml:space="preserve">The chapter is divided into three sections. In the first section, I introduce the first theoretical framework - Critical Disability Studies (hereinafter referred to as CDS) - discussing (what led to) their emergence. CDS include a range of approaches for the study of disability and disabled people, moving beyond a strictly materialist analysis (Meekosha and Shuttleworth 2009). I start with considering what a materialist analysis contained and then I turn to other approaches that aimed to expand the scope of the analysis to include ‘the carnal, the discursive, the psychological, the cultural’ dimensions of disability (Meekosha and Shuttleworth 2009: 50). The social relational model and the critical realist, the phenomenological, the post-structuralist and the new materialist approaches are presented as means for addressing the above dimensions. Then, I outline the rationale(s) for choosing CDS as the theoretical framework for this thesis. </w:t>
      </w:r>
    </w:p>
    <w:p w14:paraId="6F4A7532" w14:textId="77777777" w:rsidR="00BE2C1D" w:rsidRPr="00BE2C1D" w:rsidRDefault="00BE2C1D" w:rsidP="00BE2C1D">
      <w:pPr>
        <w:spacing w:line="360" w:lineRule="auto"/>
        <w:jc w:val="both"/>
        <w:rPr>
          <w:rFonts w:eastAsiaTheme="minorEastAsia"/>
          <w:lang w:eastAsia="zh-CN"/>
        </w:rPr>
      </w:pPr>
      <w:r w:rsidRPr="00BE2C1D">
        <w:rPr>
          <w:rFonts w:eastAsiaTheme="minorEastAsia"/>
          <w:lang w:eastAsia="zh-CN"/>
        </w:rPr>
        <w:t xml:space="preserve">The second section starts with an overview of how disabled childhoods have been researched and theorised, since the participants of this research were disabled young people. A range of approaches are considered, some of which are identical with the ones discussed previously e.g. social relational and poststructuralist/CDS approaches to disabled childhoods. Following this overview is a discussion of the emergence of Disabled Children’s Childhood Studies (hereinafter referred to as DCCS) as a distinct approach for the study of disabled childhoods and youth (Curran and Runswick-Cole 2014), an approach that I also adopt for this research.      </w:t>
      </w:r>
    </w:p>
    <w:p w14:paraId="167EE871" w14:textId="77777777" w:rsidR="00BE2C1D" w:rsidRPr="00BE2C1D" w:rsidRDefault="00BE2C1D" w:rsidP="00BE2C1D">
      <w:pPr>
        <w:spacing w:line="360" w:lineRule="auto"/>
        <w:jc w:val="both"/>
        <w:rPr>
          <w:rFonts w:eastAsiaTheme="minorEastAsia"/>
          <w:lang w:eastAsia="zh-CN"/>
        </w:rPr>
      </w:pPr>
      <w:r w:rsidRPr="00BE2C1D">
        <w:rPr>
          <w:rFonts w:eastAsiaTheme="minorEastAsia"/>
          <w:lang w:eastAsia="zh-CN"/>
        </w:rPr>
        <w:t>In the third section, I review the empirical research that was carried out on young people with RG, presenting a range of studies from various disciplines, such as Psychology, Education and Medicine. Then, I discuss critiques of those studies at a methodological level e.g. sampling and their problematic implications, such as the medicalisation and pharmaceuticalisation of disabled childhoods (Mills 2014) and of RG (Morrison 2015). A final subsection follows, including sociological studies that discuss heightism as an unacknowledged form of discrimination and how it played out in the context of schools. Finally, I discuss my use of the ‘plunder as a method’ (Hughes et al. 2012: 315), meaning how my eclectic theoretical approach is applied to the analyses chapters.</w:t>
      </w:r>
    </w:p>
    <w:p w14:paraId="1DA7F279" w14:textId="77777777" w:rsidR="00BE2C1D" w:rsidRPr="00BE2C1D" w:rsidRDefault="00BE2C1D" w:rsidP="00BE2C1D">
      <w:pPr>
        <w:keepNext/>
        <w:keepLines/>
        <w:spacing w:before="40" w:after="0" w:line="360" w:lineRule="auto"/>
        <w:outlineLvl w:val="1"/>
        <w:rPr>
          <w:rFonts w:asciiTheme="majorHAnsi" w:eastAsiaTheme="majorEastAsia" w:hAnsiTheme="majorHAnsi" w:cstheme="majorBidi"/>
          <w:color w:val="2F5496" w:themeColor="accent1" w:themeShade="BF"/>
          <w:sz w:val="26"/>
          <w:szCs w:val="26"/>
          <w:lang w:eastAsia="zh-CN"/>
        </w:rPr>
      </w:pPr>
      <w:bookmarkStart w:id="37" w:name="_Toc39585203"/>
      <w:r w:rsidRPr="00BE2C1D">
        <w:rPr>
          <w:rFonts w:asciiTheme="majorHAnsi" w:eastAsiaTheme="majorEastAsia" w:hAnsiTheme="majorHAnsi" w:cstheme="majorBidi"/>
          <w:color w:val="2F5496" w:themeColor="accent1" w:themeShade="BF"/>
          <w:sz w:val="26"/>
          <w:szCs w:val="26"/>
          <w:lang w:eastAsia="zh-CN"/>
        </w:rPr>
        <w:lastRenderedPageBreak/>
        <w:t>Introducing Critical disability studies: setting out the theoretical landscape</w:t>
      </w:r>
      <w:bookmarkEnd w:id="37"/>
      <w:r w:rsidRPr="00BE2C1D">
        <w:rPr>
          <w:rFonts w:asciiTheme="majorHAnsi" w:eastAsiaTheme="majorEastAsia" w:hAnsiTheme="majorHAnsi" w:cstheme="majorBidi"/>
          <w:color w:val="2F5496" w:themeColor="accent1" w:themeShade="BF"/>
          <w:sz w:val="26"/>
          <w:szCs w:val="26"/>
          <w:lang w:eastAsia="zh-CN"/>
        </w:rPr>
        <w:t xml:space="preserve"> </w:t>
      </w:r>
    </w:p>
    <w:p w14:paraId="4F0DC101" w14:textId="77777777" w:rsidR="00BE2C1D" w:rsidRPr="00BE2C1D" w:rsidRDefault="00BE2C1D" w:rsidP="00BE2C1D">
      <w:pPr>
        <w:spacing w:line="360" w:lineRule="auto"/>
        <w:ind w:left="720"/>
        <w:jc w:val="both"/>
        <w:rPr>
          <w:rFonts w:eastAsiaTheme="minorEastAsia"/>
          <w:sz w:val="20"/>
          <w:szCs w:val="20"/>
          <w:lang w:eastAsia="zh-CN"/>
        </w:rPr>
      </w:pPr>
      <w:r w:rsidRPr="00BE2C1D">
        <w:rPr>
          <w:rFonts w:eastAsiaTheme="minorEastAsia"/>
          <w:sz w:val="20"/>
          <w:szCs w:val="20"/>
          <w:lang w:eastAsia="zh-CN"/>
        </w:rPr>
        <w:t xml:space="preserve">If late-twentieth-century disability studies were associated with establishing the factors that led to the structural, economic and cultural exclusion of people with sensory, physical and cognitive impairments, then disability studies in the current century might be seen as a time of developing nuanced theoretical responses to these factors. The politicization of disabled people is at the heart of these developments (Goodley 2013: 631). </w:t>
      </w:r>
    </w:p>
    <w:p w14:paraId="5DB23447" w14:textId="77777777" w:rsidR="00BE2C1D" w:rsidRPr="00BE2C1D" w:rsidRDefault="00BE2C1D" w:rsidP="00BE2C1D">
      <w:pPr>
        <w:spacing w:line="360" w:lineRule="auto"/>
        <w:jc w:val="both"/>
        <w:rPr>
          <w:rFonts w:eastAsiaTheme="minorEastAsia"/>
          <w:lang w:eastAsia="zh-CN"/>
        </w:rPr>
      </w:pPr>
      <w:r w:rsidRPr="00BE2C1D">
        <w:rPr>
          <w:rFonts w:eastAsiaTheme="minorEastAsia"/>
          <w:lang w:eastAsia="zh-CN"/>
        </w:rPr>
        <w:t>This section functions as a ‘crash course’ in CDS (Goodley 2013, 2016), considering their differences from British Disability Studies (Meekosha and Shuttleworth 2009; Goodley et al. 2019; Flynn 2019), and their various theoretical branches, which are relevant to this thesis. The emergence of CDS</w:t>
      </w:r>
      <w:r w:rsidRPr="00BE2C1D">
        <w:rPr>
          <w:rFonts w:eastAsiaTheme="minorEastAsia"/>
          <w:vertAlign w:val="superscript"/>
          <w:lang w:eastAsia="zh-CN"/>
        </w:rPr>
        <w:footnoteReference w:id="9"/>
      </w:r>
      <w:r w:rsidRPr="00BE2C1D">
        <w:rPr>
          <w:rFonts w:eastAsiaTheme="minorEastAsia"/>
          <w:lang w:eastAsia="zh-CN"/>
        </w:rPr>
        <w:t xml:space="preserve"> has been traced from 2000 onwards (Goodley 2013; Meekosha and Shuttleworth 2009; Vehmas and Watson 2014) and has been described as an ‘interdisciplinary field’ (Goodley et al. 2019: 974) and a ‘trans-disciplinary space’ (Goodley 2013: 632). A range of reasons for their emergence have been identified, some</w:t>
      </w:r>
      <w:r w:rsidRPr="00BE2C1D">
        <w:rPr>
          <w:rFonts w:eastAsiaTheme="minorEastAsia"/>
          <w:vertAlign w:val="superscript"/>
          <w:lang w:eastAsia="zh-CN"/>
        </w:rPr>
        <w:footnoteReference w:id="10"/>
      </w:r>
      <w:r w:rsidRPr="00BE2C1D">
        <w:rPr>
          <w:rFonts w:eastAsiaTheme="minorEastAsia"/>
          <w:lang w:eastAsia="zh-CN"/>
        </w:rPr>
        <w:t xml:space="preserve"> of which were the following: </w:t>
      </w:r>
    </w:p>
    <w:p w14:paraId="188C7DBC" w14:textId="77777777" w:rsidR="00BE2C1D" w:rsidRPr="00BE2C1D" w:rsidRDefault="00BE2C1D" w:rsidP="00BE2C1D">
      <w:pPr>
        <w:numPr>
          <w:ilvl w:val="0"/>
          <w:numId w:val="6"/>
        </w:numPr>
        <w:spacing w:line="360" w:lineRule="auto"/>
        <w:contextualSpacing/>
        <w:jc w:val="both"/>
        <w:rPr>
          <w:rFonts w:eastAsiaTheme="minorEastAsia"/>
          <w:lang w:eastAsia="zh-CN"/>
        </w:rPr>
      </w:pPr>
      <w:r w:rsidRPr="00BE2C1D">
        <w:rPr>
          <w:rFonts w:eastAsiaTheme="minorEastAsia"/>
          <w:lang w:eastAsia="zh-CN"/>
        </w:rPr>
        <w:t xml:space="preserve">CDS was partly ‘an outcome of the tensions that surfaced as a reaction to more authoritarian Marxism and economic determinism associated with the social model’ (Meekosha and Shuttleworth 2009: 50). The materialist social model is discussed later, but it is worth mentioning here that CDS went beyond a materialist analysis of disability to </w:t>
      </w:r>
      <w:r w:rsidRPr="00BE2C1D">
        <w:rPr>
          <w:rFonts w:ascii="Calibri" w:eastAsiaTheme="minorEastAsia" w:hAnsi="Calibri" w:cs="Calibri"/>
          <w:lang w:eastAsia="zh-CN"/>
        </w:rPr>
        <w:t>consider ‘the psychological, cultural, discursive and carnal’ (Meekosha and Shuttleworth 2009: 50) dimensions of disability. However, CDS did not propose abandoning the attention to the economic structures (Goodley 2013), as suggested by certain scholars (Flynn 2017; Watson and Vehmas 2014).</w:t>
      </w:r>
      <w:r w:rsidRPr="00BE2C1D">
        <w:rPr>
          <w:rFonts w:ascii="Calibri" w:eastAsiaTheme="minorEastAsia" w:hAnsi="Calibri" w:cs="Calibri"/>
          <w:b/>
          <w:bCs/>
          <w:lang w:eastAsia="zh-CN"/>
        </w:rPr>
        <w:t xml:space="preserve"> </w:t>
      </w:r>
    </w:p>
    <w:p w14:paraId="60C04506" w14:textId="77777777" w:rsidR="00BE2C1D" w:rsidRPr="00BE2C1D" w:rsidRDefault="00BE2C1D" w:rsidP="00BE2C1D">
      <w:pPr>
        <w:numPr>
          <w:ilvl w:val="0"/>
          <w:numId w:val="6"/>
        </w:numPr>
        <w:spacing w:line="360" w:lineRule="auto"/>
        <w:contextualSpacing/>
        <w:jc w:val="both"/>
        <w:rPr>
          <w:rFonts w:eastAsiaTheme="minorEastAsia"/>
          <w:lang w:eastAsia="zh-CN"/>
        </w:rPr>
      </w:pPr>
      <w:r w:rsidRPr="00BE2C1D">
        <w:rPr>
          <w:rFonts w:eastAsiaTheme="minorEastAsia"/>
          <w:lang w:eastAsia="zh-CN"/>
        </w:rPr>
        <w:t xml:space="preserve">The second reason had to do with the impact of poststructuralist and post-conventional theory on disability theory (Goodley et al. 2019; Meekosha and Shuttleworth 2009; Shildrick 2013). For instance, modernist binaries of the materialist analysis e.g. the distinction between impairment and disability (further discussed in the next section) were questioned and new theories, such as feminism, queer and crip theory and critical race and post-colonial theory were adopted to better understand the complexity of disability. </w:t>
      </w:r>
    </w:p>
    <w:p w14:paraId="4B24EC11" w14:textId="77777777" w:rsidR="00BE2C1D" w:rsidRPr="00BE2C1D" w:rsidRDefault="00BE2C1D" w:rsidP="00BE2C1D">
      <w:pPr>
        <w:numPr>
          <w:ilvl w:val="0"/>
          <w:numId w:val="6"/>
        </w:numPr>
        <w:spacing w:line="360" w:lineRule="auto"/>
        <w:contextualSpacing/>
        <w:jc w:val="both"/>
        <w:rPr>
          <w:rFonts w:eastAsiaTheme="minorEastAsia"/>
          <w:lang w:eastAsia="zh-CN"/>
        </w:rPr>
      </w:pPr>
      <w:r w:rsidRPr="00BE2C1D">
        <w:rPr>
          <w:rFonts w:eastAsiaTheme="minorEastAsia"/>
          <w:lang w:eastAsia="zh-CN"/>
        </w:rPr>
        <w:t xml:space="preserve">The adoption of the above theories also had to do with the role of intersectionality in the experience of disability, which constituted the third reason for the emergence of CDS (Ellis et al. 2019; Goodley 2014). As Meekosha and Shuttleworth (2009: 55) maintained: </w:t>
      </w:r>
    </w:p>
    <w:p w14:paraId="62812FCD" w14:textId="77777777" w:rsidR="00BE2C1D" w:rsidRPr="00BE2C1D" w:rsidRDefault="00BE2C1D" w:rsidP="00BE2C1D">
      <w:pPr>
        <w:spacing w:line="360" w:lineRule="auto"/>
        <w:ind w:left="1440"/>
        <w:contextualSpacing/>
        <w:jc w:val="both"/>
        <w:rPr>
          <w:rFonts w:eastAsiaTheme="minorEastAsia"/>
          <w:lang w:eastAsia="zh-CN"/>
        </w:rPr>
      </w:pPr>
      <w:r w:rsidRPr="00BE2C1D">
        <w:rPr>
          <w:rFonts w:eastAsiaTheme="minorEastAsia"/>
          <w:sz w:val="20"/>
          <w:szCs w:val="20"/>
          <w:lang w:eastAsia="zh-CN"/>
        </w:rPr>
        <w:lastRenderedPageBreak/>
        <w:t xml:space="preserve">The sheer diversity of disabled people - that is, the variety and degrees of their impairments and their intersection with other relevant social categories of experience - demands a much broader and contextual interrogation of their restrictions. To that effect, CDS draws from a much more eclectic mix of critical theories than earlier work in disability studies. </w:t>
      </w:r>
    </w:p>
    <w:p w14:paraId="1113AD55" w14:textId="0648C5DB" w:rsidR="00BE2C1D" w:rsidRPr="00BE2C1D" w:rsidRDefault="00BE2C1D" w:rsidP="00BE2C1D">
      <w:pPr>
        <w:spacing w:line="360" w:lineRule="auto"/>
        <w:jc w:val="both"/>
        <w:rPr>
          <w:rFonts w:eastAsiaTheme="minorEastAsia"/>
          <w:lang w:eastAsia="zh-CN"/>
        </w:rPr>
      </w:pPr>
      <w:r w:rsidRPr="00BE2C1D">
        <w:rPr>
          <w:rFonts w:eastAsiaTheme="minorEastAsia"/>
          <w:lang w:eastAsia="zh-CN"/>
        </w:rPr>
        <w:t xml:space="preserve">Having discussed some of the reasons for the emergence of Critical Disability Studies, I move on to discuss their different theoretical branches. I start with a review of the materialist social model of disability developed in the United Kingdom (Barnes 2012; Oliver 1990), which constituted the core of British Disability Studies, and then I discuss the theoretical expansions/reactions to it, including the social relational model (Thomas 2007, 2012), the critical realist approach (Watson 2012a; Williams 1999), the phenomenological approach (Hughes and Paterson 1997; Michalko and Titchosky 2011), the poststructuralist approach (Shildrick 2013) and the new materialist approach (Feeley 2016, 2019).  </w:t>
      </w:r>
    </w:p>
    <w:p w14:paraId="3AED51E6" w14:textId="77777777" w:rsidR="00BE2C1D" w:rsidRPr="00BE2C1D" w:rsidRDefault="00BE2C1D" w:rsidP="00BE2C1D">
      <w:pPr>
        <w:keepNext/>
        <w:keepLines/>
        <w:spacing w:before="40" w:after="0" w:line="360" w:lineRule="auto"/>
        <w:outlineLvl w:val="2"/>
        <w:rPr>
          <w:rFonts w:asciiTheme="majorHAnsi" w:eastAsiaTheme="majorEastAsia" w:hAnsiTheme="majorHAnsi" w:cstheme="majorBidi"/>
          <w:color w:val="1F3763" w:themeColor="accent1" w:themeShade="7F"/>
          <w:sz w:val="24"/>
          <w:szCs w:val="24"/>
          <w:lang w:eastAsia="zh-CN"/>
        </w:rPr>
      </w:pPr>
      <w:bookmarkStart w:id="38" w:name="_Toc37963511"/>
      <w:bookmarkStart w:id="39" w:name="_Toc39337320"/>
      <w:bookmarkStart w:id="40" w:name="_Toc39340070"/>
      <w:bookmarkStart w:id="41" w:name="_Toc39585204"/>
      <w:r w:rsidRPr="00BE2C1D">
        <w:rPr>
          <w:rFonts w:asciiTheme="majorHAnsi" w:eastAsiaTheme="majorEastAsia" w:hAnsiTheme="majorHAnsi" w:cstheme="majorBidi"/>
          <w:color w:val="1F3763" w:themeColor="accent1" w:themeShade="7F"/>
          <w:sz w:val="24"/>
          <w:szCs w:val="24"/>
          <w:lang w:eastAsia="zh-CN"/>
        </w:rPr>
        <w:t>The Materialist Social Model</w:t>
      </w:r>
      <w:bookmarkEnd w:id="38"/>
      <w:bookmarkEnd w:id="39"/>
      <w:bookmarkEnd w:id="40"/>
      <w:bookmarkEnd w:id="41"/>
      <w:r w:rsidRPr="00BE2C1D">
        <w:rPr>
          <w:rFonts w:asciiTheme="majorHAnsi" w:eastAsiaTheme="majorEastAsia" w:hAnsiTheme="majorHAnsi" w:cstheme="majorBidi"/>
          <w:color w:val="1F3763" w:themeColor="accent1" w:themeShade="7F"/>
          <w:sz w:val="24"/>
          <w:szCs w:val="24"/>
          <w:lang w:eastAsia="zh-CN"/>
        </w:rPr>
        <w:t xml:space="preserve"> </w:t>
      </w:r>
    </w:p>
    <w:p w14:paraId="3D6BAAFD" w14:textId="77777777" w:rsidR="00BE2C1D" w:rsidRPr="00BE2C1D" w:rsidRDefault="00BE2C1D" w:rsidP="00BE2C1D">
      <w:pPr>
        <w:spacing w:line="360" w:lineRule="auto"/>
        <w:jc w:val="both"/>
        <w:rPr>
          <w:rFonts w:eastAsiaTheme="minorEastAsia"/>
          <w:lang w:eastAsia="zh-CN"/>
        </w:rPr>
      </w:pPr>
      <w:r w:rsidRPr="00BE2C1D">
        <w:rPr>
          <w:rFonts w:eastAsiaTheme="minorEastAsia"/>
          <w:lang w:eastAsia="zh-CN"/>
        </w:rPr>
        <w:t>Disability was traditionally understood as an ‘individual’s problem’ and a ‘personal tragedy’ (Barnes 2012; Oliver 1990), strictly discussed in biomedical terms. This view of disability then justified and legitimated the oppression disabled people endured, which took different forms, such as their exclusion from the job market and from public spaces (Oliver 1990). In reaction to this view of disability and in line with other oppressed groups in the 1960s who were claiming their rights (e.g. women, LGBTQ and black people), disabled activists turned the gaze back to society and argued for understanding disability in social terms. The Union of Physically Impaired against Segregation (UPIAS 1976: 3) argued that ‘It is society which disables physically impaired people. Disability is something imposed on top of our impairments by the way we are unnecessarily isolated and excluded from full participation in society’. Following this, disabled academics (Filkenstein 1980; Oliver 1983) employed a materialist analysis of the social causes of disability, which came to be known as the social model of disability (Oliver 1990). In doing so, they followed the analytical distinction between impairment and disability, which UPIAS had drawn, and suggested that ‘the social model insists [that] disablement has nothing to do with the body. It is a consequence of social oppression’ (Oliver 1996: 35). The focus of analysis then shifted from the individual’s body to the ‘social and environmental barriers such as inaccessible buildings and transport, discriminatory attitudes and negative cultural stereotypes’ (Barnes and Mercer 2003: 1).</w:t>
      </w:r>
    </w:p>
    <w:p w14:paraId="668B7BDB" w14:textId="77777777" w:rsidR="00BE2C1D" w:rsidRPr="00BE2C1D" w:rsidRDefault="00BE2C1D" w:rsidP="00BE2C1D">
      <w:pPr>
        <w:spacing w:line="360" w:lineRule="auto"/>
        <w:jc w:val="both"/>
        <w:rPr>
          <w:rFonts w:eastAsiaTheme="minorEastAsia"/>
          <w:lang w:eastAsia="zh-CN"/>
        </w:rPr>
      </w:pPr>
      <w:r w:rsidRPr="00BE2C1D">
        <w:rPr>
          <w:rFonts w:eastAsiaTheme="minorEastAsia"/>
          <w:lang w:eastAsia="zh-CN"/>
        </w:rPr>
        <w:t xml:space="preserve">As Paterson and Hughes (2000: 35) proposed, </w:t>
      </w:r>
      <w:r w:rsidRPr="00BE2C1D">
        <w:rPr>
          <w:rFonts w:asciiTheme="majorHAnsi" w:eastAsiaTheme="majorEastAsia" w:hAnsiTheme="majorHAnsi" w:cstheme="majorBidi"/>
          <w:sz w:val="24"/>
          <w:szCs w:val="24"/>
          <w:lang w:eastAsia="zh-CN"/>
        </w:rPr>
        <w:t>‘</w:t>
      </w:r>
      <w:r w:rsidRPr="00BE2C1D">
        <w:rPr>
          <w:rFonts w:eastAsiaTheme="minorEastAsia"/>
          <w:lang w:eastAsia="zh-CN"/>
        </w:rPr>
        <w:t xml:space="preserve">This dualistic view of the social and the biological as binary opposites is one of the maxims on which disabilities studies is founded.’ While it did make sense at the time for disability activism and Disability Studies (hereinafter referred to as DS) to rely on this binary to fight against the oppression of disabled people, this ostracisation of impairment and of the body was also problematic (ibid). For instance, Hughes and Paterson (1997: 330) proposed that ‘The </w:t>
      </w:r>
      <w:r w:rsidRPr="00BE2C1D">
        <w:rPr>
          <w:rFonts w:eastAsiaTheme="minorEastAsia"/>
          <w:lang w:eastAsia="zh-CN"/>
        </w:rPr>
        <w:lastRenderedPageBreak/>
        <w:t xml:space="preserve">distinction between disability and impairment de-medicalises disability, but simultaneously leaves the impaired body in the exclusive jurisdiction of medical hermeneutics’. The social model orthodoxy triggered polarisation among DS scholars, with the materialist social modelists defending their positions (Oliver 2013), some proposing a revision or an extension of the social model (Thomas 2004) and others suggesting abandoning it (Shakespeare and Watson 2001). In the next section, I explore some of these positions. </w:t>
      </w:r>
    </w:p>
    <w:p w14:paraId="101B797F" w14:textId="77777777" w:rsidR="00BE2C1D" w:rsidRPr="00BE2C1D" w:rsidRDefault="00BE2C1D" w:rsidP="00BE2C1D">
      <w:pPr>
        <w:keepNext/>
        <w:keepLines/>
        <w:spacing w:before="40" w:after="0" w:line="360" w:lineRule="auto"/>
        <w:outlineLvl w:val="2"/>
        <w:rPr>
          <w:rFonts w:asciiTheme="majorHAnsi" w:eastAsiaTheme="majorEastAsia" w:hAnsiTheme="majorHAnsi" w:cstheme="majorBidi"/>
          <w:color w:val="1F3763" w:themeColor="accent1" w:themeShade="7F"/>
          <w:sz w:val="24"/>
          <w:szCs w:val="24"/>
          <w:lang w:eastAsia="zh-CN"/>
        </w:rPr>
      </w:pPr>
      <w:bookmarkStart w:id="42" w:name="_Toc37963512"/>
      <w:bookmarkStart w:id="43" w:name="_Toc39337321"/>
      <w:bookmarkStart w:id="44" w:name="_Toc39340071"/>
      <w:bookmarkStart w:id="45" w:name="_Toc39585205"/>
      <w:r w:rsidRPr="00BE2C1D">
        <w:rPr>
          <w:rFonts w:asciiTheme="majorHAnsi" w:eastAsiaTheme="majorEastAsia" w:hAnsiTheme="majorHAnsi" w:cstheme="majorBidi"/>
          <w:color w:val="1F3763" w:themeColor="accent1" w:themeShade="7F"/>
          <w:sz w:val="24"/>
          <w:szCs w:val="24"/>
          <w:lang w:eastAsia="zh-CN"/>
        </w:rPr>
        <w:t>The Social Relational Model</w:t>
      </w:r>
      <w:bookmarkEnd w:id="42"/>
      <w:bookmarkEnd w:id="43"/>
      <w:bookmarkEnd w:id="44"/>
      <w:bookmarkEnd w:id="45"/>
      <w:r w:rsidRPr="00BE2C1D">
        <w:rPr>
          <w:rFonts w:asciiTheme="majorHAnsi" w:eastAsiaTheme="majorEastAsia" w:hAnsiTheme="majorHAnsi" w:cstheme="majorBidi"/>
          <w:color w:val="1F3763" w:themeColor="accent1" w:themeShade="7F"/>
          <w:sz w:val="24"/>
          <w:szCs w:val="24"/>
          <w:lang w:eastAsia="zh-CN"/>
        </w:rPr>
        <w:t xml:space="preserve"> </w:t>
      </w:r>
    </w:p>
    <w:p w14:paraId="0910B70F" w14:textId="77777777" w:rsidR="00BE2C1D" w:rsidRPr="00BE2C1D" w:rsidRDefault="00BE2C1D" w:rsidP="00BE2C1D">
      <w:pPr>
        <w:spacing w:line="360" w:lineRule="auto"/>
        <w:jc w:val="both"/>
        <w:rPr>
          <w:rFonts w:ascii="Calibri" w:eastAsiaTheme="minorEastAsia" w:hAnsi="Calibri" w:cs="Calibri"/>
          <w:bCs/>
          <w:lang w:eastAsia="zh-CN"/>
        </w:rPr>
      </w:pPr>
      <w:r w:rsidRPr="00BE2C1D">
        <w:rPr>
          <w:rFonts w:eastAsiaTheme="minorEastAsia"/>
          <w:lang w:eastAsia="zh-CN"/>
        </w:rPr>
        <w:t xml:space="preserve">As argued earlier, one of the main tenets of the materialist social model was the distinction between impairment and disability. Feminist DS scholars (Crow, 1996; French, 1993; Morris, 1991) critiqued the social model on the basis that the individual experiences of impairment were left out as well as that other axis of identities, such as sex, gender and race and their impact on the experience of disability were not taken into consideration. Materialists DS scholars were quite dismissive of such critiques, discussing the reflections on impairment experiences as ‘sentimental biography’ (Barnes 1998), which risked re-medicalising and re-psychologising disability. Nevertheless, this delegitimization of the psychological aspect was equally, if not more, dangerous, because it deemed illegitimate the psychological experiences of disabled people, which were also part of their lives (Galvin 2003; Watermeyer and Swartz 2008). Here I am focusing on the work of the materialist feminist Thomas and her call to ‘rescue’ a social relational model (ibid: 2004) through which the psycho-emotional dimensions of disability could be acknowledged and Reeve’s (2002, 2004, 2006, 2012) extension of the discussion of psycho-emotional disablism. </w:t>
      </w:r>
    </w:p>
    <w:p w14:paraId="614B7D95" w14:textId="77777777" w:rsidR="00BE2C1D" w:rsidRPr="00BE2C1D" w:rsidRDefault="00BE2C1D" w:rsidP="00BE2C1D">
      <w:pPr>
        <w:spacing w:line="360" w:lineRule="auto"/>
        <w:jc w:val="both"/>
        <w:rPr>
          <w:rFonts w:eastAsiaTheme="minorEastAsia"/>
          <w:lang w:eastAsia="zh-CN"/>
        </w:rPr>
      </w:pPr>
      <w:r w:rsidRPr="00BE2C1D">
        <w:rPr>
          <w:rFonts w:eastAsiaTheme="minorEastAsia"/>
          <w:lang w:eastAsia="zh-CN"/>
        </w:rPr>
        <w:t xml:space="preserve">Within the social relational model, disablism was understood as ‘a form of social oppression involving the social imposition of restrictions of activity on people with impairments and the socially engendered undermining of their psycho-emotional well-being’ (Thomas 2007: 73). Unlike the social model, which focused predominantly on structural disablism (e.g. inaccessible structures), the social relational approach called for attention to be paid on the psycho-emotional dimensions of disablism, which Reeve (2004) considered to be far more restricting. Reeve (2004) discussed how Thomas’ definition of disablism integrated both structural disablism and psycho-emotional disablism, paying attention to the barriers to what disabled people could do (barriers to doing) and could be (barriers to being, such as </w:t>
      </w:r>
      <w:r w:rsidRPr="00BE2C1D">
        <w:rPr>
          <w:rFonts w:ascii="Calibri" w:eastAsiaTheme="minorEastAsia" w:hAnsi="Calibri" w:cs="Calibri"/>
          <w:bCs/>
          <w:lang w:eastAsia="zh-CN"/>
        </w:rPr>
        <w:t>barriers to ‘self-esteem, personal confidence and ontological security’ (Thomas 2007: 72)</w:t>
      </w:r>
      <w:r w:rsidRPr="00BE2C1D">
        <w:rPr>
          <w:rFonts w:eastAsiaTheme="minorEastAsia"/>
          <w:lang w:eastAsia="zh-CN"/>
        </w:rPr>
        <w:t xml:space="preserve"> respectively (Reeve 2012). While distinct, Reeve (2004: 90) proposed that these two forms of disablism operate in conjunction, ‘further increasing the level of exclusion and material disadvantage experienced by people with impairments’ (Reeve 2004: 90).  </w:t>
      </w:r>
    </w:p>
    <w:p w14:paraId="281DB3BE" w14:textId="77777777" w:rsidR="00BE2C1D" w:rsidRPr="00BE2C1D" w:rsidRDefault="00BE2C1D" w:rsidP="00BE2C1D">
      <w:pPr>
        <w:spacing w:line="360" w:lineRule="auto"/>
        <w:jc w:val="both"/>
        <w:rPr>
          <w:rFonts w:ascii="Calibri" w:eastAsiaTheme="minorEastAsia" w:hAnsi="Calibri" w:cs="Calibri"/>
          <w:bCs/>
          <w:lang w:eastAsia="zh-CN"/>
        </w:rPr>
      </w:pPr>
      <w:r w:rsidRPr="00BE2C1D">
        <w:rPr>
          <w:rFonts w:eastAsiaTheme="minorEastAsia"/>
          <w:lang w:eastAsia="zh-CN"/>
        </w:rPr>
        <w:lastRenderedPageBreak/>
        <w:t xml:space="preserve">Moreover, </w:t>
      </w:r>
      <w:r w:rsidRPr="00BE2C1D">
        <w:rPr>
          <w:rFonts w:ascii="Calibri" w:eastAsiaTheme="minorEastAsia" w:hAnsi="Calibri" w:cs="Calibri"/>
          <w:bCs/>
          <w:lang w:eastAsia="zh-CN"/>
        </w:rPr>
        <w:t xml:space="preserve">Reeve (2012) distinguished between two forms of psycho-emotional disablism: direct and indirect. Direct psycho-emotional disablism is relational in terms of emerging out of the disabled person’s relationship with others or with themselves. In the former case, it has to do with the hostile reactions of strangers to disabled people and the ontological invalidation of their body (Hughes 2007). The latter relates to ‘internalised oppression’ (ibid: 81), which has to do with the internalisation of prejudices against disability by the disabled person, resulting in self-invalidation. Indirect psycho-emotional disablism, on the other hand, considers the psycho-emotional impact of structural disablism. For instance, Reeve (2012) referred to the feelings of frustration when disabled people found themselves excluded by inaccessible buildings, which conveyed the message that they were ‘out of place’ (Kitchin 1998: 345). </w:t>
      </w:r>
    </w:p>
    <w:p w14:paraId="1685481B" w14:textId="77777777" w:rsidR="00BE2C1D" w:rsidRPr="00BE2C1D" w:rsidRDefault="00BE2C1D" w:rsidP="00BE2C1D">
      <w:pPr>
        <w:spacing w:line="360" w:lineRule="auto"/>
        <w:jc w:val="both"/>
        <w:rPr>
          <w:rFonts w:eastAsiaTheme="minorEastAsia"/>
          <w:lang w:eastAsia="zh-CN"/>
        </w:rPr>
      </w:pPr>
      <w:r w:rsidRPr="00BE2C1D">
        <w:rPr>
          <w:rFonts w:eastAsiaTheme="minorEastAsia"/>
          <w:lang w:eastAsia="zh-CN"/>
        </w:rPr>
        <w:t xml:space="preserve">The importance of the social relational model was that not only did it recognise and speak of psycho-emotional disablism, but such experiences were analysed sociologically and were treated as aspects of social oppression (Thomas 1999; Reeve 2012). Besides drawing the attention to the psycho-emotional dimensions of disability, Thomas (2012: 211) also introduced the term impairment effects, which she defined as </w:t>
      </w:r>
    </w:p>
    <w:p w14:paraId="122C039C" w14:textId="77777777" w:rsidR="00BE2C1D" w:rsidRPr="00BE2C1D" w:rsidRDefault="00BE2C1D" w:rsidP="00BE2C1D">
      <w:pPr>
        <w:spacing w:line="360" w:lineRule="auto"/>
        <w:ind w:left="720"/>
        <w:jc w:val="both"/>
        <w:rPr>
          <w:rFonts w:eastAsiaTheme="minorEastAsia"/>
          <w:sz w:val="20"/>
          <w:szCs w:val="20"/>
          <w:lang w:eastAsia="zh-CN"/>
        </w:rPr>
      </w:pPr>
      <w:r w:rsidRPr="00BE2C1D">
        <w:rPr>
          <w:rFonts w:eastAsiaTheme="minorEastAsia"/>
          <w:sz w:val="20"/>
          <w:szCs w:val="20"/>
          <w:lang w:eastAsia="zh-CN"/>
        </w:rPr>
        <w:t>the direct and unavoidable impacts that ‘impairments’ (physical, sensory, intellectual, emotional) have on individuals’ embodied functioning in the social world. Impairments and impairment effects are always biosocial and culturally constructed in character and may occur at any stage in the life course.</w:t>
      </w:r>
    </w:p>
    <w:p w14:paraId="3D933C4F" w14:textId="77777777" w:rsidR="00BE2C1D" w:rsidRPr="00BE2C1D" w:rsidRDefault="00BE2C1D" w:rsidP="00BE2C1D">
      <w:pPr>
        <w:spacing w:line="360" w:lineRule="auto"/>
        <w:jc w:val="both"/>
        <w:rPr>
          <w:rFonts w:eastAsiaTheme="minorEastAsia"/>
          <w:lang w:eastAsia="zh-CN"/>
        </w:rPr>
      </w:pPr>
      <w:r w:rsidRPr="00BE2C1D">
        <w:rPr>
          <w:rFonts w:eastAsiaTheme="minorEastAsia"/>
          <w:lang w:eastAsia="zh-CN"/>
        </w:rPr>
        <w:t xml:space="preserve">With this term, Thomas (2004) intended to acknowledge the ‘real’ impact that impairment has on disabled people rather than remaining silent about impairment on the whole. This biosocial nature of impairment was what DS scholars who embraced critical realism also tried to capture, as discussed in the next section. </w:t>
      </w:r>
    </w:p>
    <w:p w14:paraId="547D64DC" w14:textId="77777777" w:rsidR="00BE2C1D" w:rsidRPr="00BE2C1D" w:rsidRDefault="00BE2C1D" w:rsidP="00BE2C1D">
      <w:pPr>
        <w:keepNext/>
        <w:keepLines/>
        <w:spacing w:before="40" w:after="0" w:line="360" w:lineRule="auto"/>
        <w:outlineLvl w:val="2"/>
        <w:rPr>
          <w:rFonts w:asciiTheme="majorHAnsi" w:eastAsiaTheme="majorEastAsia" w:hAnsiTheme="majorHAnsi" w:cstheme="majorBidi"/>
          <w:color w:val="1F3763" w:themeColor="accent1" w:themeShade="7F"/>
          <w:sz w:val="24"/>
          <w:szCs w:val="24"/>
          <w:lang w:eastAsia="zh-CN"/>
        </w:rPr>
      </w:pPr>
      <w:bookmarkStart w:id="46" w:name="_Toc37963513"/>
      <w:bookmarkStart w:id="47" w:name="_Toc39337322"/>
      <w:bookmarkStart w:id="48" w:name="_Toc39340072"/>
      <w:bookmarkStart w:id="49" w:name="_Toc39585206"/>
      <w:r w:rsidRPr="00BE2C1D">
        <w:rPr>
          <w:rFonts w:asciiTheme="majorHAnsi" w:eastAsiaTheme="majorEastAsia" w:hAnsiTheme="majorHAnsi" w:cstheme="majorBidi"/>
          <w:color w:val="1F3763" w:themeColor="accent1" w:themeShade="7F"/>
          <w:sz w:val="24"/>
          <w:szCs w:val="24"/>
          <w:lang w:eastAsia="zh-CN"/>
        </w:rPr>
        <w:t>The Critical Realist Approach</w:t>
      </w:r>
      <w:bookmarkEnd w:id="46"/>
      <w:bookmarkEnd w:id="47"/>
      <w:bookmarkEnd w:id="48"/>
      <w:bookmarkEnd w:id="49"/>
    </w:p>
    <w:p w14:paraId="699334AB" w14:textId="77777777" w:rsidR="00BE2C1D" w:rsidRPr="00BE2C1D" w:rsidRDefault="00BE2C1D" w:rsidP="00BE2C1D">
      <w:pPr>
        <w:spacing w:line="360" w:lineRule="auto"/>
        <w:jc w:val="both"/>
        <w:rPr>
          <w:rFonts w:eastAsiaTheme="minorEastAsia"/>
          <w:shd w:val="clear" w:color="auto" w:fill="FFFFFF"/>
          <w:lang w:eastAsia="zh-CN"/>
        </w:rPr>
      </w:pPr>
      <w:r w:rsidRPr="00BE2C1D">
        <w:rPr>
          <w:rFonts w:eastAsiaTheme="minorEastAsia"/>
          <w:shd w:val="clear" w:color="auto" w:fill="FFFFFF"/>
          <w:lang w:eastAsia="zh-CN"/>
        </w:rPr>
        <w:t>Some DS scholars were critical of the somatophobia</w:t>
      </w:r>
      <w:r w:rsidRPr="00BE2C1D">
        <w:rPr>
          <w:rFonts w:eastAsiaTheme="minorEastAsia"/>
          <w:shd w:val="clear" w:color="auto" w:fill="FFFFFF"/>
          <w:vertAlign w:val="superscript"/>
          <w:lang w:eastAsia="zh-CN"/>
        </w:rPr>
        <w:t xml:space="preserve"> </w:t>
      </w:r>
      <w:r w:rsidRPr="00BE2C1D">
        <w:rPr>
          <w:rFonts w:eastAsiaTheme="minorEastAsia"/>
          <w:shd w:val="clear" w:color="auto" w:fill="FFFFFF"/>
          <w:lang w:eastAsia="zh-CN"/>
        </w:rPr>
        <w:t xml:space="preserve">(fear of the body) within DS (Willliams 1999) and spoke of the impaired body as an ‘absent presence’ (Shakespeare and Watson 2001). In order to reclaim the ‘missing’ body, they turned to critical realism, particularly Bashkar’s work (1989). According to these authors (Bashkar and Danermark 2006; Brunner 2019; Scambler 2005; Watson 2012a; Williams 1999), critical realism enabled them to   </w:t>
      </w:r>
    </w:p>
    <w:p w14:paraId="4F5881C6" w14:textId="77777777" w:rsidR="00BE2C1D" w:rsidRPr="00BE2C1D" w:rsidRDefault="00BE2C1D" w:rsidP="00BE2C1D">
      <w:pPr>
        <w:numPr>
          <w:ilvl w:val="0"/>
          <w:numId w:val="5"/>
        </w:numPr>
        <w:spacing w:line="360" w:lineRule="auto"/>
        <w:contextualSpacing/>
        <w:jc w:val="both"/>
        <w:rPr>
          <w:rFonts w:eastAsiaTheme="minorEastAsia"/>
          <w:shd w:val="clear" w:color="auto" w:fill="FFFFFF"/>
          <w:lang w:eastAsia="zh-CN"/>
        </w:rPr>
      </w:pPr>
      <w:r w:rsidRPr="00BE2C1D">
        <w:rPr>
          <w:rFonts w:eastAsiaTheme="minorEastAsia"/>
          <w:shd w:val="clear" w:color="auto" w:fill="FFFFFF"/>
          <w:lang w:eastAsia="zh-CN"/>
        </w:rPr>
        <w:t>reclaim the biological body and its embodied feelings e.g. pain, by acknowledging an independent reality.</w:t>
      </w:r>
    </w:p>
    <w:p w14:paraId="11777A39" w14:textId="77777777" w:rsidR="00BE2C1D" w:rsidRPr="00BE2C1D" w:rsidRDefault="00BE2C1D" w:rsidP="00BE2C1D">
      <w:pPr>
        <w:numPr>
          <w:ilvl w:val="0"/>
          <w:numId w:val="5"/>
        </w:numPr>
        <w:spacing w:line="360" w:lineRule="auto"/>
        <w:contextualSpacing/>
        <w:jc w:val="both"/>
        <w:rPr>
          <w:rFonts w:eastAsiaTheme="minorEastAsia"/>
          <w:shd w:val="clear" w:color="auto" w:fill="FFFFFF"/>
          <w:lang w:eastAsia="zh-CN"/>
        </w:rPr>
      </w:pPr>
      <w:r w:rsidRPr="00BE2C1D">
        <w:rPr>
          <w:rFonts w:eastAsiaTheme="minorEastAsia"/>
          <w:shd w:val="clear" w:color="auto" w:fill="FFFFFF"/>
          <w:lang w:eastAsia="zh-CN"/>
        </w:rPr>
        <w:t xml:space="preserve">avoid the reductionism of other approaches (e.g. the economic reductionism of the materialist social model or the discursive reductionism of the poststructuralist approach) by considering </w:t>
      </w:r>
      <w:r w:rsidRPr="00BE2C1D">
        <w:rPr>
          <w:rFonts w:eastAsiaTheme="minorEastAsia"/>
          <w:shd w:val="clear" w:color="auto" w:fill="FFFFFF"/>
          <w:lang w:eastAsia="zh-CN"/>
        </w:rPr>
        <w:lastRenderedPageBreak/>
        <w:t>the interactions between different dimensions: socio-economic, biological, cultural, hence, allowing for a non-reductionist approach.</w:t>
      </w:r>
    </w:p>
    <w:p w14:paraId="2F98A8C3" w14:textId="77777777" w:rsidR="00BE2C1D" w:rsidRPr="00BE2C1D" w:rsidRDefault="00BE2C1D" w:rsidP="00BE2C1D">
      <w:pPr>
        <w:spacing w:line="360" w:lineRule="auto"/>
        <w:jc w:val="both"/>
        <w:rPr>
          <w:rFonts w:eastAsiaTheme="minorEastAsia"/>
          <w:shd w:val="clear" w:color="auto" w:fill="FFFFFF"/>
          <w:lang w:eastAsia="zh-CN"/>
        </w:rPr>
      </w:pPr>
      <w:r w:rsidRPr="00BE2C1D">
        <w:rPr>
          <w:rFonts w:eastAsiaTheme="minorEastAsia"/>
          <w:shd w:val="clear" w:color="auto" w:fill="FFFFFF"/>
          <w:lang w:eastAsia="zh-CN"/>
        </w:rPr>
        <w:t xml:space="preserve">The body in pain was a common theme that critical realists referred to as ‘a powerful reminder of this prediscursive realm’ (Williams 1999: 814). Shakespeare (2013: 73), for instance, identified as one of critical realism’s advantages its ‘acceptance of an external reality: rather than resorting to relativism or extreme constructionism, critical realism attends to the independent existence of bodies which sometimes hurt’. Moreover, a critical realist perspective did not relegate disability (and impairment) to one realm, it also explored the interactions between different ones. For instance, Bashkar and Danermark (2006: 288) borrowed the idea of a ‘laminated system’ to explore the interactions between the different realms:  </w:t>
      </w:r>
    </w:p>
    <w:p w14:paraId="0E8F0255" w14:textId="77777777" w:rsidR="00BE2C1D" w:rsidRPr="00BE2C1D" w:rsidRDefault="00BE2C1D" w:rsidP="00BE2C1D">
      <w:pPr>
        <w:spacing w:line="360" w:lineRule="auto"/>
        <w:ind w:left="720"/>
        <w:jc w:val="both"/>
        <w:rPr>
          <w:rFonts w:eastAsiaTheme="minorEastAsia" w:cstheme="minorHAnsi"/>
          <w:sz w:val="20"/>
          <w:szCs w:val="20"/>
          <w:shd w:val="clear" w:color="auto" w:fill="FFFFFF"/>
          <w:lang w:eastAsia="zh-CN"/>
        </w:rPr>
      </w:pPr>
      <w:r w:rsidRPr="00BE2C1D">
        <w:rPr>
          <w:rFonts w:eastAsiaTheme="minorEastAsia" w:cstheme="minorHAnsi"/>
          <w:sz w:val="20"/>
          <w:szCs w:val="20"/>
          <w:shd w:val="clear" w:color="auto" w:fill="FFFFFF"/>
          <w:lang w:eastAsia="zh-CN"/>
        </w:rPr>
        <w:t>Now, typically in the genesis of a social event such as disability, or the formation or functioning  of a social thing, or kind of thing or level of determination, physical, biological, physiological or medical/clinical, psychological, psycho-social, socio-material, socio-cultural and normative elements may all be involved. If this is the case, then we may talk of understanding disability as a “</w:t>
      </w:r>
      <w:r w:rsidRPr="00BE2C1D">
        <w:rPr>
          <w:rFonts w:eastAsiaTheme="minorEastAsia" w:cstheme="minorHAnsi"/>
          <w:i/>
          <w:iCs/>
          <w:spacing w:val="-8"/>
          <w:sz w:val="20"/>
          <w:szCs w:val="20"/>
          <w:bdr w:val="none" w:sz="0" w:space="0" w:color="auto" w:frame="1"/>
          <w:shd w:val="clear" w:color="auto" w:fill="FFFFFF"/>
          <w:lang w:eastAsia="zh-CN"/>
        </w:rPr>
        <w:t>laminated system”</w:t>
      </w:r>
      <w:r w:rsidRPr="00BE2C1D">
        <w:rPr>
          <w:rFonts w:eastAsiaTheme="minorEastAsia" w:cstheme="minorHAnsi"/>
          <w:sz w:val="20"/>
          <w:szCs w:val="20"/>
          <w:shd w:val="clear" w:color="auto" w:fill="FFFFFF"/>
          <w:lang w:eastAsia="zh-CN"/>
        </w:rPr>
        <w:t>, and to the extent that it is necessarily the case, of a </w:t>
      </w:r>
      <w:r w:rsidRPr="00BE2C1D">
        <w:rPr>
          <w:rFonts w:eastAsiaTheme="minorEastAsia" w:cstheme="minorHAnsi"/>
          <w:i/>
          <w:iCs/>
          <w:spacing w:val="-8"/>
          <w:sz w:val="20"/>
          <w:szCs w:val="20"/>
          <w:bdr w:val="none" w:sz="0" w:space="0" w:color="auto" w:frame="1"/>
          <w:shd w:val="clear" w:color="auto" w:fill="FFFFFF"/>
          <w:lang w:eastAsia="zh-CN"/>
        </w:rPr>
        <w:t>necessarily laminated system</w:t>
      </w:r>
      <w:r w:rsidRPr="00BE2C1D">
        <w:rPr>
          <w:rFonts w:eastAsiaTheme="minorEastAsia" w:cstheme="minorHAnsi"/>
          <w:sz w:val="20"/>
          <w:szCs w:val="20"/>
          <w:shd w:val="clear" w:color="auto" w:fill="FFFFFF"/>
          <w:lang w:eastAsia="zh-CN"/>
        </w:rPr>
        <w:t xml:space="preserve"> (ibid).</w:t>
      </w:r>
    </w:p>
    <w:p w14:paraId="1F5920EA" w14:textId="77777777" w:rsidR="00BE2C1D" w:rsidRPr="00BE2C1D" w:rsidRDefault="00BE2C1D" w:rsidP="00BE2C1D">
      <w:pPr>
        <w:spacing w:line="360" w:lineRule="auto"/>
        <w:jc w:val="both"/>
        <w:rPr>
          <w:rFonts w:eastAsiaTheme="minorEastAsia"/>
          <w:shd w:val="clear" w:color="auto" w:fill="FFFFFF"/>
          <w:lang w:eastAsia="zh-CN"/>
        </w:rPr>
      </w:pPr>
      <w:r w:rsidRPr="00BE2C1D">
        <w:rPr>
          <w:rFonts w:eastAsiaTheme="minorEastAsia"/>
          <w:shd w:val="clear" w:color="auto" w:fill="FFFFFF"/>
          <w:lang w:eastAsia="zh-CN"/>
        </w:rPr>
        <w:t>Watson (2012a: 112) also proposed that ‘critical realism allows for an approach that gives appropriate weight to the diﬀerent dimensions of the disability experience’</w:t>
      </w:r>
      <w:r w:rsidRPr="00BE2C1D">
        <w:rPr>
          <w:rFonts w:eastAsiaTheme="minorEastAsia"/>
          <w:sz w:val="20"/>
          <w:szCs w:val="20"/>
          <w:shd w:val="clear" w:color="auto" w:fill="FFFFFF"/>
          <w:lang w:eastAsia="zh-CN"/>
        </w:rPr>
        <w:t xml:space="preserve">. </w:t>
      </w:r>
      <w:r w:rsidRPr="00BE2C1D">
        <w:rPr>
          <w:rFonts w:eastAsiaTheme="minorEastAsia"/>
          <w:lang w:eastAsia="zh-CN"/>
        </w:rPr>
        <w:t>However, this turn to critical realism and the ‘reality’ of the impairment did not escape critique. For instance, Goodley (2016: 138) argued:</w:t>
      </w:r>
    </w:p>
    <w:p w14:paraId="39508707" w14:textId="77777777" w:rsidR="00BE2C1D" w:rsidRPr="00BE2C1D" w:rsidRDefault="00BE2C1D" w:rsidP="00BE2C1D">
      <w:pPr>
        <w:spacing w:line="360" w:lineRule="auto"/>
        <w:ind w:left="720"/>
        <w:jc w:val="both"/>
        <w:rPr>
          <w:rFonts w:ascii="Calibri" w:eastAsia="Calibri" w:hAnsi="Calibri" w:cs="Calibri"/>
          <w:color w:val="000000"/>
          <w:sz w:val="20"/>
          <w:szCs w:val="20"/>
          <w:lang w:eastAsia="zh-CN"/>
        </w:rPr>
      </w:pPr>
      <w:r w:rsidRPr="00BE2C1D">
        <w:rPr>
          <w:rFonts w:ascii="Calibri" w:eastAsia="Calibri" w:hAnsi="Calibri" w:cs="Calibri"/>
          <w:color w:val="000000"/>
          <w:sz w:val="20"/>
          <w:szCs w:val="20"/>
          <w:lang w:eastAsia="zh-CN"/>
        </w:rPr>
        <w:t xml:space="preserve">This realist knowledge comes from medical, biological and psychological persuasions that seek to denote deviations from constructed embodied or cognitive norms. [...]Any appeal to the realities of impairment will inevitably draw in discourses of deficiency that might seem natural but are wholly social. </w:t>
      </w:r>
    </w:p>
    <w:p w14:paraId="6158DF19" w14:textId="77777777" w:rsidR="00BE2C1D" w:rsidRPr="00BE2C1D" w:rsidRDefault="00BE2C1D" w:rsidP="00BE2C1D">
      <w:pPr>
        <w:spacing w:line="360" w:lineRule="auto"/>
        <w:jc w:val="both"/>
        <w:rPr>
          <w:rFonts w:ascii="Calibri" w:eastAsia="Calibri" w:hAnsi="Calibri" w:cs="Calibri"/>
          <w:color w:val="000000"/>
          <w:sz w:val="20"/>
          <w:szCs w:val="20"/>
          <w:lang w:eastAsia="zh-CN"/>
        </w:rPr>
      </w:pPr>
      <w:r w:rsidRPr="00BE2C1D">
        <w:rPr>
          <w:rFonts w:ascii="Calibri" w:eastAsia="Calibri" w:hAnsi="Calibri" w:cs="Calibri"/>
          <w:color w:val="000000"/>
          <w:lang w:eastAsia="zh-CN"/>
        </w:rPr>
        <w:t>Therefore, while critical realism avoided biological reductionism (Shakespeare and Watson 2010), it still perpetuated biological essentialism</w:t>
      </w:r>
      <w:r w:rsidRPr="00BE2C1D">
        <w:rPr>
          <w:rFonts w:ascii="Calibri" w:eastAsia="Calibri" w:hAnsi="Calibri" w:cs="Calibri"/>
          <w:color w:val="000000"/>
          <w:vertAlign w:val="superscript"/>
          <w:lang w:eastAsia="zh-CN"/>
        </w:rPr>
        <w:footnoteReference w:id="11"/>
      </w:r>
      <w:r w:rsidRPr="00BE2C1D">
        <w:rPr>
          <w:rFonts w:ascii="Calibri" w:eastAsia="Calibri" w:hAnsi="Calibri" w:cs="Calibri"/>
          <w:color w:val="000000"/>
          <w:lang w:eastAsia="zh-CN"/>
        </w:rPr>
        <w:t xml:space="preserve"> (Galvin 2003; Feeley 2016). An approach that did not fall into the same trap was the phenomenological one, which is discussed next. </w:t>
      </w:r>
      <w:r w:rsidRPr="00BE2C1D">
        <w:rPr>
          <w:rFonts w:ascii="Calibri" w:eastAsia="Calibri" w:hAnsi="Calibri" w:cs="Calibri"/>
          <w:color w:val="000000"/>
          <w:sz w:val="20"/>
          <w:szCs w:val="20"/>
          <w:lang w:eastAsia="zh-CN"/>
        </w:rPr>
        <w:t xml:space="preserve"> </w:t>
      </w:r>
    </w:p>
    <w:p w14:paraId="2973ADD5" w14:textId="77777777" w:rsidR="00BE2C1D" w:rsidRPr="00BE2C1D" w:rsidRDefault="00BE2C1D" w:rsidP="00BE2C1D">
      <w:pPr>
        <w:keepNext/>
        <w:keepLines/>
        <w:spacing w:before="40" w:after="0" w:line="360" w:lineRule="auto"/>
        <w:outlineLvl w:val="2"/>
        <w:rPr>
          <w:rFonts w:asciiTheme="majorHAnsi" w:eastAsiaTheme="majorEastAsia" w:hAnsiTheme="majorHAnsi" w:cstheme="majorBidi"/>
          <w:color w:val="1F3763" w:themeColor="accent1" w:themeShade="7F"/>
          <w:sz w:val="24"/>
          <w:szCs w:val="24"/>
          <w:lang w:eastAsia="zh-CN"/>
        </w:rPr>
      </w:pPr>
      <w:bookmarkStart w:id="50" w:name="_Toc37963514"/>
      <w:bookmarkStart w:id="51" w:name="_Toc39337323"/>
      <w:bookmarkStart w:id="52" w:name="_Toc39340073"/>
      <w:bookmarkStart w:id="53" w:name="_Toc39585207"/>
      <w:r w:rsidRPr="00BE2C1D">
        <w:rPr>
          <w:rFonts w:asciiTheme="majorHAnsi" w:eastAsiaTheme="majorEastAsia" w:hAnsiTheme="majorHAnsi" w:cstheme="majorBidi"/>
          <w:color w:val="1F3763" w:themeColor="accent1" w:themeShade="7F"/>
          <w:sz w:val="24"/>
          <w:szCs w:val="24"/>
          <w:lang w:eastAsia="zh-CN"/>
        </w:rPr>
        <w:t>The Phenomenological Approach</w:t>
      </w:r>
      <w:bookmarkEnd w:id="50"/>
      <w:bookmarkEnd w:id="51"/>
      <w:bookmarkEnd w:id="52"/>
      <w:bookmarkEnd w:id="53"/>
      <w:r w:rsidRPr="00BE2C1D">
        <w:rPr>
          <w:rFonts w:asciiTheme="majorHAnsi" w:eastAsiaTheme="majorEastAsia" w:hAnsiTheme="majorHAnsi" w:cstheme="majorBidi"/>
          <w:color w:val="1F3763" w:themeColor="accent1" w:themeShade="7F"/>
          <w:sz w:val="24"/>
          <w:szCs w:val="24"/>
          <w:lang w:eastAsia="zh-CN"/>
        </w:rPr>
        <w:t xml:space="preserve"> </w:t>
      </w:r>
    </w:p>
    <w:p w14:paraId="55E07F7F" w14:textId="77777777" w:rsidR="00BE2C1D" w:rsidRPr="00BE2C1D" w:rsidRDefault="00BE2C1D" w:rsidP="00BE2C1D">
      <w:pPr>
        <w:spacing w:line="360" w:lineRule="auto"/>
        <w:jc w:val="both"/>
        <w:rPr>
          <w:rFonts w:eastAsiaTheme="minorEastAsia"/>
          <w:lang w:eastAsia="zh-CN"/>
        </w:rPr>
      </w:pPr>
      <w:r w:rsidRPr="00BE2C1D">
        <w:rPr>
          <w:rFonts w:eastAsiaTheme="minorEastAsia"/>
          <w:lang w:eastAsia="zh-CN"/>
        </w:rPr>
        <w:t xml:space="preserve">A different framework through which the impaired body was reclaimed was proposed by DS scholars who engaged with phenomenology (Hughes and Paterson 1997, 2000; Michalko and Titckosky 2011; Paterson and Hughes 1999). Turning to the work of Merleau-Ponty, phenomenological disability studies focused on the impaired body-being-in-the- world (Leben), enabling a ‘consideration of the </w:t>
      </w:r>
      <w:r w:rsidRPr="00BE2C1D">
        <w:rPr>
          <w:rFonts w:eastAsiaTheme="minorEastAsia"/>
          <w:lang w:eastAsia="zh-CN"/>
        </w:rPr>
        <w:lastRenderedPageBreak/>
        <w:t>carnal politics of everyday life’ (Paterson and Hughes 1999: 602). Here I focus specifically on the phenomenological approaches developed by Hughes and Paterson (1997), Paterson and Hughes (1999) and by Titchkosky and Michalko (2012). Paterson and Hughes (1999: 597) proposed a ‘radical phenomenological approach to the impaired body’ as a way to escape both phenomenology’s disablism</w:t>
      </w:r>
      <w:r w:rsidRPr="00BE2C1D">
        <w:rPr>
          <w:rFonts w:eastAsiaTheme="minorEastAsia"/>
          <w:vertAlign w:val="superscript"/>
          <w:lang w:eastAsia="zh-CN"/>
        </w:rPr>
        <w:footnoteReference w:id="12"/>
      </w:r>
      <w:r w:rsidRPr="00BE2C1D">
        <w:rPr>
          <w:rFonts w:eastAsiaTheme="minorEastAsia"/>
          <w:lang w:eastAsia="zh-CN"/>
        </w:rPr>
        <w:t xml:space="preserve"> and DS’ disembodied approaches to disability (e.g. Britain’s social model of disability). The authors engaged with Leder’s (1990) concept of dys-appearance, which I briefly explain before engaging with their phenomenological approach. </w:t>
      </w:r>
    </w:p>
    <w:p w14:paraId="2088110B" w14:textId="77777777" w:rsidR="00BE2C1D" w:rsidRPr="00BE2C1D" w:rsidRDefault="00BE2C1D" w:rsidP="00BE2C1D">
      <w:pPr>
        <w:spacing w:line="360" w:lineRule="auto"/>
        <w:jc w:val="both"/>
        <w:rPr>
          <w:rFonts w:eastAsiaTheme="minorEastAsia"/>
          <w:lang w:eastAsia="zh-CN"/>
        </w:rPr>
      </w:pPr>
      <w:r w:rsidRPr="00BE2C1D">
        <w:rPr>
          <w:rFonts w:eastAsiaTheme="minorEastAsia"/>
          <w:lang w:eastAsia="zh-CN"/>
        </w:rPr>
        <w:t>In his book ‘The Absent Body’, Leder (1990: 1) maintained that ‘While in one sense the body is the most abiding and inescapable presence in our lives, it is also essentially characterised by absence. That is, one’s own body is rarely the thematic object of experience’. Whilst the body remains absent in the corporeal background, specific physiological or social experiences trigger it to ‘dys-appear’, that is to ‘emerge problematically into direct consciousness’ (ibid: 84). Dys-appearance then refers to the appearance of the body as a problem, when it functions as an impediment to fulfil a task for instance. To conceptualise this re-appearance of the body, Leder uses the Greek prefix ‘dys’ (which points to something bad e.g. dysfunctional) in front of the verb ‘appear’ to discuss how the body dys-appears, that is how the body is experienced as ‘that which stands in the way, an obstinate force interfering with our projects’ (ibid: 84). Unlike disappearance, which indicates ‘that which never shows itself for structural reasons’, dys-appearance signifies a condition during which the body is experienced as an ‘alien presence’ (ibid: 74).</w:t>
      </w:r>
    </w:p>
    <w:p w14:paraId="1F0287AC" w14:textId="4E39409D" w:rsidR="00BE2C1D" w:rsidRPr="00BE2C1D" w:rsidRDefault="00BE2C1D" w:rsidP="00BE2C1D">
      <w:pPr>
        <w:spacing w:line="360" w:lineRule="auto"/>
        <w:jc w:val="both"/>
        <w:rPr>
          <w:rFonts w:eastAsiaTheme="minorEastAsia"/>
          <w:lang w:eastAsia="zh-CN"/>
        </w:rPr>
      </w:pPr>
      <w:r w:rsidRPr="00BE2C1D">
        <w:rPr>
          <w:rFonts w:eastAsiaTheme="minorEastAsia"/>
          <w:lang w:eastAsia="zh-CN"/>
        </w:rPr>
        <w:t>He distinguished between two forms of dys-appearance: ‘organic’ dys-appearance and ‘social’ dys-appearance. Organic dys-appearance pointed to the biological dysfunction of the body and included different forms, such as pain, fatigue and disability, which provoked the body to appear as a problem, since it failed to perform as required or expected (ibid: 97). The second mode of dys-appearance was the social one, whereby body’s appearance as a problem resulted from the alienating, objectifying gaze of the Other (Leder 1990). Social dys-appearance was ‘initiated by a discrepancy in power’ and the body’s susceptibility to the Other’s intentions (ibid: 98). Drawing on Foucault (1977), Leder perceived the body as ‘the setting of a microphysics of power (ibid: 98) and explored the internali</w:t>
      </w:r>
      <w:r w:rsidR="0018526D">
        <w:rPr>
          <w:rFonts w:eastAsiaTheme="minorEastAsia"/>
          <w:lang w:eastAsia="zh-CN"/>
        </w:rPr>
        <w:t>s</w:t>
      </w:r>
      <w:r w:rsidRPr="00BE2C1D">
        <w:rPr>
          <w:rFonts w:eastAsiaTheme="minorEastAsia"/>
          <w:lang w:eastAsia="zh-CN"/>
        </w:rPr>
        <w:t xml:space="preserve">ation of the objectifying gaze, which he regarded as the principle of social dys-appearance. Instances of social dys-appearance included the relationship between doctor and patient or student and teacher. </w:t>
      </w:r>
    </w:p>
    <w:p w14:paraId="3F1B9F8F" w14:textId="77777777" w:rsidR="00BE2C1D" w:rsidRPr="00BE2C1D" w:rsidRDefault="00BE2C1D" w:rsidP="00BE2C1D">
      <w:pPr>
        <w:spacing w:line="360" w:lineRule="auto"/>
        <w:jc w:val="both"/>
        <w:rPr>
          <w:rFonts w:eastAsiaTheme="minorEastAsia"/>
          <w:lang w:eastAsia="zh-CN"/>
        </w:rPr>
      </w:pPr>
      <w:r w:rsidRPr="00BE2C1D">
        <w:rPr>
          <w:rFonts w:eastAsiaTheme="minorEastAsia"/>
          <w:lang w:eastAsia="zh-CN"/>
        </w:rPr>
        <w:lastRenderedPageBreak/>
        <w:t>Paterson and Hughes (1999: 603) adopted and adapted Leder’s concept of dys-appearance to discuss how ‘the impaired body ‘dys-appears’ as a consequence of the profound oppressions of everyday life’.  They stated:</w:t>
      </w:r>
    </w:p>
    <w:p w14:paraId="21C51521" w14:textId="77777777" w:rsidR="00BE2C1D" w:rsidRPr="00BE2C1D" w:rsidRDefault="00BE2C1D" w:rsidP="00BE2C1D">
      <w:pPr>
        <w:spacing w:line="360" w:lineRule="auto"/>
        <w:ind w:left="720"/>
        <w:rPr>
          <w:rFonts w:eastAsiaTheme="minorEastAsia"/>
          <w:sz w:val="20"/>
          <w:szCs w:val="20"/>
          <w:lang w:eastAsia="zh-CN"/>
        </w:rPr>
      </w:pPr>
      <w:r w:rsidRPr="00BE2C1D">
        <w:rPr>
          <w:rFonts w:eastAsiaTheme="minorEastAsia"/>
          <w:sz w:val="20"/>
          <w:szCs w:val="20"/>
          <w:lang w:eastAsia="zh-CN"/>
        </w:rPr>
        <w:t>One can argue - applying Leder - that the disablist and disabling socio-spatial environment produces a vivid, but unwanted consciousness of one’s impaired body. Here, the body undergoes a mode of 'dysappearance' which is not biological, but social.   For example, in the context of the ubiquitous disabling barriers of the spatial environment, one’ s impaired body `dys-appears’ - is made present as a thematic focus of attention (ibid: 603).</w:t>
      </w:r>
    </w:p>
    <w:p w14:paraId="20C86736" w14:textId="77777777" w:rsidR="00BE2C1D" w:rsidRPr="00BE2C1D" w:rsidRDefault="00BE2C1D" w:rsidP="00BE2C1D">
      <w:pPr>
        <w:spacing w:line="360" w:lineRule="auto"/>
        <w:rPr>
          <w:rFonts w:eastAsiaTheme="minorEastAsia"/>
          <w:lang w:eastAsia="zh-CN"/>
        </w:rPr>
      </w:pPr>
      <w:r w:rsidRPr="00BE2C1D">
        <w:rPr>
          <w:rFonts w:eastAsiaTheme="minorEastAsia"/>
          <w:lang w:eastAsia="zh-CN"/>
        </w:rPr>
        <w:t xml:space="preserve">The main point in the above quote was that dys-appearance was not the outcome of biological dysfunction, as argued by Leder, but of a disablist and disabling socio-spatial environment. It was because of such socio-spatial arrangements that </w:t>
      </w:r>
    </w:p>
    <w:p w14:paraId="432C3C63" w14:textId="77777777" w:rsidR="00BE2C1D" w:rsidRPr="00BE2C1D" w:rsidRDefault="00BE2C1D" w:rsidP="00BE2C1D">
      <w:pPr>
        <w:spacing w:line="360" w:lineRule="auto"/>
        <w:ind w:left="720"/>
        <w:jc w:val="both"/>
        <w:rPr>
          <w:rFonts w:eastAsiaTheme="minorEastAsia"/>
          <w:sz w:val="20"/>
          <w:szCs w:val="20"/>
          <w:lang w:eastAsia="zh-CN"/>
        </w:rPr>
      </w:pPr>
      <w:r w:rsidRPr="00BE2C1D">
        <w:rPr>
          <w:rFonts w:eastAsiaTheme="minorEastAsia"/>
          <w:sz w:val="20"/>
          <w:szCs w:val="20"/>
          <w:lang w:eastAsia="zh-CN"/>
        </w:rPr>
        <w:t xml:space="preserve">Unlike the non-impaired body which is customarily ‘unaware of itself until it is confronted by pain, the impaired body is permanently stunned into its own recognition as a consequence of the disablism which permeates everyday life (ibid: 608).     </w:t>
      </w:r>
    </w:p>
    <w:p w14:paraId="13157D88" w14:textId="77777777" w:rsidR="00BE2C1D" w:rsidRPr="00BE2C1D" w:rsidRDefault="00BE2C1D" w:rsidP="00BE2C1D">
      <w:pPr>
        <w:spacing w:line="360" w:lineRule="auto"/>
        <w:jc w:val="both"/>
        <w:rPr>
          <w:rFonts w:eastAsiaTheme="minorEastAsia"/>
          <w:lang w:eastAsia="zh-CN"/>
        </w:rPr>
      </w:pPr>
      <w:r w:rsidRPr="00BE2C1D">
        <w:rPr>
          <w:rFonts w:eastAsiaTheme="minorEastAsia"/>
          <w:lang w:eastAsia="zh-CN"/>
        </w:rPr>
        <w:t xml:space="preserve">As the term ‘socio-spatial’ pointed out, dys-appearance of the impaired body was not only a consequence of physical structures, but of disabling attitudes as well, such as being stared at, made fun of and so on. Such attitudes, though, did not come out of nowhere, but were the product of ‘institutional arrangements, which contextualise relationships in the lifeworld (Paterson and Hughes, 1999: 607). As Paterson and Hughes (1999: 603) argued: </w:t>
      </w:r>
    </w:p>
    <w:p w14:paraId="3A7D7C89" w14:textId="77777777" w:rsidR="00BE2C1D" w:rsidRPr="00BE2C1D" w:rsidRDefault="00BE2C1D" w:rsidP="00BE2C1D">
      <w:pPr>
        <w:spacing w:line="360" w:lineRule="auto"/>
        <w:ind w:left="720"/>
        <w:jc w:val="both"/>
        <w:rPr>
          <w:rFonts w:eastAsiaTheme="minorEastAsia"/>
          <w:sz w:val="20"/>
          <w:szCs w:val="20"/>
          <w:lang w:eastAsia="zh-CN"/>
        </w:rPr>
      </w:pPr>
      <w:r w:rsidRPr="00BE2C1D">
        <w:rPr>
          <w:rFonts w:eastAsiaTheme="minorEastAsia"/>
          <w:sz w:val="20"/>
          <w:szCs w:val="20"/>
          <w:lang w:eastAsia="zh-CN"/>
        </w:rPr>
        <w:t>Impaired carnality ‘dys-appears’ in the context of intercorporeality and intersubjectivity because it is not recognised or celebrated in social space: it actively presents a challenge to the norms and conventions which inscribe it as ‘abnormal’. The objectification marked by ‘dys-appearance’ is, in itself, a manifest form of oppression.</w:t>
      </w:r>
    </w:p>
    <w:p w14:paraId="7B1F5B19" w14:textId="77777777" w:rsidR="00BE2C1D" w:rsidRPr="00BE2C1D" w:rsidRDefault="00BE2C1D" w:rsidP="00BE2C1D">
      <w:pPr>
        <w:spacing w:line="360" w:lineRule="auto"/>
        <w:jc w:val="both"/>
        <w:rPr>
          <w:rFonts w:eastAsiaTheme="minorEastAsia"/>
          <w:lang w:eastAsia="zh-CN"/>
        </w:rPr>
      </w:pPr>
      <w:r w:rsidRPr="00BE2C1D">
        <w:rPr>
          <w:rFonts w:eastAsiaTheme="minorEastAsia"/>
          <w:lang w:eastAsia="zh-CN"/>
        </w:rPr>
        <w:t xml:space="preserve">Therefore, the impaired body’s dys-appearance was not intracorporeal, as implied in Leder’s understanding of organic dys-appearance, but intercorporeal and intersubjective (Paterson and Hughes 1999). </w:t>
      </w:r>
    </w:p>
    <w:p w14:paraId="7CF6CB49" w14:textId="77777777" w:rsidR="00BE2C1D" w:rsidRPr="00BE2C1D" w:rsidRDefault="00BE2C1D" w:rsidP="00BE2C1D">
      <w:pPr>
        <w:spacing w:line="360" w:lineRule="auto"/>
        <w:jc w:val="both"/>
        <w:rPr>
          <w:rFonts w:eastAsiaTheme="minorEastAsia"/>
          <w:lang w:eastAsia="zh-CN"/>
        </w:rPr>
      </w:pPr>
      <w:r w:rsidRPr="00BE2C1D">
        <w:rPr>
          <w:rFonts w:eastAsiaTheme="minorEastAsia"/>
          <w:lang w:eastAsia="zh-CN"/>
        </w:rPr>
        <w:t xml:space="preserve">A similar argument was developed by Titchkosky and Michalko (2012: 127), whose phenomenological approach aimed to de-naturalise ‘the hegemonic taken-for-granted character of the disabled-as-a-problem frame’. Drawing on Husserl’s (1970) and Schutz’s (1973) phenomenology, the authors interrogated how disability was always already framed as ‘a problem in need of a solution’ (ibid: 127), a framing which was taken for granted and remained unquestioned. In the natural order of things, disability represented that which have gone wrong (Michalko 2009). Titchkosky and Michalko (2012: 140-141) proposed:  </w:t>
      </w:r>
    </w:p>
    <w:p w14:paraId="22E19D71" w14:textId="77777777" w:rsidR="00BE2C1D" w:rsidRPr="00BE2C1D" w:rsidRDefault="00BE2C1D" w:rsidP="00BE2C1D">
      <w:pPr>
        <w:spacing w:line="360" w:lineRule="auto"/>
        <w:ind w:left="720"/>
        <w:jc w:val="both"/>
        <w:rPr>
          <w:rFonts w:eastAsiaTheme="minorEastAsia"/>
          <w:sz w:val="20"/>
          <w:szCs w:val="20"/>
          <w:lang w:eastAsia="zh-CN"/>
        </w:rPr>
      </w:pPr>
      <w:r w:rsidRPr="00BE2C1D">
        <w:rPr>
          <w:rFonts w:eastAsiaTheme="minorEastAsia"/>
          <w:sz w:val="20"/>
          <w:szCs w:val="20"/>
          <w:lang w:eastAsia="zh-CN"/>
        </w:rPr>
        <w:lastRenderedPageBreak/>
        <w:t>The need of a phenomenological approach in disability studies, then, is to understand disability as constituted as a space for critical cultural inquiry regarding the normative order that makes disability always already a problem. And, herein lies the political potential of a phenomenological approach to disability and disability studies - the experience of disability, our own or that of others, becomes the scene where we can frame how we experience embodied existence and thus disability becomes a place where culture can be examined anew, again and again.</w:t>
      </w:r>
    </w:p>
    <w:p w14:paraId="4461BD82" w14:textId="77777777" w:rsidR="00BE2C1D" w:rsidRPr="00BE2C1D" w:rsidRDefault="00BE2C1D" w:rsidP="00BE2C1D">
      <w:pPr>
        <w:spacing w:line="360" w:lineRule="auto"/>
        <w:jc w:val="both"/>
        <w:rPr>
          <w:rFonts w:eastAsiaTheme="minorEastAsia"/>
          <w:lang w:eastAsia="zh-CN"/>
        </w:rPr>
      </w:pPr>
      <w:r w:rsidRPr="00BE2C1D">
        <w:rPr>
          <w:rFonts w:eastAsiaTheme="minorEastAsia"/>
          <w:lang w:eastAsia="zh-CN"/>
        </w:rPr>
        <w:t xml:space="preserve">The political potential of phenomenological disability studies was also recognised by Paterson (2001: 95), as he argued: </w:t>
      </w:r>
    </w:p>
    <w:p w14:paraId="74B00CAC" w14:textId="679EC40A" w:rsidR="00BE2C1D" w:rsidRPr="00BE2C1D" w:rsidRDefault="00BE2C1D" w:rsidP="00BE2C1D">
      <w:pPr>
        <w:spacing w:line="360" w:lineRule="auto"/>
        <w:ind w:left="720"/>
        <w:jc w:val="both"/>
        <w:rPr>
          <w:rFonts w:eastAsiaTheme="minorEastAsia"/>
          <w:sz w:val="20"/>
          <w:szCs w:val="20"/>
          <w:lang w:eastAsia="zh-CN"/>
        </w:rPr>
      </w:pPr>
      <w:r w:rsidRPr="00BE2C1D">
        <w:rPr>
          <w:rFonts w:eastAsiaTheme="minorEastAsia"/>
          <w:sz w:val="20"/>
          <w:szCs w:val="20"/>
          <w:lang w:eastAsia="zh-CN"/>
        </w:rPr>
        <w:t>A phenomenological approach to impairment is not an apolitical discourse. Phenomenology provides the conceptual tools to trace the ways in which oppression and discrimination be</w:t>
      </w:r>
      <w:r w:rsidR="00034349">
        <w:rPr>
          <w:rFonts w:eastAsiaTheme="minorEastAsia"/>
          <w:sz w:val="20"/>
          <w:szCs w:val="20"/>
          <w:lang w:eastAsia="zh-CN"/>
        </w:rPr>
        <w:t>comes</w:t>
      </w:r>
      <w:r w:rsidRPr="00BE2C1D">
        <w:rPr>
          <w:rFonts w:eastAsiaTheme="minorEastAsia"/>
          <w:sz w:val="20"/>
          <w:szCs w:val="20"/>
          <w:lang w:eastAsia="zh-CN"/>
        </w:rPr>
        <w:t xml:space="preserve"> embodied and ‘lived’ through everyday reality. </w:t>
      </w:r>
    </w:p>
    <w:p w14:paraId="20E32AA2" w14:textId="77777777" w:rsidR="00BE2C1D" w:rsidRPr="00BE2C1D" w:rsidRDefault="00BE2C1D" w:rsidP="00BE2C1D">
      <w:pPr>
        <w:spacing w:line="360" w:lineRule="auto"/>
        <w:jc w:val="both"/>
        <w:rPr>
          <w:rFonts w:eastAsiaTheme="minorEastAsia"/>
          <w:lang w:eastAsia="zh-CN"/>
        </w:rPr>
      </w:pPr>
      <w:r w:rsidRPr="00BE2C1D">
        <w:rPr>
          <w:rFonts w:eastAsiaTheme="minorEastAsia"/>
          <w:lang w:eastAsia="zh-CN"/>
        </w:rPr>
        <w:t xml:space="preserve">For Hughes and Paterson (1997: 335): </w:t>
      </w:r>
    </w:p>
    <w:p w14:paraId="45E73DFA" w14:textId="77777777" w:rsidR="00BE2C1D" w:rsidRPr="00BE2C1D" w:rsidRDefault="00BE2C1D" w:rsidP="00BE2C1D">
      <w:pPr>
        <w:spacing w:line="360" w:lineRule="auto"/>
        <w:ind w:left="720"/>
        <w:jc w:val="both"/>
        <w:rPr>
          <w:rFonts w:eastAsiaTheme="minorEastAsia"/>
          <w:sz w:val="20"/>
          <w:szCs w:val="20"/>
          <w:lang w:eastAsia="zh-CN"/>
        </w:rPr>
      </w:pPr>
      <w:r w:rsidRPr="00BE2C1D">
        <w:rPr>
          <w:rFonts w:eastAsiaTheme="minorEastAsia"/>
          <w:sz w:val="20"/>
          <w:szCs w:val="20"/>
          <w:lang w:eastAsia="zh-CN"/>
        </w:rPr>
        <w:t xml:space="preserve">Disability is experienced in, on and through the body, just as impairment is experienced in terms of the personal and cultural narratives that help to constitute its meaning. Impairment and disability meet in the body not as the dualistic clash of inner and outer phenomena, but insofar as impairment structures perceptions about disability and disablement is part of the `felt world’. </w:t>
      </w:r>
    </w:p>
    <w:p w14:paraId="53417157" w14:textId="77777777" w:rsidR="00BE2C1D" w:rsidRPr="00BE2C1D" w:rsidRDefault="00BE2C1D" w:rsidP="00BE2C1D">
      <w:pPr>
        <w:spacing w:line="360" w:lineRule="auto"/>
        <w:jc w:val="both"/>
        <w:rPr>
          <w:rFonts w:eastAsiaTheme="minorEastAsia"/>
          <w:sz w:val="20"/>
          <w:szCs w:val="20"/>
          <w:lang w:eastAsia="zh-CN"/>
        </w:rPr>
      </w:pPr>
      <w:r w:rsidRPr="00BE2C1D">
        <w:rPr>
          <w:rFonts w:eastAsiaTheme="minorEastAsia"/>
          <w:lang w:eastAsia="zh-CN"/>
        </w:rPr>
        <w:t xml:space="preserve">The cultural narratives that shape the meaning of impairment and the problematic distinction between disabled/non-disabled people has been the object of analysis of poststructuralist approaches in DS, to which I turn next.  </w:t>
      </w:r>
    </w:p>
    <w:p w14:paraId="10A6086D" w14:textId="77777777" w:rsidR="00BE2C1D" w:rsidRPr="00BE2C1D" w:rsidRDefault="00BE2C1D" w:rsidP="00BE2C1D">
      <w:pPr>
        <w:keepNext/>
        <w:keepLines/>
        <w:spacing w:before="40" w:after="0" w:line="360" w:lineRule="auto"/>
        <w:outlineLvl w:val="2"/>
        <w:rPr>
          <w:rFonts w:asciiTheme="majorHAnsi" w:eastAsiaTheme="majorEastAsia" w:hAnsiTheme="majorHAnsi" w:cstheme="majorBidi"/>
          <w:color w:val="1F3763" w:themeColor="accent1" w:themeShade="7F"/>
          <w:sz w:val="24"/>
          <w:szCs w:val="24"/>
          <w:lang w:val="fr-FR" w:eastAsia="zh-CN"/>
        </w:rPr>
      </w:pPr>
      <w:bookmarkStart w:id="54" w:name="_Toc37963515"/>
      <w:bookmarkStart w:id="55" w:name="_Toc39337324"/>
      <w:bookmarkStart w:id="56" w:name="_Toc39340074"/>
      <w:bookmarkStart w:id="57" w:name="_Toc39585208"/>
      <w:r w:rsidRPr="00BE2C1D">
        <w:rPr>
          <w:rFonts w:asciiTheme="majorHAnsi" w:eastAsiaTheme="majorEastAsia" w:hAnsiTheme="majorHAnsi" w:cstheme="majorBidi"/>
          <w:color w:val="1F3763" w:themeColor="accent1" w:themeShade="7F"/>
          <w:sz w:val="24"/>
          <w:szCs w:val="24"/>
          <w:lang w:val="fr-FR" w:eastAsia="zh-CN"/>
        </w:rPr>
        <w:t>The Poststructuralist Approach</w:t>
      </w:r>
      <w:bookmarkEnd w:id="54"/>
      <w:bookmarkEnd w:id="55"/>
      <w:bookmarkEnd w:id="56"/>
      <w:bookmarkEnd w:id="57"/>
      <w:r w:rsidRPr="00BE2C1D">
        <w:rPr>
          <w:rFonts w:asciiTheme="majorHAnsi" w:eastAsiaTheme="majorEastAsia" w:hAnsiTheme="majorHAnsi" w:cstheme="majorBidi"/>
          <w:color w:val="1F3763" w:themeColor="accent1" w:themeShade="7F"/>
          <w:sz w:val="24"/>
          <w:szCs w:val="24"/>
          <w:lang w:val="fr-FR" w:eastAsia="zh-CN"/>
        </w:rPr>
        <w:t xml:space="preserve">  </w:t>
      </w:r>
    </w:p>
    <w:p w14:paraId="4C9DEDB4" w14:textId="77777777" w:rsidR="00BE2C1D" w:rsidRPr="00BE2C1D" w:rsidRDefault="00BE2C1D" w:rsidP="00BE2C1D">
      <w:pPr>
        <w:spacing w:line="360" w:lineRule="auto"/>
        <w:ind w:left="720"/>
        <w:jc w:val="both"/>
        <w:rPr>
          <w:rFonts w:eastAsiaTheme="minorEastAsia"/>
          <w:sz w:val="20"/>
          <w:szCs w:val="20"/>
          <w:lang w:eastAsia="zh-CN"/>
        </w:rPr>
      </w:pPr>
      <w:r w:rsidRPr="00BE2C1D">
        <w:rPr>
          <w:rFonts w:eastAsiaTheme="minorEastAsia"/>
          <w:sz w:val="20"/>
          <w:szCs w:val="20"/>
          <w:lang w:eastAsia="zh-CN"/>
        </w:rPr>
        <w:t xml:space="preserve">In British DS, ‘post-modernism’ has become a dumping ground for anything and everything that appears to challenge the orthodoxy of neo-Marxism, historical materialism and the social model. The assumption of this volume is that this failure to engage with post-structuralist and post-modernist thought is to the detriment of DS (Corker and Shakespeare 2002: 13). </w:t>
      </w:r>
    </w:p>
    <w:p w14:paraId="61B4DD64" w14:textId="77777777" w:rsidR="00BE2C1D" w:rsidRPr="00BE2C1D" w:rsidRDefault="00BE2C1D" w:rsidP="00BE2C1D">
      <w:pPr>
        <w:spacing w:line="360" w:lineRule="auto"/>
        <w:jc w:val="both"/>
      </w:pPr>
      <w:r w:rsidRPr="00BE2C1D">
        <w:t>This quote is from the edited volume ‘Disability/Post-modernity: Embodying Disability Theory’ (Corker and Shakespeare 2002), with a range of DS scholars sharing their thoughts about the potential generated from bringing poststructuralist theory into disability theory. Partly, I started with this quote, because some of those who acknowledged the potential of poststructuralism at that controversial time in British DS history were also the ones who wrote against it later (e.g. Shakespeare and Watson</w:t>
      </w:r>
      <w:r w:rsidRPr="00BE2C1D">
        <w:rPr>
          <w:vertAlign w:val="superscript"/>
        </w:rPr>
        <w:footnoteReference w:id="13"/>
      </w:r>
      <w:r w:rsidRPr="00BE2C1D">
        <w:t xml:space="preserve">), as shown at the end of this section. But most importantly, this edited volume signified the </w:t>
      </w:r>
      <w:r w:rsidRPr="00BE2C1D">
        <w:lastRenderedPageBreak/>
        <w:t>re-evaluation of poststructuralist thought in DS, which was also a defining feature of CDS as discussed earlier.</w:t>
      </w:r>
    </w:p>
    <w:p w14:paraId="729E3EB6" w14:textId="733AA099" w:rsidR="00BE2C1D" w:rsidRPr="00BE2C1D" w:rsidRDefault="00BE2C1D" w:rsidP="00BE2C1D">
      <w:pPr>
        <w:spacing w:line="360" w:lineRule="auto"/>
        <w:jc w:val="both"/>
      </w:pPr>
      <w:r w:rsidRPr="00BE2C1D">
        <w:t>Foucault’s and Butler’s poststructuralist approaches have had a great impact on poststructuralist disability studies (Meekosha and Shuttleworth 2009). For instance, Foucault’s box of tools (Allan 1996; Tremain 2005), such as his work on the power/resistance nexus, the Panopticon and surveillance, subjectification and governmentality</w:t>
      </w:r>
      <w:r w:rsidRPr="00BE2C1D">
        <w:rPr>
          <w:vertAlign w:val="superscript"/>
        </w:rPr>
        <w:footnoteReference w:id="14"/>
      </w:r>
      <w:r w:rsidRPr="00BE2C1D">
        <w:t>, were utilised to provide new insights into how disability (and impairment) was produced, managed and experienced.</w:t>
      </w:r>
      <w:r w:rsidRPr="00BE2C1D">
        <w:rPr>
          <w:sz w:val="20"/>
          <w:szCs w:val="20"/>
        </w:rPr>
        <w:t xml:space="preserve"> </w:t>
      </w:r>
      <w:r w:rsidRPr="00BE2C1D">
        <w:rPr>
          <w:rFonts w:eastAsiaTheme="minorEastAsia"/>
          <w:lang w:eastAsia="zh-CN"/>
        </w:rPr>
        <w:t xml:space="preserve">According to Meekosha and Shuttleworth (2009: 57), </w:t>
      </w:r>
    </w:p>
    <w:p w14:paraId="3BD8AFD9" w14:textId="77777777" w:rsidR="00BE2C1D" w:rsidRPr="00BE2C1D" w:rsidRDefault="00BE2C1D" w:rsidP="00BE2C1D">
      <w:pPr>
        <w:spacing w:line="360" w:lineRule="auto"/>
        <w:ind w:left="720"/>
        <w:jc w:val="both"/>
        <w:rPr>
          <w:rFonts w:eastAsiaTheme="minorEastAsia"/>
          <w:sz w:val="20"/>
          <w:szCs w:val="20"/>
          <w:lang w:eastAsia="zh-CN"/>
        </w:rPr>
      </w:pPr>
      <w:r w:rsidRPr="00BE2C1D">
        <w:rPr>
          <w:rFonts w:eastAsiaTheme="minorEastAsia"/>
          <w:sz w:val="20"/>
          <w:szCs w:val="20"/>
          <w:lang w:eastAsia="zh-CN"/>
        </w:rPr>
        <w:t>What makes Foucault’s ideas so useful to CDS is that they perform a radical de-familiarisation of modern institutions and practices as caring and benevolent and reveal technologies and procedures that classify, normalise, manage and control anomalous body-subjects (Foucault, 1978; Burchell et al., 1991).</w:t>
      </w:r>
    </w:p>
    <w:p w14:paraId="02DEE8AF" w14:textId="77777777" w:rsidR="00BE2C1D" w:rsidRPr="00BE2C1D" w:rsidRDefault="00BE2C1D" w:rsidP="00BE2C1D">
      <w:pPr>
        <w:spacing w:line="360" w:lineRule="auto"/>
        <w:jc w:val="both"/>
        <w:rPr>
          <w:rFonts w:eastAsiaTheme="minorEastAsia"/>
          <w:lang w:eastAsia="zh-CN"/>
        </w:rPr>
      </w:pPr>
      <w:r w:rsidRPr="00BE2C1D">
        <w:rPr>
          <w:rFonts w:eastAsiaTheme="minorEastAsia"/>
          <w:lang w:eastAsia="zh-CN"/>
        </w:rPr>
        <w:t xml:space="preserve">Such an institution that classified, produced, normalised and governed such body-subjects for instance, was the school, as discussed by Foucault (1982). Drawing on this work, Allan (1996), for instance, examined how disabled students found themselves under the constant surveillance of school staff members and Holt (2004a, 2007) discussed how disability was socio-spatially (re)produced in schools. Graham and Slee (2008) also interrogated the discourse of inclusive education, questioning why those who need to be included now were excluded in the first place and into what they were invited to be included.   </w:t>
      </w:r>
    </w:p>
    <w:p w14:paraId="3C9134AD" w14:textId="2B300E63" w:rsidR="00BE2C1D" w:rsidRPr="00BE2C1D" w:rsidRDefault="00BE2C1D" w:rsidP="00BE2C1D">
      <w:pPr>
        <w:spacing w:line="360" w:lineRule="auto"/>
        <w:jc w:val="both"/>
        <w:rPr>
          <w:rFonts w:eastAsiaTheme="minorEastAsia"/>
          <w:lang w:eastAsia="zh-CN"/>
        </w:rPr>
      </w:pPr>
      <w:r w:rsidRPr="00BE2C1D">
        <w:rPr>
          <w:rFonts w:eastAsiaTheme="minorEastAsia"/>
          <w:lang w:eastAsia="zh-CN"/>
        </w:rPr>
        <w:t>Moreover, poststructuralist disability studies challenged the binary and essentialist thinking of modernist DS, problematizing distinctions such as disabled/non-disabled. For Shildrick (2013: 40), a poststructuralist approach offered ‘a strategy of queering the norms of embodiment’ and shared ‘a commitment to deconstruct the apparent stability of distinct and bounded categories’. She further argued that ‘The separation and distinction between diverse forms of embodiment is at best an expediency, and at worst a violent imposition of epistemic and/or material power’ (ibid: 34).</w:t>
      </w:r>
      <w:r w:rsidRPr="00BE2C1D">
        <w:t xml:space="preserve"> From a poststructuralist perspective, there is not such a thing as a prediscursive body (Butler 1993), as the body is always and already into discourse</w:t>
      </w:r>
      <w:r w:rsidRPr="00BE2C1D">
        <w:rPr>
          <w:vertAlign w:val="superscript"/>
        </w:rPr>
        <w:footnoteReference w:id="15"/>
      </w:r>
      <w:r w:rsidRPr="00BE2C1D">
        <w:t>. As Goodley (2016: 139) proposed,</w:t>
      </w:r>
      <w:r w:rsidRPr="00BE2C1D">
        <w:rPr>
          <w:sz w:val="20"/>
          <w:szCs w:val="20"/>
        </w:rPr>
        <w:t xml:space="preserve"> ‘</w:t>
      </w:r>
      <w:r w:rsidRPr="00BE2C1D">
        <w:t xml:space="preserve">Discursive disability studies push us to think that even something as apparently real, fleshy and physical as the human body has become materialised through discourse’. The discourses that produce and manage disability </w:t>
      </w:r>
      <w:r w:rsidRPr="00BE2C1D">
        <w:lastRenderedPageBreak/>
        <w:t>(and impairment) become the object of interrogation through what Goodley referred to as a ‘biopolitical analysis’ (ibid: 139).</w:t>
      </w:r>
    </w:p>
    <w:p w14:paraId="299EA60C" w14:textId="6DA4A8BB" w:rsidR="00BE2C1D" w:rsidRPr="00BE2C1D" w:rsidRDefault="00BE2C1D" w:rsidP="00BE2C1D">
      <w:pPr>
        <w:spacing w:line="360" w:lineRule="auto"/>
        <w:jc w:val="both"/>
        <w:rPr>
          <w:rFonts w:eastAsiaTheme="minorEastAsia"/>
          <w:lang w:eastAsia="zh-CN"/>
        </w:rPr>
      </w:pPr>
      <w:r w:rsidRPr="00BE2C1D">
        <w:rPr>
          <w:rFonts w:eastAsiaTheme="minorEastAsia"/>
          <w:lang w:eastAsia="zh-CN"/>
        </w:rPr>
        <w:t>Critiques towards poststructuralist disability studies were developed both by materialists (Barnes 2012) and by scholars who had embraced poststructuralism before and turned to other approaches later, such as critical realism (Shakespeare 2014). The main argument of such critiques was that poststructuralist approaches played down ‘the material reality of disabled people’s lives’ (Barnes 2012: 23) and, therefore, de-radicalised disabilities studies by stirring the attention away from the material forces producing disablement ‘towards a politically benign focus on culture, language, and discourse’. Moreover, this vast interest in discourse and the discursive approach to impairment neglected the visceral experience of impairment (Siebers 2008; Shakespeare 2014). New materialists (Feeley 2016) also referred to the lack of engagement of poststructuralist approaches with materiality, but their discussion of materiality did not engage with Marxist materialism (focusing on the mode of production), but a Deleuzean materialism (explained in the next section). However, new materialists did not propose the abandonment of poststructuralist approaches, but their extension to consider the material (Feeley, 2016). Although I sympathise with the new materialist critiques, I disagree with the materialist and critical realist critiques in relation to poststructuralists approaches holding no political potential. As Goodley (2016: 139) argued, ‘Ethics and politics are at the very epicentre of post-structural theories’.</w:t>
      </w:r>
      <w:r w:rsidRPr="00BE2C1D">
        <w:rPr>
          <w:rFonts w:eastAsiaTheme="minorEastAsia"/>
          <w:b/>
          <w:bCs/>
          <w:lang w:eastAsia="zh-CN"/>
        </w:rPr>
        <w:t xml:space="preserve"> </w:t>
      </w:r>
      <w:r w:rsidRPr="00BE2C1D">
        <w:rPr>
          <w:rFonts w:eastAsiaTheme="minorEastAsia"/>
          <w:lang w:eastAsia="zh-CN"/>
        </w:rPr>
        <w:t xml:space="preserve">It is just a matter that their political potential did not rely on the same identity politics that the former approaches put forward, which had as a basis biological essentialism. </w:t>
      </w:r>
    </w:p>
    <w:p w14:paraId="4654D2A1" w14:textId="77777777" w:rsidR="00BE2C1D" w:rsidRPr="00BE2C1D" w:rsidRDefault="00BE2C1D" w:rsidP="00BE2C1D">
      <w:pPr>
        <w:keepNext/>
        <w:keepLines/>
        <w:spacing w:before="40" w:after="0" w:line="360" w:lineRule="auto"/>
        <w:jc w:val="lowKashida"/>
        <w:outlineLvl w:val="2"/>
        <w:rPr>
          <w:rFonts w:asciiTheme="majorHAnsi" w:eastAsiaTheme="majorEastAsia" w:hAnsiTheme="majorHAnsi" w:cstheme="majorBidi"/>
          <w:color w:val="1F3763" w:themeColor="accent1" w:themeShade="7F"/>
          <w:sz w:val="24"/>
          <w:szCs w:val="24"/>
          <w:lang w:eastAsia="zh-CN"/>
        </w:rPr>
      </w:pPr>
      <w:bookmarkStart w:id="58" w:name="_Toc37963516"/>
      <w:bookmarkStart w:id="59" w:name="_Toc39337325"/>
      <w:bookmarkStart w:id="60" w:name="_Toc39340075"/>
      <w:bookmarkStart w:id="61" w:name="_Toc39585209"/>
      <w:r w:rsidRPr="00BE2C1D">
        <w:rPr>
          <w:rFonts w:asciiTheme="majorHAnsi" w:eastAsiaTheme="majorEastAsia" w:hAnsiTheme="majorHAnsi" w:cstheme="majorBidi"/>
          <w:color w:val="1F3763" w:themeColor="accent1" w:themeShade="7F"/>
          <w:sz w:val="24"/>
          <w:szCs w:val="24"/>
          <w:lang w:eastAsia="zh-CN"/>
        </w:rPr>
        <w:t>The New Materialist Approach</w:t>
      </w:r>
      <w:bookmarkEnd w:id="58"/>
      <w:bookmarkEnd w:id="59"/>
      <w:bookmarkEnd w:id="60"/>
      <w:bookmarkEnd w:id="61"/>
    </w:p>
    <w:p w14:paraId="3F215423" w14:textId="6BC9956B" w:rsidR="00BE2C1D" w:rsidRPr="00BE2C1D" w:rsidRDefault="00BE2C1D" w:rsidP="00BE2C1D">
      <w:pPr>
        <w:spacing w:line="360" w:lineRule="auto"/>
        <w:jc w:val="both"/>
        <w:rPr>
          <w:rFonts w:eastAsiaTheme="minorEastAsia"/>
          <w:lang w:eastAsia="zh-CN"/>
        </w:rPr>
      </w:pPr>
      <w:r w:rsidRPr="00BE2C1D">
        <w:rPr>
          <w:rFonts w:eastAsiaTheme="minorEastAsia"/>
          <w:lang w:eastAsia="zh-CN"/>
        </w:rPr>
        <w:t>In the past fifteen years post-conventional theories (Shildrick 2009) have also been adopted in CDS (Goodley and Runswick-Cole 2013: 4) as a way ‘to reframe the disabled bodies along the lines of capacity, potential, interconnection and possibility.</w:t>
      </w:r>
      <w:r w:rsidRPr="00BE2C1D">
        <w:rPr>
          <w:rFonts w:ascii="Georgia" w:eastAsiaTheme="minorEastAsia" w:hAnsi="Georgia"/>
          <w:color w:val="616161"/>
          <w:spacing w:val="-8"/>
          <w:shd w:val="clear" w:color="auto" w:fill="FFFFFF"/>
          <w:lang w:eastAsia="zh-CN"/>
        </w:rPr>
        <w:t xml:space="preserve"> </w:t>
      </w:r>
      <w:r w:rsidRPr="00BE2C1D">
        <w:rPr>
          <w:rFonts w:eastAsiaTheme="minorEastAsia"/>
          <w:lang w:eastAsia="zh-CN"/>
        </w:rPr>
        <w:t>New fields of inquiry, such as Deleuzian Disability Studies (see Bayliss 2009; Feely 2015; Goodley 2007a, 2007b; Roets 2009; Shildrick 2009; Simmons, Blackmore, and Bayliss 2008, Hickey-Moody, 2009), post-human and dis/human disability studies (Goodley et al. 2014; Goodley et al. 2016; Ktenidis and Goodley 2019) and new materialist disability studies (Feeley 2016, 2019; Gibson et al. 2016) have emerged. Here I focus on the new materialist approaches. The use of plural</w:t>
      </w:r>
      <w:r w:rsidRPr="00BE2C1D">
        <w:rPr>
          <w:rFonts w:eastAsiaTheme="minorEastAsia"/>
          <w:vertAlign w:val="superscript"/>
          <w:lang w:eastAsia="zh-CN"/>
        </w:rPr>
        <w:footnoteReference w:id="16"/>
      </w:r>
      <w:r w:rsidRPr="00BE2C1D">
        <w:rPr>
          <w:rFonts w:eastAsiaTheme="minorEastAsia"/>
          <w:lang w:eastAsia="zh-CN"/>
        </w:rPr>
        <w:t xml:space="preserve"> - approaches - is not coincidental, as new materialism is not one thing, but it is inclusive of different approaches e.g. diffractive approaches (building on Barad’s work e.g. the concept of intractions) (De Schauwer et al. 2018), assemblage approaches (drawing on Deleuze’s work e.g. the concept of assemblage Gibson et al. 2017). Their aim was to re-claim materiality and material </w:t>
      </w:r>
      <w:r w:rsidRPr="00BE2C1D">
        <w:rPr>
          <w:rFonts w:eastAsiaTheme="minorEastAsia"/>
          <w:lang w:eastAsia="zh-CN"/>
        </w:rPr>
        <w:lastRenderedPageBreak/>
        <w:t xml:space="preserve">embodiment, without falling into the trap of essentialism (Feeley 2016). To do so, they shifted the discussion from what a body </w:t>
      </w:r>
      <w:r w:rsidR="005E1DB5">
        <w:rPr>
          <w:rFonts w:eastAsiaTheme="minorEastAsia"/>
          <w:lang w:eastAsia="zh-CN"/>
        </w:rPr>
        <w:t>is</w:t>
      </w:r>
      <w:r w:rsidRPr="00BE2C1D">
        <w:rPr>
          <w:rFonts w:eastAsiaTheme="minorEastAsia"/>
          <w:lang w:eastAsia="zh-CN"/>
        </w:rPr>
        <w:t xml:space="preserve"> to what a body can do (actual capacities) and what a body could do (virtual capacities) (Feeley 2016: 870). As Feeley (2019: 871) maintained, ‘Because a body always/already exists within a specific material context, its capacities - the things it can and cannot do - are always contextual and relational’.  In the next lines, I discuss Feeley’s (2016, 2019) new materialist approach, which drew on Deleuze’s work. </w:t>
      </w:r>
    </w:p>
    <w:p w14:paraId="7CA5A0E5" w14:textId="02821DB1" w:rsidR="00BE2C1D" w:rsidRPr="00BE2C1D" w:rsidRDefault="00BE2C1D" w:rsidP="00BE2C1D">
      <w:pPr>
        <w:spacing w:line="360" w:lineRule="auto"/>
        <w:jc w:val="both"/>
        <w:rPr>
          <w:rFonts w:ascii="Georgia" w:eastAsiaTheme="minorEastAsia" w:hAnsi="Georgia"/>
          <w:color w:val="616161"/>
          <w:spacing w:val="-8"/>
          <w:shd w:val="clear" w:color="auto" w:fill="FFFFFF"/>
          <w:lang w:eastAsia="zh-CN"/>
        </w:rPr>
      </w:pPr>
      <w:r w:rsidRPr="00BE2C1D">
        <w:rPr>
          <w:rFonts w:eastAsiaTheme="minorEastAsia"/>
          <w:lang w:eastAsia="zh-CN"/>
        </w:rPr>
        <w:t>Feeley (2016, 2019) examined the treatment of sexuality of adults with intellectual disabilities in a community based service in the Republic of Ireland. Initially, he drew on poststructuralism (Foucault and Butler in particular), with the aim of ‘identifying discourses and exploring their implications for sexual subjectivity with the service’ (2019: 3). It was during the analysis of the data (Feeley started with a discourse analysis) that he realised that materiality, such as the architecture of the community setting, and the embodied experience e.g. embodied sensations such as fear and shame, were downplayed. In his search for an alternative, Feeley turned to Deleuzean materialism and to a DeleuzoGuattarian assemblage analysis, which would enable him to acknowledge both the material and discursive forces. Feely (2016: 871) maintained:</w:t>
      </w:r>
    </w:p>
    <w:p w14:paraId="791A7DC1" w14:textId="77777777" w:rsidR="00BE2C1D" w:rsidRPr="00BE2C1D" w:rsidRDefault="00BE2C1D" w:rsidP="00BE2C1D">
      <w:pPr>
        <w:spacing w:line="360" w:lineRule="auto"/>
        <w:ind w:left="720"/>
        <w:jc w:val="both"/>
        <w:rPr>
          <w:rFonts w:eastAsiaTheme="minorEastAsia"/>
          <w:sz w:val="20"/>
          <w:szCs w:val="20"/>
          <w:lang w:eastAsia="zh-CN"/>
        </w:rPr>
      </w:pPr>
      <w:r w:rsidRPr="00BE2C1D">
        <w:rPr>
          <w:rFonts w:eastAsiaTheme="minorEastAsia"/>
          <w:sz w:val="20"/>
          <w:szCs w:val="20"/>
          <w:lang w:eastAsia="zh-CN"/>
        </w:rPr>
        <w:t>Crucially for disability studies, Deleuzian materialism avoids a return to essentialism or ‘normal’/‘impaired’ distinctions, whilst allowing us to recognise the very real limitations some bodies face. To explain, it avoids essentialism by affirming that all human bodies differ from each other and that each and every body is in a process of continual change and becoming, always differing from its younger self (Hickey-Moody and Woods 2008). However, this does not prevent us from acknowledging a body’s limitations. At certain points in its process of becoming, and within certain contexts, a particular body will experience a whole range of limitations or things they cannot do.</w:t>
      </w:r>
    </w:p>
    <w:p w14:paraId="08574C07" w14:textId="77777777" w:rsidR="00BE2C1D" w:rsidRPr="00BE2C1D" w:rsidRDefault="00BE2C1D" w:rsidP="00BE2C1D">
      <w:pPr>
        <w:spacing w:line="360" w:lineRule="auto"/>
        <w:jc w:val="both"/>
        <w:rPr>
          <w:rFonts w:eastAsiaTheme="minorEastAsia"/>
          <w:lang w:eastAsia="zh-CN"/>
        </w:rPr>
      </w:pPr>
      <w:r w:rsidRPr="00BE2C1D">
        <w:rPr>
          <w:rFonts w:eastAsiaTheme="minorEastAsia"/>
          <w:lang w:eastAsia="zh-CN"/>
        </w:rPr>
        <w:t xml:space="preserve">Unlike the concept of impairment effects, which Thomas described as biosocial, Feely provided a different way to discuss them, that is by paying attention to the context within which such limitations were experienced. </w:t>
      </w:r>
    </w:p>
    <w:p w14:paraId="180C6636" w14:textId="77777777" w:rsidR="00BE2C1D" w:rsidRPr="00BE2C1D" w:rsidRDefault="00BE2C1D" w:rsidP="00BE2C1D">
      <w:pPr>
        <w:spacing w:line="360" w:lineRule="auto"/>
        <w:jc w:val="both"/>
        <w:rPr>
          <w:rFonts w:eastAsiaTheme="minorEastAsia"/>
          <w:lang w:eastAsia="zh-CN"/>
        </w:rPr>
      </w:pPr>
      <w:r w:rsidRPr="00BE2C1D">
        <w:rPr>
          <w:rFonts w:eastAsiaTheme="minorEastAsia"/>
          <w:lang w:eastAsia="zh-CN"/>
        </w:rPr>
        <w:t xml:space="preserve">Following the engagement with Deleuzian materialism, a DeleuzoGuattarian assemblage analysis was put forward by Feeley (2016) (see also Gibson et al. 2016). For Feeley (2016: 880),  </w:t>
      </w:r>
    </w:p>
    <w:p w14:paraId="2EB9EBE7" w14:textId="77777777" w:rsidR="00BE2C1D" w:rsidRPr="00BE2C1D" w:rsidRDefault="00BE2C1D" w:rsidP="00BE2C1D">
      <w:pPr>
        <w:spacing w:line="360" w:lineRule="auto"/>
        <w:ind w:left="720"/>
        <w:jc w:val="both"/>
        <w:rPr>
          <w:rFonts w:eastAsiaTheme="minorEastAsia"/>
          <w:sz w:val="20"/>
          <w:szCs w:val="20"/>
          <w:lang w:eastAsia="zh-CN"/>
        </w:rPr>
      </w:pPr>
      <w:r w:rsidRPr="00BE2C1D">
        <w:rPr>
          <w:rFonts w:eastAsiaTheme="minorEastAsia"/>
          <w:sz w:val="20"/>
          <w:szCs w:val="20"/>
          <w:lang w:eastAsia="zh-CN"/>
        </w:rPr>
        <w:t xml:space="preserve">the DeleuzoGuattarian methodology of assemblage analysis potentially allows disability scholars to create ever more complex and in-depth - but always incomplete - analyses of disability-related issues. Such analyses would allow us to explore, from a multiplicity of analytic perspectives (biological, technological, economic, discursive, etc.), how disabling/enabling assemblages emerged and how they function in the present. Crucially, this analytic approach would also encourage us to move beyond critique and to begin thinking productively and creatively about how disabling assemblages could be altered or made to function differently.  </w:t>
      </w:r>
    </w:p>
    <w:p w14:paraId="2D9BBEEE" w14:textId="77777777" w:rsidR="00BE2C1D" w:rsidRPr="00BE2C1D" w:rsidRDefault="00BE2C1D" w:rsidP="00BE2C1D">
      <w:pPr>
        <w:spacing w:line="360" w:lineRule="auto"/>
        <w:jc w:val="both"/>
        <w:rPr>
          <w:rFonts w:eastAsiaTheme="minorEastAsia"/>
          <w:lang w:eastAsia="zh-CN"/>
        </w:rPr>
      </w:pPr>
      <w:r w:rsidRPr="00BE2C1D">
        <w:rPr>
          <w:rFonts w:eastAsiaTheme="minorEastAsia"/>
          <w:lang w:eastAsia="zh-CN"/>
        </w:rPr>
        <w:lastRenderedPageBreak/>
        <w:t xml:space="preserve">Besides avoiding reductionism, an assemblage analysis also opened the way to political change. As Feeley (2019: 879) clarified, </w:t>
      </w:r>
    </w:p>
    <w:p w14:paraId="4AF88B46" w14:textId="77777777" w:rsidR="00BE2C1D" w:rsidRPr="00BE2C1D" w:rsidRDefault="00BE2C1D" w:rsidP="00BE2C1D">
      <w:pPr>
        <w:spacing w:line="360" w:lineRule="auto"/>
        <w:ind w:left="720"/>
        <w:jc w:val="both"/>
        <w:rPr>
          <w:rFonts w:eastAsiaTheme="minorEastAsia"/>
          <w:sz w:val="20"/>
          <w:szCs w:val="20"/>
          <w:lang w:eastAsia="zh-CN"/>
        </w:rPr>
      </w:pPr>
      <w:r w:rsidRPr="00BE2C1D">
        <w:rPr>
          <w:rFonts w:eastAsiaTheme="minorEastAsia"/>
          <w:sz w:val="20"/>
          <w:szCs w:val="20"/>
          <w:lang w:eastAsia="zh-CN"/>
        </w:rPr>
        <w:t>assemblage analysis is not simply an academic attempt to describe the phenomenon, it is also a form of activism that may open up new ways of intervening in, affecting and changing the phenomenon in a positive way.</w:t>
      </w:r>
    </w:p>
    <w:p w14:paraId="3C03DBF7" w14:textId="77777777" w:rsidR="00BE2C1D" w:rsidRPr="00BE2C1D" w:rsidRDefault="00BE2C1D" w:rsidP="00BE2C1D">
      <w:pPr>
        <w:spacing w:line="360" w:lineRule="auto"/>
        <w:jc w:val="both"/>
        <w:rPr>
          <w:rFonts w:eastAsiaTheme="minorEastAsia"/>
          <w:lang w:eastAsia="zh-CN"/>
        </w:rPr>
      </w:pPr>
      <w:r w:rsidRPr="00BE2C1D">
        <w:rPr>
          <w:rFonts w:eastAsiaTheme="minorEastAsia"/>
          <w:lang w:eastAsia="zh-CN"/>
        </w:rPr>
        <w:t xml:space="preserve">Following the discussion of a range of approaches for the study of disability is a summary with the reasons I chose CDS as the theoretical framework for this research. </w:t>
      </w:r>
    </w:p>
    <w:p w14:paraId="7B1A5CE8" w14:textId="77777777" w:rsidR="00BE2C1D" w:rsidRPr="00BE2C1D" w:rsidRDefault="00BE2C1D" w:rsidP="00BE2C1D">
      <w:pPr>
        <w:keepNext/>
        <w:keepLines/>
        <w:spacing w:before="40" w:after="0" w:line="360" w:lineRule="auto"/>
        <w:outlineLvl w:val="2"/>
        <w:rPr>
          <w:rFonts w:asciiTheme="majorHAnsi" w:eastAsiaTheme="majorEastAsia" w:hAnsiTheme="majorHAnsi" w:cstheme="majorBidi"/>
          <w:color w:val="1F3763" w:themeColor="accent1" w:themeShade="7F"/>
          <w:sz w:val="24"/>
          <w:szCs w:val="24"/>
          <w:lang w:eastAsia="zh-CN"/>
        </w:rPr>
      </w:pPr>
      <w:bookmarkStart w:id="62" w:name="_Toc39337326"/>
      <w:bookmarkStart w:id="63" w:name="_Toc39585210"/>
      <w:r w:rsidRPr="00BE2C1D">
        <w:rPr>
          <w:rFonts w:asciiTheme="majorHAnsi" w:eastAsiaTheme="majorEastAsia" w:hAnsiTheme="majorHAnsi" w:cstheme="majorBidi"/>
          <w:color w:val="1F3763" w:themeColor="accent1" w:themeShade="7F"/>
          <w:sz w:val="24"/>
          <w:szCs w:val="24"/>
          <w:lang w:eastAsia="zh-CN"/>
        </w:rPr>
        <w:t>Rationale(s) for choosing CDS</w:t>
      </w:r>
      <w:bookmarkEnd w:id="62"/>
      <w:bookmarkEnd w:id="63"/>
      <w:r w:rsidRPr="00BE2C1D">
        <w:rPr>
          <w:rFonts w:asciiTheme="majorHAnsi" w:eastAsiaTheme="majorEastAsia" w:hAnsiTheme="majorHAnsi" w:cstheme="majorBidi"/>
          <w:color w:val="1F3763" w:themeColor="accent1" w:themeShade="7F"/>
          <w:sz w:val="24"/>
          <w:szCs w:val="24"/>
          <w:lang w:eastAsia="zh-CN"/>
        </w:rPr>
        <w:t xml:space="preserve"> </w:t>
      </w:r>
    </w:p>
    <w:p w14:paraId="3D6B29BE" w14:textId="77777777" w:rsidR="00BE2C1D" w:rsidRPr="00BE2C1D" w:rsidRDefault="00BE2C1D" w:rsidP="00BE2C1D">
      <w:pPr>
        <w:spacing w:line="360" w:lineRule="auto"/>
        <w:jc w:val="both"/>
        <w:rPr>
          <w:rFonts w:eastAsiaTheme="minorEastAsia"/>
          <w:lang w:eastAsia="zh-CN"/>
        </w:rPr>
      </w:pPr>
      <w:r w:rsidRPr="00BE2C1D">
        <w:rPr>
          <w:rFonts w:eastAsiaTheme="minorEastAsia"/>
          <w:lang w:eastAsia="zh-CN"/>
        </w:rPr>
        <w:t>In this section, I introduced what a CDS perspective looks like, starting with a reference to some of the differences between CDS and DS and continuing with a discussion of the former’s different approaches. Here I refer to the three reasons that led me to choose CDS as one of the theoretical frameworks for this research.</w:t>
      </w:r>
    </w:p>
    <w:p w14:paraId="532D226F" w14:textId="77777777" w:rsidR="00BE2C1D" w:rsidRPr="00BE2C1D" w:rsidRDefault="00BE2C1D" w:rsidP="00BE2C1D">
      <w:pPr>
        <w:spacing w:line="360" w:lineRule="auto"/>
        <w:jc w:val="both"/>
        <w:rPr>
          <w:rFonts w:eastAsiaTheme="minorEastAsia"/>
          <w:sz w:val="20"/>
          <w:szCs w:val="20"/>
          <w:lang w:eastAsia="zh-CN"/>
        </w:rPr>
      </w:pPr>
      <w:r w:rsidRPr="00BE2C1D">
        <w:rPr>
          <w:rFonts w:eastAsiaTheme="minorEastAsia"/>
          <w:lang w:eastAsia="zh-CN"/>
        </w:rPr>
        <w:t xml:space="preserve">Firstly, as it has already been demonstrated, CDS are characterised by a theoretical openness, meaning that they always sought for theoretical allies that can provide nuanced understandings of the disability experience (Goodley et al. 2019). As argued earlier, this was not the case with British DS, in which those who engaged with theories other than Marxism e.g. poststructuralism, were seen as heretical (Meekosha and Shuttleworth 2009). Besides their theoretical inclusivity, CDS are also characterised by their critical ethos (Meekosha and Shuttleworth 2009). For Goodley (2013: 632), </w:t>
      </w:r>
    </w:p>
    <w:p w14:paraId="058ECFF3" w14:textId="77777777" w:rsidR="00BE2C1D" w:rsidRPr="00BE2C1D" w:rsidRDefault="00BE2C1D" w:rsidP="00BE2C1D">
      <w:pPr>
        <w:spacing w:line="360" w:lineRule="auto"/>
        <w:ind w:left="720"/>
        <w:jc w:val="both"/>
        <w:rPr>
          <w:rFonts w:eastAsiaTheme="minorEastAsia"/>
          <w:sz w:val="20"/>
          <w:szCs w:val="20"/>
          <w:lang w:eastAsia="zh-CN"/>
        </w:rPr>
      </w:pPr>
      <w:r w:rsidRPr="00BE2C1D">
        <w:rPr>
          <w:rFonts w:eastAsiaTheme="minorEastAsia"/>
          <w:sz w:val="20"/>
          <w:szCs w:val="20"/>
          <w:lang w:eastAsia="zh-CN"/>
        </w:rPr>
        <w:t xml:space="preserve">critical self-appraisal is evident in the very name and nature of critical disability studies: the word ‘critical’ denotes a sense of self-appraisal; reassessing where we have come from, where we are at and where we might be going. </w:t>
      </w:r>
    </w:p>
    <w:p w14:paraId="52CC45AA" w14:textId="77777777" w:rsidR="00BE2C1D" w:rsidRPr="00BE2C1D" w:rsidRDefault="00BE2C1D" w:rsidP="00BE2C1D">
      <w:pPr>
        <w:spacing w:line="360" w:lineRule="auto"/>
        <w:jc w:val="both"/>
        <w:rPr>
          <w:rFonts w:eastAsiaTheme="minorEastAsia"/>
          <w:lang w:eastAsia="zh-CN"/>
        </w:rPr>
      </w:pPr>
      <w:r w:rsidRPr="00BE2C1D">
        <w:rPr>
          <w:rFonts w:eastAsiaTheme="minorEastAsia"/>
          <w:lang w:eastAsia="zh-CN"/>
        </w:rPr>
        <w:t>Flynn (2019: 9) asserted:</w:t>
      </w:r>
    </w:p>
    <w:p w14:paraId="019960EE" w14:textId="77777777" w:rsidR="00BE2C1D" w:rsidRPr="00BE2C1D" w:rsidRDefault="00BE2C1D" w:rsidP="00BE2C1D">
      <w:pPr>
        <w:spacing w:line="360" w:lineRule="auto"/>
        <w:ind w:left="720"/>
        <w:jc w:val="both"/>
        <w:rPr>
          <w:rFonts w:eastAsiaTheme="minorEastAsia"/>
          <w:sz w:val="20"/>
          <w:szCs w:val="20"/>
          <w:lang w:eastAsia="zh-CN"/>
        </w:rPr>
      </w:pPr>
      <w:r w:rsidRPr="00BE2C1D">
        <w:rPr>
          <w:rFonts w:eastAsiaTheme="minorEastAsia"/>
          <w:sz w:val="20"/>
          <w:szCs w:val="20"/>
          <w:lang w:eastAsia="zh-CN"/>
        </w:rPr>
        <w:t>the particular form of critical self-appraisal, inherent within critical disability studies, may be productively repurposed more broadly in disability studies, or indeed further capitalised upon within present applications.</w:t>
      </w:r>
    </w:p>
    <w:p w14:paraId="74283997" w14:textId="77777777" w:rsidR="00BE2C1D" w:rsidRPr="00BE2C1D" w:rsidRDefault="00BE2C1D" w:rsidP="00BE2C1D">
      <w:pPr>
        <w:spacing w:line="360" w:lineRule="auto"/>
        <w:jc w:val="both"/>
        <w:rPr>
          <w:rFonts w:eastAsiaTheme="minorEastAsia"/>
          <w:lang w:eastAsia="zh-CN"/>
        </w:rPr>
      </w:pPr>
      <w:r w:rsidRPr="00BE2C1D">
        <w:rPr>
          <w:rFonts w:eastAsiaTheme="minorEastAsia"/>
          <w:lang w:eastAsia="zh-CN"/>
        </w:rPr>
        <w:t xml:space="preserve">Thirdly, CDS provide solid frameworks for political activism and change, despite the critiques that proposed the opposite (Vehmas and Watson 2014). In my discussion of every single approach, I made a point of how each of them had a political potential, which, if taken upon, could provoke change. For instance, for a new materialist scholar, an assemblage intervention which would enable both the actual and the virtual capacities of the disabled body would be one way forward, whilst for a phenomenologist the process of questioning the taken-for-grantedness of disability could provoke a change in the naturalisation of disability as a problem. </w:t>
      </w:r>
    </w:p>
    <w:p w14:paraId="4636395D" w14:textId="77777777" w:rsidR="00BE2C1D" w:rsidRPr="00BE2C1D" w:rsidRDefault="00BE2C1D" w:rsidP="00BE2C1D">
      <w:pPr>
        <w:spacing w:line="360" w:lineRule="auto"/>
        <w:jc w:val="both"/>
        <w:rPr>
          <w:rFonts w:eastAsiaTheme="minorEastAsia"/>
          <w:color w:val="000000"/>
          <w:lang w:eastAsia="zh-CN"/>
        </w:rPr>
      </w:pPr>
      <w:r w:rsidRPr="00BE2C1D">
        <w:rPr>
          <w:rFonts w:eastAsiaTheme="minorEastAsia"/>
          <w:color w:val="000000"/>
          <w:lang w:eastAsia="zh-CN"/>
        </w:rPr>
        <w:lastRenderedPageBreak/>
        <w:t xml:space="preserve">For the above three reasons, I do believe that CDS constitute the most suitable framework. As Campbell (2009: 198) maintained: </w:t>
      </w:r>
    </w:p>
    <w:p w14:paraId="29436C32" w14:textId="77777777" w:rsidR="00BE2C1D" w:rsidRPr="00BE2C1D" w:rsidRDefault="00BE2C1D" w:rsidP="00BE2C1D">
      <w:pPr>
        <w:spacing w:line="360" w:lineRule="auto"/>
        <w:ind w:left="720"/>
        <w:jc w:val="both"/>
        <w:rPr>
          <w:rFonts w:eastAsiaTheme="minorEastAsia"/>
          <w:color w:val="000000"/>
          <w:sz w:val="20"/>
          <w:szCs w:val="20"/>
          <w:lang w:eastAsia="zh-CN"/>
        </w:rPr>
      </w:pPr>
      <w:r w:rsidRPr="00BE2C1D">
        <w:rPr>
          <w:rFonts w:eastAsiaTheme="minorEastAsia"/>
          <w:color w:val="000000"/>
          <w:sz w:val="20"/>
          <w:szCs w:val="20"/>
          <w:lang w:eastAsia="zh-CN"/>
        </w:rPr>
        <w:t xml:space="preserve">The narratives and the lived experiences of people with disability can be more intimately embraced and understood through critical disability studies. There is an ethos in critical disability studies whereby people with disability are both subjects and objects of the process of theorisation. </w:t>
      </w:r>
    </w:p>
    <w:p w14:paraId="1A9A719D" w14:textId="77777777" w:rsidR="00BE2C1D" w:rsidRPr="00BE2C1D" w:rsidRDefault="00BE2C1D" w:rsidP="00BE2C1D">
      <w:pPr>
        <w:keepNext/>
        <w:keepLines/>
        <w:spacing w:before="40" w:after="0" w:line="360" w:lineRule="auto"/>
        <w:outlineLvl w:val="1"/>
        <w:rPr>
          <w:rFonts w:asciiTheme="majorHAnsi" w:eastAsiaTheme="majorEastAsia" w:hAnsiTheme="majorHAnsi" w:cstheme="majorBidi"/>
          <w:color w:val="2F5496" w:themeColor="accent1" w:themeShade="BF"/>
          <w:sz w:val="26"/>
          <w:szCs w:val="26"/>
          <w:lang w:eastAsia="zh-CN"/>
        </w:rPr>
      </w:pPr>
      <w:bookmarkStart w:id="64" w:name="_Toc39585211"/>
      <w:r w:rsidRPr="00BE2C1D">
        <w:rPr>
          <w:rFonts w:asciiTheme="majorHAnsi" w:eastAsiaTheme="majorEastAsia" w:hAnsiTheme="majorHAnsi" w:cstheme="majorBidi"/>
          <w:color w:val="2F5496" w:themeColor="accent1" w:themeShade="BF"/>
          <w:sz w:val="26"/>
          <w:szCs w:val="26"/>
          <w:lang w:eastAsia="zh-CN"/>
        </w:rPr>
        <w:t>Finding my theoretical orientation to disabled childhoods</w:t>
      </w:r>
      <w:bookmarkEnd w:id="64"/>
      <w:r w:rsidRPr="00BE2C1D">
        <w:rPr>
          <w:rFonts w:asciiTheme="majorHAnsi" w:eastAsiaTheme="majorEastAsia" w:hAnsiTheme="majorHAnsi" w:cstheme="majorBidi"/>
          <w:color w:val="2F5496" w:themeColor="accent1" w:themeShade="BF"/>
          <w:sz w:val="26"/>
          <w:szCs w:val="26"/>
          <w:lang w:eastAsia="zh-CN"/>
        </w:rPr>
        <w:t xml:space="preserve"> </w:t>
      </w:r>
    </w:p>
    <w:p w14:paraId="32055766" w14:textId="77777777" w:rsidR="00BE2C1D" w:rsidRPr="00BE2C1D" w:rsidRDefault="00BE2C1D" w:rsidP="00BE2C1D">
      <w:pPr>
        <w:spacing w:line="360" w:lineRule="auto"/>
        <w:ind w:left="720"/>
        <w:jc w:val="both"/>
        <w:rPr>
          <w:rFonts w:eastAsiaTheme="minorEastAsia"/>
          <w:sz w:val="20"/>
          <w:szCs w:val="20"/>
          <w:lang w:eastAsia="zh-CN"/>
        </w:rPr>
      </w:pPr>
      <w:r w:rsidRPr="00BE2C1D">
        <w:rPr>
          <w:rFonts w:eastAsiaTheme="minorEastAsia"/>
          <w:sz w:val="20"/>
          <w:szCs w:val="20"/>
          <w:lang w:eastAsia="zh-CN"/>
        </w:rPr>
        <w:t xml:space="preserve">What kinds of readings do we draw upon to make sense of disabled children? To what extent are our narratives only partial accounts of the complexity of ‘disability’ and ‘childhood’? Are we in danger of empowering dangerous readings that create pathological versions of childhood?  (Goodley &amp; Runswick-Cole 2012a: 55).  </w:t>
      </w:r>
    </w:p>
    <w:p w14:paraId="11F6A2D9" w14:textId="77777777" w:rsidR="00BE2C1D" w:rsidRPr="00BE2C1D" w:rsidRDefault="00BE2C1D" w:rsidP="00BE2C1D">
      <w:pPr>
        <w:spacing w:line="360" w:lineRule="auto"/>
        <w:jc w:val="both"/>
        <w:rPr>
          <w:rFonts w:eastAsiaTheme="minorEastAsia"/>
          <w:lang w:eastAsia="zh-CN"/>
        </w:rPr>
      </w:pPr>
      <w:r w:rsidRPr="00BE2C1D">
        <w:rPr>
          <w:rFonts w:eastAsiaTheme="minorEastAsia"/>
          <w:lang w:eastAsia="zh-CN"/>
        </w:rPr>
        <w:t>The theoretical choices we (researchers) make, including the readings we base our epistemological, ontological and axiological claims on, have certain effects on those we speak with/of e.g. in terms of how they are viewed (Goodley and Runswick-Cole 2010a). In this section, I start with a review of how disabled children and young people have been researched and constructed through various theoretical lenses, drawing on Davis’ (2013) and Watson’s (2012b) distinction between different models and research approaches to disabled childhood(s)</w:t>
      </w:r>
      <w:r w:rsidRPr="00BE2C1D">
        <w:rPr>
          <w:rFonts w:eastAsiaTheme="minorEastAsia"/>
          <w:vertAlign w:val="superscript"/>
          <w:lang w:eastAsia="zh-CN"/>
        </w:rPr>
        <w:footnoteReference w:id="17"/>
      </w:r>
      <w:r w:rsidRPr="00BE2C1D">
        <w:rPr>
          <w:rFonts w:eastAsiaTheme="minorEastAsia"/>
          <w:lang w:eastAsia="zh-CN"/>
        </w:rPr>
        <w:t xml:space="preserve"> respectively. Then, I turn to the field of DCCS, discussing its emergence in the last decade and what it does differently compared to the approaches discussed earlier.   </w:t>
      </w:r>
    </w:p>
    <w:p w14:paraId="3DD21A8D" w14:textId="77777777" w:rsidR="00BE2C1D" w:rsidRPr="00BE2C1D" w:rsidRDefault="00BE2C1D" w:rsidP="00BE2C1D">
      <w:pPr>
        <w:keepNext/>
        <w:keepLines/>
        <w:spacing w:before="40" w:after="0" w:line="360" w:lineRule="auto"/>
        <w:outlineLvl w:val="2"/>
        <w:rPr>
          <w:rFonts w:asciiTheme="majorHAnsi" w:eastAsiaTheme="majorEastAsia" w:hAnsiTheme="majorHAnsi" w:cstheme="majorBidi"/>
          <w:color w:val="1F3763" w:themeColor="accent1" w:themeShade="7F"/>
          <w:sz w:val="24"/>
          <w:szCs w:val="24"/>
          <w:shd w:val="clear" w:color="auto" w:fill="FFFFFF"/>
          <w:lang w:eastAsia="zh-CN"/>
        </w:rPr>
      </w:pPr>
      <w:bookmarkStart w:id="65" w:name="_Toc39585212"/>
      <w:r w:rsidRPr="00BE2C1D">
        <w:rPr>
          <w:rFonts w:asciiTheme="majorHAnsi" w:eastAsiaTheme="majorEastAsia" w:hAnsiTheme="majorHAnsi" w:cstheme="majorBidi"/>
          <w:color w:val="1F3763" w:themeColor="accent1" w:themeShade="7F"/>
          <w:sz w:val="24"/>
          <w:szCs w:val="24"/>
          <w:shd w:val="clear" w:color="auto" w:fill="FFFFFF"/>
          <w:lang w:eastAsia="zh-CN"/>
        </w:rPr>
        <w:t>Classic Disability Studies Research on Disabled Childhoods</w:t>
      </w:r>
      <w:bookmarkEnd w:id="65"/>
    </w:p>
    <w:p w14:paraId="40516425" w14:textId="77777777" w:rsidR="00BE2C1D" w:rsidRPr="00BE2C1D" w:rsidRDefault="00BE2C1D" w:rsidP="00BE2C1D">
      <w:pPr>
        <w:spacing w:line="360" w:lineRule="auto"/>
        <w:jc w:val="both"/>
        <w:rPr>
          <w:rFonts w:ascii="Calibri" w:eastAsia="Calibri" w:hAnsi="Calibri" w:cs="Calibri"/>
          <w:color w:val="000000"/>
          <w:lang w:eastAsia="zh-CN"/>
        </w:rPr>
      </w:pPr>
      <w:r w:rsidRPr="00BE2C1D">
        <w:rPr>
          <w:rFonts w:ascii="Calibri" w:eastAsia="Calibri" w:hAnsi="Calibri" w:cs="Calibri"/>
          <w:color w:val="000000"/>
          <w:lang w:eastAsia="zh-CN"/>
        </w:rPr>
        <w:t xml:space="preserve">Disabled children and young people have been the objects/subjects of research for a long time, with a range of disciplines, such as Medicine, Psychology, DS and CDS, employing their own theoretical perspectives and methodologies to understand disabled childhoods. Such research covered different topics, including (but not limited) the ab/normal development of disabled children, potential treatments to fix or normalise their impairment and the deficits which came with it, their schooling experiences and the disablism they encountered (Priestley 1998; Davis and Watson 2002; Whitburn 2017). Here I draw on Davis’ (2013) and Watson’s (2012b) distinctions between different approaches to disabled childhoods to explore how disabled children have been viewed through the lenses of each approach.    </w:t>
      </w:r>
    </w:p>
    <w:p w14:paraId="0D7BBFE1" w14:textId="77777777" w:rsidR="00BE2C1D" w:rsidRPr="00BE2C1D" w:rsidRDefault="00BE2C1D" w:rsidP="00BE2C1D">
      <w:pPr>
        <w:spacing w:line="360" w:lineRule="auto"/>
        <w:jc w:val="both"/>
        <w:rPr>
          <w:rFonts w:ascii="Calibri" w:eastAsia="Calibri" w:hAnsi="Calibri" w:cs="Calibri"/>
          <w:color w:val="000000"/>
          <w:lang w:eastAsia="zh-CN"/>
        </w:rPr>
      </w:pPr>
      <w:r w:rsidRPr="00BE2C1D">
        <w:rPr>
          <w:rFonts w:ascii="Calibri" w:eastAsia="Calibri" w:hAnsi="Calibri" w:cs="Calibri"/>
          <w:color w:val="000000"/>
          <w:lang w:eastAsia="zh-CN"/>
        </w:rPr>
        <w:t xml:space="preserve">Davis (2013) distinguished between four theoretical positions/models used to explore disabled childhoods: a) medical models b) a social model of childhood disability c) holistic/ecological and d) post-modernist/poststructuralist. Watson’s (2012b) distinction was chronological, distinguishing </w:t>
      </w:r>
      <w:r w:rsidRPr="00BE2C1D">
        <w:rPr>
          <w:rFonts w:ascii="Calibri" w:eastAsia="Calibri" w:hAnsi="Calibri" w:cs="Calibri"/>
          <w:color w:val="000000"/>
          <w:lang w:eastAsia="zh-CN"/>
        </w:rPr>
        <w:lastRenderedPageBreak/>
        <w:t xml:space="preserve">between ‘early research on disabled childhood’ (ibid: 193), research on disabled childhood informed by British Disability Studies, particularly the social model and social relational model, CDS approach, and his proposal for a critical realist framework. Here I review all the approaches, except for the holistic/ecological and the critical realist ones, as they are not pertinent to this thesis.  </w:t>
      </w:r>
    </w:p>
    <w:p w14:paraId="5F7CC572" w14:textId="77777777" w:rsidR="00BE2C1D" w:rsidRPr="00BE2C1D" w:rsidRDefault="00BE2C1D" w:rsidP="00BE2C1D">
      <w:pPr>
        <w:spacing w:line="360" w:lineRule="auto"/>
        <w:jc w:val="both"/>
        <w:rPr>
          <w:rFonts w:eastAsiaTheme="minorEastAsia"/>
          <w:lang w:eastAsia="zh-CN"/>
        </w:rPr>
      </w:pPr>
      <w:r w:rsidRPr="00BE2C1D">
        <w:rPr>
          <w:rFonts w:eastAsiaTheme="minorEastAsia"/>
          <w:lang w:eastAsia="zh-CN"/>
        </w:rPr>
        <w:t>The first model used to research disabled childhood in the Global North, which is still prevalent (Curran et al. 2018), was what was referred to as the medical, individualised, psychologised, deficit model (Davis 2013; Watson 2012b), characterised by ‘the persistent professionalisation, medicalisation and pathologisation’ (Curran et al. 2018: 45) of disabled childhood</w:t>
      </w:r>
      <w:r w:rsidRPr="00BE2C1D">
        <w:rPr>
          <w:rFonts w:eastAsiaTheme="minorEastAsia"/>
          <w:vertAlign w:val="superscript"/>
          <w:lang w:eastAsia="zh-CN"/>
        </w:rPr>
        <w:footnoteReference w:id="18"/>
      </w:r>
      <w:r w:rsidRPr="00BE2C1D">
        <w:rPr>
          <w:rFonts w:eastAsiaTheme="minorEastAsia"/>
          <w:lang w:eastAsia="zh-CN"/>
        </w:rPr>
        <w:t xml:space="preserve">. Within this model, disabled children were pathologized for not meeting the normative, Global North developmental milestones of childhood (Burman 2017; Davis 2013) and they became the target of professional interventions that aimed to normalise them (Mallet and Runswick-Cole 2014; Mills and LeFrancois 2018). Disabled children and young people were depicted as passive and dependent and the primary focus of research was their impairment and the ‘adversities’ that came with it (Priestley, 1998). </w:t>
      </w:r>
    </w:p>
    <w:p w14:paraId="50AF94C8" w14:textId="6CE78861" w:rsidR="00BE2C1D" w:rsidRPr="00BE2C1D" w:rsidRDefault="00BE2C1D" w:rsidP="00BE2C1D">
      <w:pPr>
        <w:spacing w:line="360" w:lineRule="auto"/>
        <w:jc w:val="both"/>
        <w:rPr>
          <w:rFonts w:eastAsiaTheme="minorEastAsia"/>
          <w:lang w:eastAsia="zh-CN"/>
        </w:rPr>
      </w:pPr>
      <w:r w:rsidRPr="00BE2C1D">
        <w:rPr>
          <w:rFonts w:eastAsiaTheme="minorEastAsia"/>
          <w:lang w:eastAsia="zh-CN"/>
        </w:rPr>
        <w:t xml:space="preserve">One of the main critiques of this model was that it situated the ‘problem of disability’ in disabled children’s bodies, ignoring how disablism and ableism reinforced a certain type of normative childhood, which excluded disabled children (Davis 2013). Moreover, not only such a model individualised the problem - as if it was the problem of the individual - but it also expected the individual (or their family) to act ‘responsibly’ by seeking the appropriate treatment or intervention for the problem to be fixed (Burman 2017). </w:t>
      </w:r>
    </w:p>
    <w:p w14:paraId="7AEBABD9" w14:textId="77777777" w:rsidR="00BE2C1D" w:rsidRPr="00BE2C1D" w:rsidRDefault="00BE2C1D" w:rsidP="00BE2C1D">
      <w:pPr>
        <w:spacing w:line="360" w:lineRule="auto"/>
        <w:jc w:val="both"/>
        <w:rPr>
          <w:rFonts w:eastAsiaTheme="minorEastAsia"/>
          <w:color w:val="44546A"/>
          <w:lang w:eastAsia="zh-CN"/>
        </w:rPr>
      </w:pPr>
      <w:r w:rsidRPr="00BE2C1D">
        <w:rPr>
          <w:rFonts w:eastAsiaTheme="minorEastAsia"/>
          <w:lang w:eastAsia="zh-CN"/>
        </w:rPr>
        <w:t xml:space="preserve">The second model - a social model approach to disabled childhood - moved the attention from the disabled children’s bodies as problems to the structural, attitudinal and cultural barriers that disabled their bodies, meaning that the focus was placed on disabled children’s experiences of disablism (Priestley 1998; Morris 2003). Shakespeare et al. (1999) explored, for instance, how young disabled people’s experiences of their impairment, of the professional services they were provided with and the social relationships with peers, parents and professionals (including teachers: see Davis and Watson 2001) were affected and shaped by structural and cultural barriers. However, Connors and Stalker (2007) claimed that the social model had not paid enough attention to the experiences of disabled children. In their research, Connors and Stalker (2007) drew on Thomas’ (1999, 2007) social relational model to examine the ‘barriers to being’ and the ‘barriers to doing’ that disabled children dealt with in their everyday lives and they called for greater attention to the psycho-emotional disablism disabled children experienced (see also Worth 2013 for a socio-relational understanding of </w:t>
      </w:r>
      <w:r w:rsidRPr="00BE2C1D">
        <w:rPr>
          <w:rFonts w:eastAsiaTheme="minorEastAsia"/>
          <w:lang w:eastAsia="zh-CN"/>
        </w:rPr>
        <w:lastRenderedPageBreak/>
        <w:t>disability at school</w:t>
      </w:r>
      <w:r w:rsidRPr="00BE2C1D">
        <w:rPr>
          <w:rFonts w:eastAsiaTheme="minorEastAsia"/>
          <w:color w:val="44546A"/>
          <w:lang w:eastAsia="zh-CN"/>
        </w:rPr>
        <w:t xml:space="preserve">). </w:t>
      </w:r>
      <w:r w:rsidRPr="00BE2C1D">
        <w:rPr>
          <w:rFonts w:eastAsiaTheme="minorEastAsia"/>
          <w:lang w:eastAsia="zh-CN"/>
        </w:rPr>
        <w:t xml:space="preserve">As it has been argued earlier, the experiences of structural (or ‘barriers to doing’) and psycho-emotional disablism (barriers to being) in this research constituted a major theme. </w:t>
      </w:r>
    </w:p>
    <w:p w14:paraId="3E2C92F3" w14:textId="77777777" w:rsidR="00BE2C1D" w:rsidRPr="00BE2C1D" w:rsidRDefault="00BE2C1D" w:rsidP="00BE2C1D">
      <w:pPr>
        <w:spacing w:line="360" w:lineRule="auto"/>
        <w:jc w:val="both"/>
        <w:rPr>
          <w:rFonts w:eastAsiaTheme="minorEastAsia"/>
          <w:lang w:eastAsia="zh-CN"/>
        </w:rPr>
      </w:pPr>
      <w:r w:rsidRPr="00BE2C1D">
        <w:rPr>
          <w:rFonts w:eastAsiaTheme="minorEastAsia"/>
          <w:lang w:eastAsia="zh-CN"/>
        </w:rPr>
        <w:t xml:space="preserve">However, social model approaches to disabled childhood were critiqued for occasionally depicting disabled children as passive against the disabling barriers they faced (Priestley 1998) and representing disabled children as a homogenous group (Priestley 1998; Morris 1998) and, therefore, not accounting for their differences. These two points of critiques addressed two main sociological issues: the structure versus agency debate (see Tisdall 2001) and the issue of intersectionality (see Erevelles 2011; Liasidou 2013). In relation to the former, Davis and Watson (2001) and Morris (1999) discussed disabled children as social actors and agentic and referred to moments of resistance to the disablism that they faced at schools. Regarding the issue of homogenisation, Kelly (2005) and Watson (2012b) noted that, in their research with disabled children, their impairment was only one aspect, but not necessarily the most important, in their lives. However, it was the professionals and parents that emphasised the issue of impairment as the most impactful on disabled children’s experiences (Kelly 2005). </w:t>
      </w:r>
    </w:p>
    <w:p w14:paraId="4F0E5C81" w14:textId="77777777" w:rsidR="00BE2C1D" w:rsidRPr="00BE2C1D" w:rsidRDefault="00BE2C1D" w:rsidP="00BE2C1D">
      <w:pPr>
        <w:spacing w:line="360" w:lineRule="auto"/>
        <w:jc w:val="both"/>
        <w:rPr>
          <w:rFonts w:eastAsiaTheme="minorEastAsia"/>
          <w:lang w:eastAsia="zh-CN"/>
        </w:rPr>
      </w:pPr>
      <w:r w:rsidRPr="00BE2C1D">
        <w:rPr>
          <w:rFonts w:eastAsiaTheme="minorEastAsia"/>
          <w:lang w:eastAsia="zh-CN"/>
        </w:rPr>
        <w:t>Poststructuralist approaches to disabled childhood went a step further by questioning the essentialism of the categories of ‘disability’ and ‘childhood’ (Davis and Watson 2002; Goodley and Runswick-Cole 2011b) and investigated how these were performed or resisted in the everyday lives of disabled children. Davis (2013: 421) maintained:</w:t>
      </w:r>
    </w:p>
    <w:p w14:paraId="74FF8DBD" w14:textId="77777777" w:rsidR="00BE2C1D" w:rsidRPr="00BE2C1D" w:rsidRDefault="00BE2C1D" w:rsidP="00BE2C1D">
      <w:pPr>
        <w:spacing w:line="360" w:lineRule="auto"/>
        <w:ind w:left="720"/>
        <w:jc w:val="both"/>
        <w:rPr>
          <w:rFonts w:eastAsiaTheme="minorEastAsia"/>
          <w:sz w:val="20"/>
          <w:szCs w:val="20"/>
          <w:lang w:eastAsia="zh-CN"/>
        </w:rPr>
      </w:pPr>
      <w:r w:rsidRPr="00BE2C1D">
        <w:rPr>
          <w:rFonts w:eastAsiaTheme="minorEastAsia"/>
          <w:sz w:val="20"/>
          <w:szCs w:val="20"/>
          <w:lang w:eastAsia="zh-CN"/>
        </w:rPr>
        <w:t xml:space="preserve">At the heart of this analysis is the idea that disabled children’s identities can be fluid; they and  their impairments will have diﬀerent meanings in diﬀerent social contexts and there will be times when they do not wish to be deﬁned as disabled in the social model sense because (disability being a social construct) they are not encountering barriers at that speciﬁc moment. </w:t>
      </w:r>
    </w:p>
    <w:p w14:paraId="0AED7370" w14:textId="4A7CF04F" w:rsidR="00BE2C1D" w:rsidRPr="00BE2C1D" w:rsidRDefault="00BE2C1D" w:rsidP="00BE2C1D">
      <w:pPr>
        <w:spacing w:line="360" w:lineRule="auto"/>
        <w:jc w:val="both"/>
        <w:rPr>
          <w:rFonts w:eastAsiaTheme="minorEastAsia"/>
          <w:lang w:eastAsia="zh-CN"/>
        </w:rPr>
      </w:pPr>
      <w:r w:rsidRPr="00BE2C1D">
        <w:rPr>
          <w:rFonts w:eastAsiaTheme="minorEastAsia"/>
          <w:lang w:eastAsia="zh-CN"/>
        </w:rPr>
        <w:t>Davis (2013) attributed the development of such approaches to the impact that the new sociology of childhood had on DS (see also Mallet and Runswick-Cole 2014) and the adoption of poststructuralism, such as Butler’s and Foucault’s work, by DS scholars (Allan 1996, 2008; Holt 2004a, 2010). For instance, such approaches focused on how disabled children became the target of different forms of power (disciplinary, regulatory, sovereign)</w:t>
      </w:r>
      <w:r w:rsidRPr="00BE2C1D">
        <w:rPr>
          <w:rFonts w:eastAsiaTheme="minorEastAsia"/>
          <w:vertAlign w:val="superscript"/>
          <w:lang w:eastAsia="zh-CN"/>
        </w:rPr>
        <w:footnoteReference w:id="19"/>
      </w:r>
      <w:r w:rsidRPr="00BE2C1D">
        <w:rPr>
          <w:rFonts w:eastAsiaTheme="minorEastAsia"/>
          <w:lang w:eastAsia="zh-CN"/>
        </w:rPr>
        <w:t xml:space="preserve"> in schools (Allan 2008; Douglas 2010). Watson (2012b), on the other hand, related such positions to the emergence of CDS (Meekosha and Shuttleworth 2011; Shildrick 2013; Goodley 2013) and their impact on research with disabled children. Research projects such as </w:t>
      </w:r>
      <w:r w:rsidRPr="00BE2C1D">
        <w:rPr>
          <w:rFonts w:eastAsiaTheme="minorEastAsia"/>
          <w:i/>
          <w:lang w:eastAsia="zh-CN"/>
        </w:rPr>
        <w:t>‘Does Every child matter, post-Blair? The interconnections of disabled childhoods’</w:t>
      </w:r>
      <w:r w:rsidRPr="00BE2C1D">
        <w:rPr>
          <w:rFonts w:eastAsiaTheme="minorEastAsia"/>
          <w:lang w:eastAsia="zh-CN"/>
        </w:rPr>
        <w:t xml:space="preserve"> (Goodley and Runswick-Cole 2010, 2012b) and ‘</w:t>
      </w:r>
      <w:r w:rsidRPr="00BE2C1D">
        <w:rPr>
          <w:rFonts w:eastAsiaTheme="minorEastAsia"/>
          <w:i/>
          <w:lang w:eastAsia="zh-CN"/>
        </w:rPr>
        <w:t>Resilience in the lives of disabled children across the life course’</w:t>
      </w:r>
      <w:r w:rsidRPr="00BE2C1D">
        <w:rPr>
          <w:rFonts w:eastAsiaTheme="minorEastAsia"/>
          <w:lang w:eastAsia="zh-CN"/>
        </w:rPr>
        <w:t xml:space="preserve"> (2012-2013) (Runswick-Cole and Goodley 2013; Runswick-Cole, Goodley and Lawthom 2018) were </w:t>
      </w:r>
      <w:r w:rsidRPr="00BE2C1D">
        <w:rPr>
          <w:rFonts w:eastAsiaTheme="minorEastAsia"/>
          <w:lang w:eastAsia="zh-CN"/>
        </w:rPr>
        <w:lastRenderedPageBreak/>
        <w:t>illustrative of such poststructuralist approaches to disabled childhoods, which aimed to provide different understandings of disability and child than the ones that ‘pathologise, other and separate disabled children from their peers, their families and the wider community’ (Goodley and Runswick-Cole 2012a: 53). For instance, in ‘Reading Rosie’, Goodley and Runswick-Cole (2012a) provided four different readings</w:t>
      </w:r>
      <w:r w:rsidRPr="00BE2C1D">
        <w:rPr>
          <w:rFonts w:eastAsiaTheme="minorEastAsia"/>
          <w:vertAlign w:val="superscript"/>
          <w:lang w:eastAsia="zh-CN"/>
        </w:rPr>
        <w:footnoteReference w:id="20"/>
      </w:r>
      <w:r w:rsidRPr="00BE2C1D">
        <w:rPr>
          <w:rFonts w:eastAsiaTheme="minorEastAsia"/>
          <w:lang w:eastAsia="zh-CN"/>
        </w:rPr>
        <w:t xml:space="preserve"> of how Rosie, a young girl with the label of autism, could be viewed. Similarly, the same authors (2013: 1) utilised two different readings, a social psycho-analytic one and a post-conventional one, to consider the ‘cultural constitution of the disabled body as lack’ and ‘the disabled body as productively demanding imaginative theoretical and practical responses’ respectively.   </w:t>
      </w:r>
    </w:p>
    <w:p w14:paraId="52725931" w14:textId="77777777" w:rsidR="00BE2C1D" w:rsidRPr="00BE2C1D" w:rsidRDefault="00BE2C1D" w:rsidP="00BE2C1D">
      <w:pPr>
        <w:spacing w:line="360" w:lineRule="auto"/>
        <w:jc w:val="both"/>
        <w:rPr>
          <w:rFonts w:eastAsiaTheme="minorEastAsia"/>
          <w:lang w:eastAsia="zh-CN"/>
        </w:rPr>
      </w:pPr>
      <w:r w:rsidRPr="00BE2C1D">
        <w:rPr>
          <w:rFonts w:eastAsiaTheme="minorEastAsia"/>
          <w:lang w:eastAsia="zh-CN"/>
        </w:rPr>
        <w:t xml:space="preserve">A point of critique against CDS approaches to disabled childhoods was developed by Watson (2012b: 198) who proposed: </w:t>
      </w:r>
    </w:p>
    <w:p w14:paraId="07D48DE9" w14:textId="77777777" w:rsidR="00BE2C1D" w:rsidRPr="00BE2C1D" w:rsidRDefault="00BE2C1D" w:rsidP="00BE2C1D">
      <w:pPr>
        <w:spacing w:line="360" w:lineRule="auto"/>
        <w:ind w:left="720"/>
        <w:jc w:val="both"/>
        <w:rPr>
          <w:rFonts w:eastAsiaTheme="minorEastAsia"/>
          <w:sz w:val="20"/>
          <w:szCs w:val="20"/>
          <w:lang w:eastAsia="zh-CN"/>
        </w:rPr>
      </w:pPr>
      <w:r w:rsidRPr="00BE2C1D">
        <w:rPr>
          <w:rFonts w:eastAsiaTheme="minorEastAsia"/>
          <w:sz w:val="20"/>
          <w:szCs w:val="20"/>
          <w:lang w:eastAsia="zh-CN"/>
        </w:rPr>
        <w:t xml:space="preserve">It is, for example, hard to see how a theory that denies the existence of basic categories can promote the development of communities of resistance[…].CDS has no conception of the real, and despite it calls for recognition of diversity, it has done little to challenge exclusion. </w:t>
      </w:r>
    </w:p>
    <w:p w14:paraId="0054E6B6" w14:textId="77777777" w:rsidR="00BE2C1D" w:rsidRPr="00BE2C1D" w:rsidRDefault="00BE2C1D" w:rsidP="00BE2C1D">
      <w:pPr>
        <w:spacing w:line="360" w:lineRule="auto"/>
        <w:jc w:val="both"/>
        <w:rPr>
          <w:rFonts w:eastAsiaTheme="minorEastAsia"/>
          <w:lang w:eastAsia="zh-CN"/>
        </w:rPr>
      </w:pPr>
      <w:r w:rsidRPr="00BE2C1D">
        <w:rPr>
          <w:rFonts w:eastAsiaTheme="minorEastAsia"/>
          <w:lang w:eastAsia="zh-CN"/>
        </w:rPr>
        <w:t xml:space="preserve">Interestingly enough, it was only 10 years ago that Davis and Watson (2002: 160) had spoken in favour of poststructuralist approaches: </w:t>
      </w:r>
    </w:p>
    <w:p w14:paraId="54237708" w14:textId="77777777" w:rsidR="00BE2C1D" w:rsidRPr="00BE2C1D" w:rsidRDefault="00BE2C1D" w:rsidP="00BE2C1D">
      <w:pPr>
        <w:spacing w:line="360" w:lineRule="auto"/>
        <w:ind w:left="720"/>
        <w:jc w:val="both"/>
        <w:rPr>
          <w:rFonts w:eastAsiaTheme="minorEastAsia"/>
          <w:sz w:val="20"/>
          <w:szCs w:val="20"/>
          <w:lang w:eastAsia="zh-CN"/>
        </w:rPr>
      </w:pPr>
      <w:r w:rsidRPr="00BE2C1D">
        <w:rPr>
          <w:rFonts w:eastAsiaTheme="minorEastAsia"/>
          <w:sz w:val="20"/>
          <w:szCs w:val="20"/>
          <w:lang w:eastAsia="zh-CN"/>
        </w:rPr>
        <w:t xml:space="preserve">Much research on disabled children rests on a fairly unreflexive acceptance of the distinction disabled/non-disabled and child/non-child. There is an essentialist and totalising understanding of both disability and children as categories. </w:t>
      </w:r>
    </w:p>
    <w:p w14:paraId="6F9A6078" w14:textId="77777777" w:rsidR="00BE2C1D" w:rsidRPr="00BE2C1D" w:rsidRDefault="00BE2C1D" w:rsidP="00BE2C1D">
      <w:pPr>
        <w:spacing w:line="360" w:lineRule="auto"/>
        <w:jc w:val="both"/>
        <w:rPr>
          <w:rFonts w:eastAsiaTheme="minorEastAsia"/>
          <w:lang w:eastAsia="zh-CN"/>
        </w:rPr>
      </w:pPr>
      <w:r w:rsidRPr="00BE2C1D">
        <w:rPr>
          <w:rFonts w:eastAsiaTheme="minorEastAsia"/>
          <w:lang w:eastAsia="zh-CN"/>
        </w:rPr>
        <w:t xml:space="preserve">Moreover, Goodley and Runswick-Cole (2013) made clear that CDS approaches to disabled childhoods also served emancipatory purposes by focusing on the potential of disabled and non-normative bodies to disrupt and trouble the norm. Therefore, the emancipatory politics that CDS promote did not draw on the same identity politics that relied on biological (and humanist) essentialism (Galvin 2003; Shildrick 2013; Overboe 2013) that Watson (2012b) proposed. Furthermore, as Goodley and Runswick-Cole (2015b: 52) maintained:  </w:t>
      </w:r>
    </w:p>
    <w:p w14:paraId="1073DFC5" w14:textId="77777777" w:rsidR="00BE2C1D" w:rsidRPr="00BE2C1D" w:rsidRDefault="00BE2C1D" w:rsidP="00BE2C1D">
      <w:pPr>
        <w:pBdr>
          <w:top w:val="nil"/>
          <w:left w:val="nil"/>
          <w:bottom w:val="nil"/>
          <w:right w:val="nil"/>
          <w:between w:val="nil"/>
        </w:pBdr>
        <w:spacing w:after="0" w:line="360" w:lineRule="auto"/>
        <w:ind w:left="720"/>
        <w:jc w:val="both"/>
        <w:rPr>
          <w:rFonts w:eastAsiaTheme="minorEastAsia"/>
          <w:sz w:val="20"/>
          <w:szCs w:val="20"/>
          <w:lang w:eastAsia="zh-CN"/>
        </w:rPr>
      </w:pPr>
      <w:r w:rsidRPr="00BE2C1D">
        <w:rPr>
          <w:rFonts w:eastAsiaTheme="minorEastAsia"/>
          <w:sz w:val="20"/>
          <w:szCs w:val="20"/>
          <w:lang w:eastAsia="zh-CN"/>
        </w:rPr>
        <w:t xml:space="preserve">In CDS, disabled childhoods have been firmly replanted: from a psycho-medical ground which disability is viewed as synonymous with impairment into the fields of politics, sociology, critical psychology, educational studies and social policy which emphasise the socio-political conditions of disablism. </w:t>
      </w:r>
    </w:p>
    <w:p w14:paraId="485C4BED" w14:textId="77777777" w:rsidR="00BE2C1D" w:rsidRPr="00BE2C1D" w:rsidRDefault="00BE2C1D" w:rsidP="00BE2C1D">
      <w:pPr>
        <w:spacing w:line="360" w:lineRule="auto"/>
        <w:jc w:val="both"/>
        <w:rPr>
          <w:rFonts w:eastAsiaTheme="minorEastAsia"/>
          <w:lang w:eastAsia="zh-CN"/>
        </w:rPr>
      </w:pPr>
      <w:r w:rsidRPr="00BE2C1D">
        <w:rPr>
          <w:rFonts w:eastAsiaTheme="minorEastAsia"/>
          <w:lang w:eastAsia="zh-CN"/>
        </w:rPr>
        <w:t xml:space="preserve">So far, I have provided a review of the different models used to research disabled childhoods drawing on Davis’ (2013) and Watson’s (2012b) analytical distinctions. For instance, the medical, deficit model was (and still remains) the predominant one in research on disabled children and young people. A social model approach, especially its social relational version as articulated by Thomas (2007), was </w:t>
      </w:r>
      <w:r w:rsidRPr="00BE2C1D">
        <w:rPr>
          <w:rFonts w:eastAsiaTheme="minorEastAsia"/>
          <w:lang w:eastAsia="zh-CN"/>
        </w:rPr>
        <w:lastRenderedPageBreak/>
        <w:t xml:space="preserve">significant in discussing the impact of both structural and psycho-emotional disablism on the experiences of disabled children. The poststructuralist approach interrogated the categories of ‘child’ and ‘disability’ and how these played out to marginalise, other, subjugate and exclude disabled children as well as how these categories were performed and/or resisted by them. </w:t>
      </w:r>
    </w:p>
    <w:p w14:paraId="17D9A841" w14:textId="77777777" w:rsidR="00BE2C1D" w:rsidRPr="00BE2C1D" w:rsidRDefault="00BE2C1D" w:rsidP="00BE2C1D">
      <w:pPr>
        <w:spacing w:line="360" w:lineRule="auto"/>
        <w:jc w:val="both"/>
        <w:rPr>
          <w:rFonts w:eastAsiaTheme="minorEastAsia"/>
          <w:lang w:eastAsia="zh-CN"/>
        </w:rPr>
      </w:pPr>
      <w:r w:rsidRPr="00BE2C1D">
        <w:rPr>
          <w:rFonts w:eastAsiaTheme="minorEastAsia"/>
          <w:lang w:eastAsia="zh-CN"/>
        </w:rPr>
        <w:t xml:space="preserve">In the last decade, a new approach to disabled childhoods, which draws on CDS, has been developed: Disabled Children’s Childhood Studies (Curran and Runswick-Cole 2014; Runswick-Cole et al. 2018). In the next part, I discuss the emergence of this approach and what it brings into the research of disabled childhoods or what it does differently.  </w:t>
      </w:r>
    </w:p>
    <w:p w14:paraId="14188156" w14:textId="77777777" w:rsidR="00BE2C1D" w:rsidRPr="00BE2C1D" w:rsidRDefault="00BE2C1D" w:rsidP="00BE2C1D">
      <w:pPr>
        <w:keepNext/>
        <w:keepLines/>
        <w:spacing w:before="40" w:after="0" w:line="360" w:lineRule="auto"/>
        <w:outlineLvl w:val="2"/>
        <w:rPr>
          <w:rFonts w:asciiTheme="majorHAnsi" w:eastAsiaTheme="majorEastAsia" w:hAnsiTheme="majorHAnsi" w:cstheme="majorBidi"/>
          <w:b/>
          <w:bCs/>
          <w:color w:val="1F3763" w:themeColor="accent1" w:themeShade="7F"/>
          <w:sz w:val="24"/>
          <w:szCs w:val="24"/>
          <w:shd w:val="clear" w:color="auto" w:fill="FFFFFF"/>
          <w:lang w:eastAsia="zh-CN"/>
        </w:rPr>
      </w:pPr>
      <w:bookmarkStart w:id="66" w:name="_Toc39585213"/>
      <w:r w:rsidRPr="00BE2C1D">
        <w:rPr>
          <w:rFonts w:asciiTheme="majorHAnsi" w:eastAsiaTheme="majorEastAsia" w:hAnsiTheme="majorHAnsi" w:cstheme="majorBidi"/>
          <w:color w:val="1F3763" w:themeColor="accent1" w:themeShade="7F"/>
          <w:sz w:val="24"/>
          <w:szCs w:val="24"/>
          <w:shd w:val="clear" w:color="auto" w:fill="FFFFFF"/>
          <w:lang w:eastAsia="zh-CN"/>
        </w:rPr>
        <w:t>Emergent Disabled Children’s Childhood Studies</w:t>
      </w:r>
      <w:bookmarkEnd w:id="66"/>
      <w:r w:rsidRPr="00BE2C1D">
        <w:rPr>
          <w:rFonts w:asciiTheme="majorHAnsi" w:eastAsiaTheme="majorEastAsia" w:hAnsiTheme="majorHAnsi" w:cstheme="majorBidi"/>
          <w:color w:val="1F3763" w:themeColor="accent1" w:themeShade="7F"/>
          <w:sz w:val="24"/>
          <w:szCs w:val="24"/>
          <w:shd w:val="clear" w:color="auto" w:fill="FFFFFF"/>
          <w:lang w:eastAsia="zh-CN"/>
        </w:rPr>
        <w:t> </w:t>
      </w:r>
    </w:p>
    <w:p w14:paraId="0B266ACE" w14:textId="77777777" w:rsidR="00BE2C1D" w:rsidRPr="00BE2C1D" w:rsidRDefault="00BE2C1D" w:rsidP="00BE2C1D">
      <w:pPr>
        <w:spacing w:line="360" w:lineRule="auto"/>
        <w:ind w:left="720"/>
        <w:jc w:val="both"/>
        <w:rPr>
          <w:rFonts w:eastAsiaTheme="minorEastAsia"/>
          <w:sz w:val="20"/>
          <w:szCs w:val="20"/>
          <w:lang w:eastAsia="zh-CN"/>
        </w:rPr>
      </w:pPr>
      <w:r w:rsidRPr="00BE2C1D">
        <w:rPr>
          <w:rFonts w:eastAsiaTheme="minorEastAsia"/>
          <w:sz w:val="20"/>
          <w:szCs w:val="20"/>
          <w:lang w:eastAsia="zh-CN"/>
        </w:rPr>
        <w:t xml:space="preserve">In order to understand the experience of disabled children it is necessary to engage simultaneously with new approaches to disability and with new approaches to childhood (Priestley 1998: 207). </w:t>
      </w:r>
    </w:p>
    <w:p w14:paraId="5BDC1AE7" w14:textId="77777777" w:rsidR="00BE2C1D" w:rsidRPr="00BE2C1D" w:rsidRDefault="00BE2C1D" w:rsidP="00BE2C1D">
      <w:pPr>
        <w:spacing w:line="360" w:lineRule="auto"/>
        <w:jc w:val="both"/>
        <w:rPr>
          <w:rFonts w:eastAsiaTheme="minorEastAsia"/>
          <w:lang w:eastAsia="zh-CN"/>
        </w:rPr>
      </w:pPr>
      <w:r w:rsidRPr="00BE2C1D">
        <w:rPr>
          <w:rFonts w:eastAsiaTheme="minorEastAsia"/>
          <w:lang w:eastAsia="zh-CN"/>
        </w:rPr>
        <w:t>Writing at the end of the 1990s, Priestley spoke of the need for new approaches to disability and childhood. Partly, this need was responded to through the engagement with some of the approaches discussed previously e.g. a social model understanding of disabled childhoods, and the impact of the new sociology of childhood on DS, which called for the identification of (disabled) children as social actors (Kelly 2005; Davis 2004). However, a full response to that call (from my perspective) has been given with the emergence of Disabled Children’s Childhood Studies (Curran and Runswick-Cole 2014) in the last decade.  DCCS</w:t>
      </w:r>
      <w:r w:rsidRPr="00BE2C1D">
        <w:rPr>
          <w:rFonts w:eastAsiaTheme="minorEastAsia"/>
          <w:vertAlign w:val="superscript"/>
          <w:lang w:eastAsia="zh-CN"/>
        </w:rPr>
        <w:footnoteReference w:id="21"/>
      </w:r>
      <w:r w:rsidRPr="00BE2C1D">
        <w:rPr>
          <w:rFonts w:eastAsiaTheme="minorEastAsia"/>
          <w:lang w:eastAsia="zh-CN"/>
        </w:rPr>
        <w:t xml:space="preserve"> signified a ‘paradigmatic turn’ (Goodley 2020, n.p.) and a ‘distinct approach (Curran and Runswick-Cole 2014: 1617), which attempted to ‘reinvigorate debates and to challenge the persistent professionalization, medicalisation and pathologisation which continue to dominate accounts of disabled children’s everyday worlds’ (Curran et al. 2018: 45). They emerged the last decade through an international assemblage of disabled children and young people, disabled scholars and activists, parents/carers of disabled children and allies and academics. They all came together during various events, such as conferences (Curran et al. 2018; Curran and Runswick-Cole 2014) and the outcome were two books, ‘Disabled Children’s Childhood Studies’: Critical approaches in a global context’ (Curran and Runswick-Cole 2013) and ‘The Palgrave Handbook of Disabled Children’s Childhood Studies’ (Runswick-Cole et al. 2018). In both books disabled children’s childhoods and voices were centred (Curran and Runswick-Cole 2014). </w:t>
      </w:r>
    </w:p>
    <w:p w14:paraId="2601075B" w14:textId="77777777" w:rsidR="00BE2C1D" w:rsidRPr="00BE2C1D" w:rsidRDefault="00BE2C1D" w:rsidP="00BE2C1D">
      <w:pPr>
        <w:pBdr>
          <w:between w:val="nil"/>
        </w:pBdr>
        <w:spacing w:after="0" w:line="360" w:lineRule="auto"/>
        <w:jc w:val="both"/>
        <w:rPr>
          <w:rFonts w:eastAsiaTheme="minorEastAsia"/>
          <w:color w:val="000000"/>
          <w:sz w:val="20"/>
          <w:szCs w:val="20"/>
          <w:lang w:eastAsia="zh-CN"/>
        </w:rPr>
      </w:pPr>
      <w:r w:rsidRPr="00BE2C1D">
        <w:rPr>
          <w:rFonts w:eastAsiaTheme="minorEastAsia"/>
          <w:color w:val="000000"/>
          <w:lang w:eastAsia="zh-CN"/>
        </w:rPr>
        <w:t>DCCS called for ‘a reorientation of research with disabled children’ (</w:t>
      </w:r>
      <w:r w:rsidRPr="00BE2C1D">
        <w:rPr>
          <w:rFonts w:eastAsiaTheme="minorEastAsia"/>
          <w:lang w:eastAsia="zh-CN"/>
        </w:rPr>
        <w:t>Curran et al. 2018: 46), a reorientation which ‘</w:t>
      </w:r>
      <w:r w:rsidRPr="00BE2C1D">
        <w:rPr>
          <w:rFonts w:eastAsiaTheme="minorEastAsia"/>
          <w:highlight w:val="white"/>
          <w:lang w:eastAsia="zh-CN"/>
        </w:rPr>
        <w:t xml:space="preserve">is not only a matter of involving disabled children in research, but questioning </w:t>
      </w:r>
      <w:r w:rsidRPr="00BE2C1D">
        <w:rPr>
          <w:rFonts w:eastAsiaTheme="minorEastAsia"/>
          <w:highlight w:val="white"/>
          <w:lang w:eastAsia="zh-CN"/>
        </w:rPr>
        <w:lastRenderedPageBreak/>
        <w:t>what is constructed as the</w:t>
      </w:r>
      <w:r w:rsidRPr="00BE2C1D">
        <w:rPr>
          <w:rFonts w:eastAsiaTheme="minorEastAsia"/>
          <w:i/>
          <w:highlight w:val="white"/>
          <w:lang w:eastAsia="zh-CN"/>
        </w:rPr>
        <w:t xml:space="preserve"> problem</w:t>
      </w:r>
      <w:r w:rsidRPr="00BE2C1D">
        <w:rPr>
          <w:rFonts w:eastAsiaTheme="minorEastAsia"/>
          <w:highlight w:val="white"/>
          <w:lang w:eastAsia="zh-CN"/>
        </w:rPr>
        <w:t xml:space="preserve"> to be researched’ (Curran et al. 2018: 46, </w:t>
      </w:r>
      <w:r w:rsidRPr="00BE2C1D">
        <w:rPr>
          <w:rFonts w:eastAsiaTheme="minorEastAsia"/>
          <w:i/>
          <w:iCs/>
          <w:highlight w:val="white"/>
          <w:lang w:eastAsia="zh-CN"/>
        </w:rPr>
        <w:t xml:space="preserve">italics </w:t>
      </w:r>
      <w:r w:rsidRPr="00BE2C1D">
        <w:rPr>
          <w:rFonts w:eastAsiaTheme="minorEastAsia"/>
          <w:highlight w:val="white"/>
          <w:lang w:eastAsia="zh-CN"/>
        </w:rPr>
        <w:t xml:space="preserve">in the original). </w:t>
      </w:r>
      <w:r w:rsidRPr="00BE2C1D">
        <w:rPr>
          <w:rFonts w:eastAsiaTheme="minorEastAsia"/>
          <w:lang w:eastAsia="zh-CN"/>
        </w:rPr>
        <w:t>One of DCCS’s aims was ‘to enable disabled children to step outside the ‘normative shadows’</w:t>
      </w:r>
      <w:r w:rsidRPr="00BE2C1D">
        <w:rPr>
          <w:rFonts w:eastAsiaTheme="minorEastAsia"/>
          <w:color w:val="000000"/>
          <w:vertAlign w:val="superscript"/>
          <w:lang w:eastAsia="zh-CN"/>
        </w:rPr>
        <w:footnoteReference w:id="22"/>
      </w:r>
      <w:r w:rsidRPr="00BE2C1D">
        <w:rPr>
          <w:rFonts w:eastAsiaTheme="minorEastAsia"/>
          <w:color w:val="000000"/>
          <w:lang w:eastAsia="zh-CN"/>
        </w:rPr>
        <w:t xml:space="preserve"> that so often cloud discussions of their </w:t>
      </w:r>
      <w:r w:rsidRPr="00BE2C1D">
        <w:rPr>
          <w:rFonts w:eastAsiaTheme="minorEastAsia"/>
          <w:lang w:eastAsia="zh-CN"/>
        </w:rPr>
        <w:t>lives (Overboe 2004</w:t>
      </w:r>
      <w:r w:rsidRPr="00BE2C1D">
        <w:rPr>
          <w:rFonts w:eastAsiaTheme="minorEastAsia"/>
          <w:color w:val="000000"/>
          <w:lang w:eastAsia="zh-CN"/>
        </w:rPr>
        <w:t xml:space="preserve">)’ (Curran and Runswick-Cole 2014: 1618). </w:t>
      </w:r>
      <w:r w:rsidRPr="00BE2C1D">
        <w:rPr>
          <w:rFonts w:eastAsiaTheme="minorEastAsia"/>
          <w:color w:val="000000"/>
          <w:sz w:val="20"/>
          <w:szCs w:val="20"/>
          <w:lang w:eastAsia="zh-CN"/>
        </w:rPr>
        <w:t xml:space="preserve"> </w:t>
      </w:r>
      <w:r w:rsidRPr="00BE2C1D">
        <w:rPr>
          <w:rFonts w:eastAsiaTheme="minorEastAsia"/>
          <w:color w:val="000000"/>
          <w:lang w:eastAsia="zh-CN"/>
        </w:rPr>
        <w:t xml:space="preserve">Not only did DCCS offer a critique of such limited accounts of disabled childhoods, but they further theorised the disruption of the norm that disabled children pose as something desirable and productive (Curran et al. 2018). DCCS further focused on the disabled children’s positive contributions to their communities (Curran et al. 2018). Furthermore, DCCS recognised </w:t>
      </w:r>
    </w:p>
    <w:p w14:paraId="1083F611" w14:textId="77777777" w:rsidR="00BE2C1D" w:rsidRPr="00BE2C1D" w:rsidRDefault="00BE2C1D" w:rsidP="00BE2C1D">
      <w:pPr>
        <w:spacing w:line="360" w:lineRule="auto"/>
        <w:ind w:left="720"/>
        <w:jc w:val="both"/>
        <w:rPr>
          <w:rFonts w:eastAsiaTheme="minorEastAsia"/>
          <w:sz w:val="20"/>
          <w:szCs w:val="20"/>
          <w:lang w:eastAsia="zh-CN"/>
        </w:rPr>
      </w:pPr>
      <w:r w:rsidRPr="00BE2C1D">
        <w:rPr>
          <w:rFonts w:eastAsiaTheme="minorEastAsia"/>
          <w:sz w:val="20"/>
          <w:szCs w:val="20"/>
          <w:lang w:eastAsia="zh-CN"/>
        </w:rPr>
        <w:t xml:space="preserve">The copious emotional work and labour coming from surviving disablism and living through ableism.  From endlessly negotiating with multiple professionals, systems and policies to performing disability in ways that enable resources and from support and advocacy to managing the psycho-emotional consequences of being marked as Other, the affective politics of disability are brought to bear in ways seldom considered in other ways of knowing and theorising childhood (Runswick-Cole et al. 2018a: 649). </w:t>
      </w:r>
    </w:p>
    <w:p w14:paraId="3183B302" w14:textId="77777777" w:rsidR="00BE2C1D" w:rsidRPr="00BE2C1D" w:rsidRDefault="00BE2C1D" w:rsidP="00BE2C1D">
      <w:pPr>
        <w:spacing w:line="360" w:lineRule="auto"/>
        <w:jc w:val="both"/>
        <w:rPr>
          <w:rFonts w:eastAsiaTheme="minorEastAsia"/>
          <w:lang w:eastAsia="zh-CN"/>
        </w:rPr>
      </w:pPr>
      <w:r w:rsidRPr="00BE2C1D">
        <w:rPr>
          <w:rFonts w:eastAsiaTheme="minorEastAsia"/>
          <w:lang w:eastAsia="zh-CN"/>
        </w:rPr>
        <w:t xml:space="preserve">Such recognition was of particular importance, because it both acknowledged the psycho-emotional disablism disabled children encountered as well as the hidden emotional labour they put to cope with it. These were also issues that were brought up in the participants’ stories. </w:t>
      </w:r>
    </w:p>
    <w:p w14:paraId="24771C7C" w14:textId="77777777" w:rsidR="00BE2C1D" w:rsidRPr="00BE2C1D" w:rsidRDefault="00BE2C1D" w:rsidP="00BE2C1D">
      <w:pPr>
        <w:pBdr>
          <w:between w:val="nil"/>
        </w:pBdr>
        <w:spacing w:after="0" w:line="360" w:lineRule="auto"/>
        <w:jc w:val="both"/>
        <w:rPr>
          <w:rFonts w:eastAsiaTheme="minorEastAsia"/>
          <w:lang w:eastAsia="zh-CN"/>
        </w:rPr>
      </w:pPr>
      <w:r w:rsidRPr="00BE2C1D">
        <w:rPr>
          <w:rFonts w:eastAsiaTheme="minorEastAsia"/>
          <w:lang w:eastAsia="zh-CN"/>
        </w:rPr>
        <w:t>Theoretically, DCCS engaged in a critical dialogue with DS and Childhood Studies (Curran and Runswick-Cole, 2014).</w:t>
      </w:r>
      <w:r w:rsidRPr="00BE2C1D">
        <w:rPr>
          <w:rFonts w:eastAsiaTheme="minorEastAsia"/>
          <w:color w:val="000000"/>
          <w:highlight w:val="white"/>
          <w:lang w:eastAsia="zh-CN"/>
        </w:rPr>
        <w:t xml:space="preserve"> Disabled children remained ostracised from both Childhood Studies for not embodying the ‘normal’ developing, agentic child (Runswick-Cole &amp; Curran 2013; Curran and Runswick-Cole 2014; Mallet and Runswick-Cole 2014; Underwood et al. 2020), and British Disability Studies, which were described as an adult-centric discipline for not having paid enough attention to disabled children’s lives (Curran et al. 2018; Connors and Stalker 2007).</w:t>
      </w:r>
      <w:r w:rsidRPr="00BE2C1D">
        <w:rPr>
          <w:rFonts w:eastAsiaTheme="minorEastAsia"/>
          <w:color w:val="000000"/>
          <w:lang w:eastAsia="zh-CN"/>
        </w:rPr>
        <w:t xml:space="preserve"> </w:t>
      </w:r>
      <w:r w:rsidRPr="00BE2C1D">
        <w:rPr>
          <w:rFonts w:eastAsiaTheme="minorEastAsia"/>
          <w:lang w:eastAsia="zh-CN"/>
        </w:rPr>
        <w:t xml:space="preserve">Another central theoretical concept of DCCS was intersectionality, as it ‘starts with childhood and disability but never ends there’ (Curran and Runswick-Cole 2014: 1619). The imbrication of disabled childhoods with other forms of exclusion (Goodley and Runswick-Cole 2010) made intersectionality integral to make practices of exclusion visible (Curran, 2013). </w:t>
      </w:r>
    </w:p>
    <w:p w14:paraId="088C82D6" w14:textId="77777777" w:rsidR="00BE2C1D" w:rsidRPr="00BE2C1D" w:rsidRDefault="00BE2C1D" w:rsidP="00BE2C1D">
      <w:pPr>
        <w:pBdr>
          <w:between w:val="nil"/>
        </w:pBdr>
        <w:spacing w:after="0" w:line="360" w:lineRule="auto"/>
        <w:jc w:val="both"/>
        <w:rPr>
          <w:rFonts w:eastAsiaTheme="minorEastAsia"/>
          <w:color w:val="000000"/>
          <w:lang w:eastAsia="zh-CN"/>
        </w:rPr>
      </w:pPr>
    </w:p>
    <w:p w14:paraId="118411A7" w14:textId="77777777" w:rsidR="00BE2C1D" w:rsidRPr="00BE2C1D" w:rsidRDefault="00BE2C1D" w:rsidP="00BE2C1D">
      <w:pPr>
        <w:spacing w:line="360" w:lineRule="auto"/>
        <w:jc w:val="both"/>
        <w:rPr>
          <w:rFonts w:eastAsiaTheme="minorEastAsia"/>
          <w:lang w:eastAsia="zh-CN"/>
        </w:rPr>
      </w:pPr>
      <w:r w:rsidRPr="00BE2C1D">
        <w:rPr>
          <w:rFonts w:eastAsiaTheme="minorEastAsia"/>
          <w:lang w:eastAsia="zh-CN"/>
        </w:rPr>
        <w:t xml:space="preserve">DCCS then challenged the ways that disabled childhoods have been understood so far e.g. the disabled child as a traffic figure (Shakespeare and Watson 1998) by centring disabled children’s and young people’s (and disabled adults’ retrospective) stories of what it is and feels like to be a disabled child </w:t>
      </w:r>
      <w:r w:rsidRPr="00BE2C1D">
        <w:rPr>
          <w:rFonts w:eastAsiaTheme="minorEastAsia"/>
          <w:lang w:eastAsia="zh-CN"/>
        </w:rPr>
        <w:lastRenderedPageBreak/>
        <w:t xml:space="preserve">and/or young person. For this to happen, a shift in the way research on disabled children was conducted needed to take place, which meant moving away from the tokenistic participation of disabled children. Hence, DCCS held methodological and ethical implications on how to research with disabled children, which are discussed in the methodology chapter.    </w:t>
      </w:r>
    </w:p>
    <w:p w14:paraId="12A5F934" w14:textId="77777777" w:rsidR="00BE2C1D" w:rsidRPr="00BE2C1D" w:rsidRDefault="00BE2C1D" w:rsidP="00BE2C1D">
      <w:pPr>
        <w:keepNext/>
        <w:keepLines/>
        <w:spacing w:before="40" w:after="0" w:line="360" w:lineRule="auto"/>
        <w:outlineLvl w:val="1"/>
        <w:rPr>
          <w:rFonts w:asciiTheme="majorHAnsi" w:eastAsiaTheme="majorEastAsia" w:hAnsiTheme="majorHAnsi" w:cstheme="majorBidi"/>
          <w:color w:val="2F5496" w:themeColor="accent1" w:themeShade="BF"/>
          <w:sz w:val="26"/>
          <w:szCs w:val="26"/>
          <w:lang w:eastAsia="zh-CN"/>
        </w:rPr>
      </w:pPr>
      <w:bookmarkStart w:id="67" w:name="_Toc39585214"/>
      <w:r w:rsidRPr="00BE2C1D">
        <w:rPr>
          <w:rFonts w:asciiTheme="majorHAnsi" w:eastAsiaTheme="majorEastAsia" w:hAnsiTheme="majorHAnsi" w:cstheme="majorBidi"/>
          <w:color w:val="2F5496" w:themeColor="accent1" w:themeShade="BF"/>
          <w:sz w:val="26"/>
          <w:szCs w:val="26"/>
          <w:lang w:eastAsia="zh-CN"/>
        </w:rPr>
        <w:t>Reviewing the Literature on Young People with Restricted Growth</w:t>
      </w:r>
      <w:bookmarkEnd w:id="67"/>
      <w:r w:rsidRPr="00BE2C1D">
        <w:rPr>
          <w:rFonts w:asciiTheme="majorHAnsi" w:eastAsiaTheme="majorEastAsia" w:hAnsiTheme="majorHAnsi" w:cstheme="majorBidi"/>
          <w:color w:val="2F5496" w:themeColor="accent1" w:themeShade="BF"/>
          <w:sz w:val="26"/>
          <w:szCs w:val="26"/>
          <w:lang w:eastAsia="zh-CN"/>
        </w:rPr>
        <w:t xml:space="preserve"> </w:t>
      </w:r>
    </w:p>
    <w:p w14:paraId="045608F3" w14:textId="77777777" w:rsidR="00BE2C1D" w:rsidRPr="00BE2C1D" w:rsidRDefault="00BE2C1D" w:rsidP="00BE2C1D">
      <w:pPr>
        <w:spacing w:line="360" w:lineRule="auto"/>
        <w:jc w:val="both"/>
        <w:rPr>
          <w:rFonts w:eastAsiaTheme="minorEastAsia"/>
          <w:lang w:eastAsia="zh-CN"/>
        </w:rPr>
      </w:pPr>
      <w:r w:rsidRPr="00BE2C1D">
        <w:rPr>
          <w:rFonts w:eastAsiaTheme="minorEastAsia"/>
          <w:lang w:eastAsia="zh-CN"/>
        </w:rPr>
        <w:t xml:space="preserve">This section focuses on the empirical studies conducted on children and young people with Restricted Growth (and short stature) from a range of disciplines, such as Psychology, Education and Medicine. The review of the studies follows a discussion of methodological critiques of them and their problematic implications. Finally, a discussion of the role of height(ism) in the school classroom takes place. </w:t>
      </w:r>
    </w:p>
    <w:p w14:paraId="73A20992" w14:textId="77777777" w:rsidR="00BE2C1D" w:rsidRPr="00BE2C1D" w:rsidRDefault="00BE2C1D" w:rsidP="00BE2C1D">
      <w:pPr>
        <w:keepNext/>
        <w:keepLines/>
        <w:spacing w:before="40" w:after="0" w:line="360" w:lineRule="auto"/>
        <w:outlineLvl w:val="2"/>
        <w:rPr>
          <w:rFonts w:asciiTheme="majorHAnsi" w:eastAsiaTheme="majorEastAsia" w:hAnsiTheme="majorHAnsi" w:cstheme="majorBidi"/>
          <w:color w:val="2F5496" w:themeColor="accent1" w:themeShade="BF"/>
          <w:sz w:val="24"/>
          <w:szCs w:val="24"/>
          <w:lang w:eastAsia="zh-CN"/>
        </w:rPr>
      </w:pPr>
      <w:bookmarkStart w:id="68" w:name="_Toc37963522"/>
      <w:bookmarkStart w:id="69" w:name="_Toc39585215"/>
      <w:r w:rsidRPr="00BE2C1D">
        <w:rPr>
          <w:rFonts w:asciiTheme="majorHAnsi" w:eastAsiaTheme="majorEastAsia" w:hAnsiTheme="majorHAnsi" w:cstheme="majorBidi"/>
          <w:color w:val="2F5496" w:themeColor="accent1" w:themeShade="BF"/>
          <w:sz w:val="24"/>
          <w:szCs w:val="24"/>
          <w:lang w:eastAsia="zh-CN"/>
        </w:rPr>
        <w:t>Psychological Studies</w:t>
      </w:r>
      <w:bookmarkEnd w:id="68"/>
      <w:bookmarkEnd w:id="69"/>
      <w:r w:rsidRPr="00BE2C1D">
        <w:rPr>
          <w:rFonts w:asciiTheme="majorHAnsi" w:eastAsiaTheme="majorEastAsia" w:hAnsiTheme="majorHAnsi" w:cstheme="majorBidi"/>
          <w:color w:val="2F5496" w:themeColor="accent1" w:themeShade="BF"/>
          <w:sz w:val="24"/>
          <w:szCs w:val="24"/>
          <w:lang w:eastAsia="zh-CN"/>
        </w:rPr>
        <w:t xml:space="preserve"> </w:t>
      </w:r>
    </w:p>
    <w:p w14:paraId="2A562831" w14:textId="77777777" w:rsidR="00BE2C1D" w:rsidRPr="00BE2C1D" w:rsidRDefault="00BE2C1D" w:rsidP="00BE2C1D">
      <w:pPr>
        <w:spacing w:line="360" w:lineRule="auto"/>
        <w:ind w:left="360"/>
        <w:jc w:val="both"/>
        <w:rPr>
          <w:rFonts w:eastAsiaTheme="minorEastAsia"/>
          <w:sz w:val="20"/>
          <w:szCs w:val="20"/>
          <w:lang w:eastAsia="zh-CN"/>
        </w:rPr>
      </w:pPr>
      <w:r w:rsidRPr="00BE2C1D">
        <w:rPr>
          <w:rFonts w:eastAsiaTheme="minorEastAsia"/>
          <w:sz w:val="20"/>
          <w:szCs w:val="20"/>
          <w:lang w:eastAsia="zh-CN"/>
        </w:rPr>
        <w:t xml:space="preserve">Children have been a more popular focus than adults, but for both, attention has often focused on psychosocial issues such as the relative </w:t>
      </w:r>
      <w:r w:rsidRPr="00BE2C1D">
        <w:rPr>
          <w:rFonts w:eastAsiaTheme="minorEastAsia"/>
          <w:b/>
          <w:sz w:val="20"/>
          <w:szCs w:val="20"/>
          <w:lang w:eastAsia="zh-CN"/>
        </w:rPr>
        <w:t xml:space="preserve">disadvantage </w:t>
      </w:r>
      <w:r w:rsidRPr="00BE2C1D">
        <w:rPr>
          <w:rFonts w:eastAsiaTheme="minorEastAsia"/>
          <w:sz w:val="20"/>
          <w:szCs w:val="20"/>
          <w:lang w:eastAsia="zh-CN"/>
        </w:rPr>
        <w:t>of short stature per se (Thompson et al. 2008: 2, my emphasis).</w:t>
      </w:r>
    </w:p>
    <w:p w14:paraId="4650A6E8" w14:textId="77777777" w:rsidR="00BE2C1D" w:rsidRPr="00BE2C1D" w:rsidRDefault="00BE2C1D" w:rsidP="00BE2C1D">
      <w:pPr>
        <w:spacing w:line="360" w:lineRule="auto"/>
        <w:jc w:val="both"/>
        <w:rPr>
          <w:rFonts w:eastAsiaTheme="minorEastAsia"/>
          <w:lang w:eastAsia="zh-CN"/>
        </w:rPr>
      </w:pPr>
      <w:r w:rsidRPr="00BE2C1D">
        <w:rPr>
          <w:rFonts w:eastAsiaTheme="minorEastAsia"/>
          <w:lang w:eastAsia="zh-CN"/>
        </w:rPr>
        <w:t>Reflecting on the available research around Restricted Growth</w:t>
      </w:r>
      <w:r w:rsidRPr="00BE2C1D">
        <w:rPr>
          <w:rFonts w:eastAsiaTheme="minorEastAsia"/>
          <w:vertAlign w:val="superscript"/>
          <w:lang w:eastAsia="zh-CN"/>
        </w:rPr>
        <w:footnoteReference w:id="23"/>
      </w:r>
      <w:r w:rsidRPr="00BE2C1D">
        <w:rPr>
          <w:rFonts w:eastAsiaTheme="minorEastAsia"/>
          <w:lang w:eastAsia="zh-CN"/>
        </w:rPr>
        <w:t>, Thompson et al. (2008) argued that research has tended to focus on children rather than adults and the conclusions it reached was that shortness was inherently negative (‘a relative disadvantage’). Shortness was described as a ‘handicap’ (Medeiros 2016), a ‘disability’</w:t>
      </w:r>
      <w:r w:rsidRPr="00BE2C1D">
        <w:rPr>
          <w:rFonts w:eastAsiaTheme="minorEastAsia"/>
          <w:vertAlign w:val="superscript"/>
          <w:lang w:eastAsia="zh-CN"/>
        </w:rPr>
        <w:footnoteReference w:id="24"/>
      </w:r>
      <w:r w:rsidRPr="00BE2C1D">
        <w:rPr>
          <w:rFonts w:eastAsiaTheme="minorEastAsia"/>
          <w:lang w:eastAsia="zh-CN"/>
        </w:rPr>
        <w:t xml:space="preserve"> (Law 1987) and a psycho-social disadvantage and/or burden (Eihozer et al. 1999), especially during childhood and adolescence. De Onis et al. (2012: 1, my emphasis), discussing the urgent need for the adoption of international growth standards produced by the World Health Organisation, proposed that </w:t>
      </w:r>
    </w:p>
    <w:p w14:paraId="1F1FFA95" w14:textId="77777777" w:rsidR="00BE2C1D" w:rsidRPr="00BE2C1D" w:rsidRDefault="00BE2C1D" w:rsidP="00BE2C1D">
      <w:pPr>
        <w:spacing w:after="0" w:line="360" w:lineRule="auto"/>
        <w:ind w:left="720"/>
        <w:jc w:val="both"/>
        <w:rPr>
          <w:rFonts w:eastAsiaTheme="minorEastAsia"/>
          <w:sz w:val="20"/>
          <w:szCs w:val="20"/>
          <w:lang w:eastAsia="zh-CN"/>
        </w:rPr>
      </w:pPr>
      <w:r w:rsidRPr="00BE2C1D">
        <w:rPr>
          <w:rFonts w:eastAsiaTheme="minorEastAsia"/>
          <w:sz w:val="20"/>
          <w:szCs w:val="20"/>
          <w:lang w:eastAsia="zh-CN"/>
        </w:rPr>
        <w:t xml:space="preserve">The assessment of growth in children is important for monitoring health status, identifying deviations from normality and determining the effectiveness of interventions. The significance of timely detection of </w:t>
      </w:r>
      <w:r w:rsidRPr="00BE2C1D">
        <w:rPr>
          <w:rFonts w:eastAsiaTheme="minorEastAsia"/>
          <w:b/>
          <w:sz w:val="20"/>
          <w:szCs w:val="20"/>
          <w:lang w:eastAsia="zh-CN"/>
        </w:rPr>
        <w:t>poor growth</w:t>
      </w:r>
      <w:r w:rsidRPr="00BE2C1D">
        <w:rPr>
          <w:rFonts w:eastAsiaTheme="minorEastAsia"/>
          <w:sz w:val="20"/>
          <w:szCs w:val="20"/>
          <w:lang w:eastAsia="zh-CN"/>
        </w:rPr>
        <w:t xml:space="preserve"> in early life resides in its association with </w:t>
      </w:r>
      <w:r w:rsidRPr="00BE2C1D">
        <w:rPr>
          <w:rFonts w:eastAsiaTheme="minorEastAsia"/>
          <w:b/>
          <w:sz w:val="20"/>
          <w:szCs w:val="20"/>
          <w:lang w:eastAsia="zh-CN"/>
        </w:rPr>
        <w:t>adverse functional consequences</w:t>
      </w:r>
      <w:r w:rsidRPr="00BE2C1D">
        <w:rPr>
          <w:rFonts w:eastAsiaTheme="minorEastAsia"/>
          <w:sz w:val="20"/>
          <w:szCs w:val="20"/>
          <w:lang w:eastAsia="zh-CN"/>
        </w:rPr>
        <w:t xml:space="preserve">, including </w:t>
      </w:r>
      <w:r w:rsidRPr="00BE2C1D">
        <w:rPr>
          <w:rFonts w:eastAsiaTheme="minorEastAsia"/>
          <w:b/>
          <w:sz w:val="20"/>
          <w:szCs w:val="20"/>
          <w:lang w:eastAsia="zh-CN"/>
        </w:rPr>
        <w:t>poor cognition</w:t>
      </w:r>
      <w:r w:rsidRPr="00BE2C1D">
        <w:rPr>
          <w:rFonts w:eastAsiaTheme="minorEastAsia"/>
          <w:sz w:val="20"/>
          <w:szCs w:val="20"/>
          <w:lang w:eastAsia="zh-CN"/>
        </w:rPr>
        <w:t xml:space="preserve"> and </w:t>
      </w:r>
      <w:r w:rsidRPr="00BE2C1D">
        <w:rPr>
          <w:rFonts w:eastAsiaTheme="minorEastAsia"/>
          <w:b/>
          <w:sz w:val="20"/>
          <w:szCs w:val="20"/>
          <w:lang w:eastAsia="zh-CN"/>
        </w:rPr>
        <w:t>educational performance</w:t>
      </w:r>
      <w:r w:rsidRPr="00BE2C1D">
        <w:rPr>
          <w:rFonts w:eastAsiaTheme="minorEastAsia"/>
          <w:sz w:val="20"/>
          <w:szCs w:val="20"/>
          <w:lang w:eastAsia="zh-CN"/>
        </w:rPr>
        <w:t>, low adult wages, lost productivity…</w:t>
      </w:r>
    </w:p>
    <w:p w14:paraId="28DCF9FA" w14:textId="77777777" w:rsidR="00BE2C1D" w:rsidRPr="00BE2C1D" w:rsidRDefault="00BE2C1D" w:rsidP="00BE2C1D">
      <w:pPr>
        <w:spacing w:line="360" w:lineRule="auto"/>
        <w:jc w:val="both"/>
        <w:rPr>
          <w:rFonts w:eastAsiaTheme="minorEastAsia"/>
          <w:lang w:eastAsia="zh-CN"/>
        </w:rPr>
      </w:pPr>
      <w:r w:rsidRPr="00BE2C1D">
        <w:rPr>
          <w:rFonts w:ascii="Calibri" w:eastAsiaTheme="minorEastAsia" w:hAnsi="Calibri" w:cs="Calibri"/>
          <w:lang w:eastAsia="zh-CN"/>
        </w:rPr>
        <w:t>Not only shortness was discussed in negative terms because it constituted a sign of deviation from ‘normal’, ‘typical’ development (Tanner 1986), but it was also regarded a trigger for other deficits e.g. behavioural, psycho-social and emotional deficits on which child psychologists shed light.</w:t>
      </w:r>
      <w:r w:rsidRPr="00BE2C1D">
        <w:rPr>
          <w:rFonts w:eastAsiaTheme="minorEastAsia"/>
          <w:lang w:eastAsia="zh-CN"/>
        </w:rPr>
        <w:t xml:space="preserve"> The child with RG became the object of psychological and medical research since the end of the 19th</w:t>
      </w:r>
      <w:r w:rsidRPr="00BE2C1D">
        <w:rPr>
          <w:rFonts w:eastAsiaTheme="minorEastAsia"/>
          <w:vertAlign w:val="superscript"/>
          <w:lang w:eastAsia="zh-CN"/>
        </w:rPr>
        <w:t>th</w:t>
      </w:r>
      <w:r w:rsidRPr="00BE2C1D">
        <w:rPr>
          <w:rFonts w:eastAsiaTheme="minorEastAsia"/>
          <w:lang w:eastAsia="zh-CN"/>
        </w:rPr>
        <w:t xml:space="preserve"> century (Medeiros 2016). Many psychological studies proposed that RG (and shortness) was the source of a range of behavioural and emotional problems for children and young people with RG (</w:t>
      </w:r>
      <w:r w:rsidRPr="00BE2C1D">
        <w:rPr>
          <w:rFonts w:ascii="Calibri" w:eastAsiaTheme="minorEastAsia" w:hAnsi="Calibri" w:cs="Calibri"/>
          <w:lang w:eastAsia="zh-CN"/>
        </w:rPr>
        <w:t xml:space="preserve">Abbott et al. </w:t>
      </w:r>
      <w:r w:rsidRPr="00BE2C1D">
        <w:rPr>
          <w:rFonts w:ascii="Calibri" w:eastAsiaTheme="minorEastAsia" w:hAnsi="Calibri" w:cs="Calibri"/>
          <w:lang w:eastAsia="zh-CN"/>
        </w:rPr>
        <w:lastRenderedPageBreak/>
        <w:t>1982; Gordon et al. 1982; Money and Pollitt 1966; Stabler et al. 1994). These studies recruited children and young people with various RG conditions who had been involved in clinical trials and used standardised psychological tests</w:t>
      </w:r>
      <w:r w:rsidRPr="00BE2C1D">
        <w:rPr>
          <w:rFonts w:ascii="Calibri" w:eastAsiaTheme="minorEastAsia" w:hAnsi="Calibri" w:cs="Calibri"/>
          <w:vertAlign w:val="superscript"/>
          <w:lang w:eastAsia="zh-CN"/>
        </w:rPr>
        <w:footnoteReference w:id="25"/>
      </w:r>
      <w:r w:rsidRPr="00BE2C1D">
        <w:rPr>
          <w:rFonts w:ascii="Calibri" w:eastAsiaTheme="minorEastAsia" w:hAnsi="Calibri" w:cs="Calibri"/>
          <w:lang w:eastAsia="zh-CN"/>
        </w:rPr>
        <w:t xml:space="preserve"> that children, their parents and their teachers had to fill. In a similar manner, a good deal of psychological studies proposed that children and young people presented poor social skills (Stabler et al. 1994; Steinausen and Stahnke 1976) and were social withdrawn and isolated (Apajasalo et al. 1998; Stabler et al. 1980; Stace and Danks 1981). Furthermore, several studies suggested that children with RG had low self-esteem as a result of their shortness (Apajasalo et al. 1998; </w:t>
      </w:r>
      <w:r w:rsidRPr="00BE2C1D">
        <w:rPr>
          <w:rFonts w:ascii="Calibri" w:eastAsiaTheme="minorEastAsia" w:hAnsi="Calibri" w:cs="Calibri"/>
          <w:bCs/>
          <w:lang w:eastAsia="zh-CN"/>
        </w:rPr>
        <w:t xml:space="preserve">Brust et al. 1976; </w:t>
      </w:r>
      <w:r w:rsidRPr="00BE2C1D">
        <w:rPr>
          <w:rFonts w:ascii="Calibri" w:eastAsiaTheme="minorEastAsia" w:hAnsi="Calibri" w:cs="Calibri"/>
          <w:lang w:eastAsia="zh-CN"/>
        </w:rPr>
        <w:t xml:space="preserve">Gordon et al. 1982; Money and Pollitt 1961; Rotnem et al. 1977). </w:t>
      </w:r>
    </w:p>
    <w:p w14:paraId="406EA91D" w14:textId="77777777" w:rsidR="00BE2C1D" w:rsidRPr="00BE2C1D" w:rsidRDefault="00BE2C1D" w:rsidP="00BE2C1D">
      <w:pPr>
        <w:spacing w:line="360" w:lineRule="auto"/>
        <w:jc w:val="both"/>
        <w:rPr>
          <w:rFonts w:ascii="Calibri" w:eastAsiaTheme="minorEastAsia" w:hAnsi="Calibri" w:cs="Calibri"/>
          <w:lang w:eastAsia="zh-CN"/>
        </w:rPr>
      </w:pPr>
      <w:r w:rsidRPr="00BE2C1D">
        <w:rPr>
          <w:rFonts w:ascii="Calibri" w:eastAsiaTheme="minorEastAsia" w:hAnsi="Calibri" w:cs="Calibri"/>
          <w:lang w:eastAsia="zh-CN"/>
        </w:rPr>
        <w:t xml:space="preserve">Frankel (1996: 470), for example, discussed children with RG in the following way: </w:t>
      </w:r>
    </w:p>
    <w:p w14:paraId="705A8756" w14:textId="77777777" w:rsidR="00BE2C1D" w:rsidRPr="00BE2C1D" w:rsidRDefault="00BE2C1D" w:rsidP="00BE2C1D">
      <w:pPr>
        <w:spacing w:line="360" w:lineRule="auto"/>
        <w:ind w:left="360"/>
        <w:jc w:val="both"/>
        <w:rPr>
          <w:rFonts w:eastAsiaTheme="minorEastAsia"/>
          <w:sz w:val="20"/>
          <w:szCs w:val="20"/>
          <w:lang w:eastAsia="zh-CN"/>
        </w:rPr>
      </w:pPr>
      <w:r w:rsidRPr="00BE2C1D">
        <w:rPr>
          <w:rFonts w:eastAsiaTheme="minorEastAsia"/>
          <w:sz w:val="20"/>
          <w:szCs w:val="20"/>
          <w:shd w:val="clear" w:color="auto" w:fill="FFFFFF"/>
          <w:lang w:eastAsia="zh-CN"/>
        </w:rPr>
        <w:t>Recognizing their comparative smallness left them feeling vulnerable and humiliated. They responded with envy and rage toward normally endowed children and vindictively used their intellect to outwit and defeat others. They acted as if their suffering exempted them from ordinary social rules and expectations. Their preoccupation also resulted in arrests in cognitive and social development. Their distrust and intention to deceive and defeat posed particular problems for treatment.</w:t>
      </w:r>
    </w:p>
    <w:p w14:paraId="5C06EB39" w14:textId="77777777" w:rsidR="00BE2C1D" w:rsidRPr="00BE2C1D" w:rsidRDefault="00BE2C1D" w:rsidP="00BE2C1D">
      <w:pPr>
        <w:spacing w:line="360" w:lineRule="auto"/>
        <w:jc w:val="both"/>
        <w:rPr>
          <w:rFonts w:eastAsiaTheme="minorEastAsia"/>
          <w:lang w:eastAsia="zh-CN"/>
        </w:rPr>
      </w:pPr>
      <w:r w:rsidRPr="00BE2C1D">
        <w:rPr>
          <w:rFonts w:eastAsiaTheme="minorEastAsia"/>
          <w:lang w:eastAsia="zh-CN"/>
        </w:rPr>
        <w:t>Not only was RG (and shortness) believed to come with behavioural and psycho-social deficits and low self-esteem, it was also linked with cognitive deficits and poor academic performance. Adelson (2005c) suggested that this was the case only with certain RG conditions, such as Russel syndrome. Certain psychological studies focused on particular RG conditions, such as Growth Hormone Deficiency and achondroplasia, and argued that children with the former had a lower IQ and children with the latter had an average IQ (</w:t>
      </w:r>
      <w:r w:rsidRPr="00BE2C1D">
        <w:rPr>
          <w:rFonts w:ascii="Calibri" w:eastAsiaTheme="minorEastAsia" w:hAnsi="Calibri" w:cs="Calibri"/>
          <w:lang w:eastAsia="zh-CN"/>
        </w:rPr>
        <w:t xml:space="preserve">Pollitt and Money 1964; </w:t>
      </w:r>
      <w:r w:rsidRPr="00BE2C1D">
        <w:rPr>
          <w:rFonts w:eastAsiaTheme="minorEastAsia"/>
          <w:lang w:eastAsia="zh-CN"/>
        </w:rPr>
        <w:t>T</w:t>
      </w:r>
      <w:r w:rsidRPr="00BE2C1D">
        <w:rPr>
          <w:rFonts w:ascii="Calibri" w:eastAsiaTheme="minorEastAsia" w:hAnsi="Calibri" w:cs="Calibri"/>
          <w:lang w:eastAsia="zh-CN"/>
        </w:rPr>
        <w:t>odorov et al. 1981</w:t>
      </w:r>
      <w:r w:rsidRPr="00BE2C1D">
        <w:rPr>
          <w:rFonts w:eastAsiaTheme="minorEastAsia"/>
          <w:lang w:eastAsia="zh-CN"/>
        </w:rPr>
        <w:t>). Other clinical studies explored a range of RG conditions and proposed that children with RG had a lower IQ compared to their peers (</w:t>
      </w:r>
      <w:r w:rsidRPr="00BE2C1D">
        <w:rPr>
          <w:rFonts w:eastAsiaTheme="minorEastAsia"/>
          <w:color w:val="000000"/>
          <w:lang w:eastAsia="zh-CN"/>
        </w:rPr>
        <w:t xml:space="preserve">Dowdney et al. 1987; Stabler et al. 1994). On the other hand, there were also clinical studies that argued for the opposite, asserting that children’s IQ was within the normal distribution (Law 1987; Lee and Ronsefeld 1987). </w:t>
      </w:r>
    </w:p>
    <w:p w14:paraId="107AC2A6" w14:textId="77777777" w:rsidR="00BE2C1D" w:rsidRPr="00BE2C1D" w:rsidRDefault="00BE2C1D" w:rsidP="00BE2C1D">
      <w:pPr>
        <w:spacing w:line="360" w:lineRule="auto"/>
        <w:jc w:val="both"/>
        <w:rPr>
          <w:rFonts w:eastAsiaTheme="minorEastAsia"/>
          <w:lang w:eastAsia="zh-CN"/>
        </w:rPr>
      </w:pPr>
      <w:r w:rsidRPr="00BE2C1D">
        <w:rPr>
          <w:rFonts w:ascii="Calibri" w:eastAsiaTheme="minorEastAsia" w:hAnsi="Calibri" w:cs="Calibri"/>
          <w:lang w:eastAsia="zh-CN"/>
        </w:rPr>
        <w:t>It was further argued that the aforementioned psychosocial problems usually carried on to adulthood (Adelson 2005c: 133), affecting the quality of life of short individuals (Stace and Danks 1981). Morrison (2019: 510) discussed how the ‘formal testing for quality of life (QoL) and psychological well-being was one way of framing the putative psycho-social burden of shortness’. As Medeiros (2016: 116) proposed, ‘</w:t>
      </w:r>
      <w:r w:rsidRPr="00BE2C1D">
        <w:rPr>
          <w:rFonts w:eastAsiaTheme="minorEastAsia"/>
          <w:lang w:eastAsia="zh-CN"/>
        </w:rPr>
        <w:t>the psychological literature concerning short-statured children is remarkable in that, with few exceptions, the conclusion is that shortness is a handicapping</w:t>
      </w:r>
      <w:r w:rsidRPr="00BE2C1D">
        <w:rPr>
          <w:rFonts w:eastAsiaTheme="minorEastAsia"/>
          <w:vertAlign w:val="superscript"/>
          <w:lang w:eastAsia="zh-CN"/>
        </w:rPr>
        <w:footnoteReference w:id="26"/>
      </w:r>
      <w:r w:rsidRPr="00BE2C1D">
        <w:rPr>
          <w:rFonts w:eastAsiaTheme="minorEastAsia"/>
          <w:lang w:eastAsia="zh-CN"/>
        </w:rPr>
        <w:t xml:space="preserve"> condition’.</w:t>
      </w:r>
    </w:p>
    <w:p w14:paraId="508A2515" w14:textId="77777777" w:rsidR="00BE2C1D" w:rsidRPr="00BE2C1D" w:rsidRDefault="00BE2C1D" w:rsidP="00BE2C1D">
      <w:pPr>
        <w:keepNext/>
        <w:keepLines/>
        <w:spacing w:before="40" w:after="0" w:line="360" w:lineRule="auto"/>
        <w:outlineLvl w:val="2"/>
        <w:rPr>
          <w:rFonts w:eastAsiaTheme="minorEastAsia"/>
          <w:lang w:eastAsia="zh-CN"/>
        </w:rPr>
      </w:pPr>
      <w:bookmarkStart w:id="70" w:name="_Toc37963523"/>
      <w:bookmarkStart w:id="71" w:name="_Toc39585216"/>
      <w:r w:rsidRPr="00BE2C1D">
        <w:rPr>
          <w:rFonts w:asciiTheme="majorHAnsi" w:eastAsiaTheme="majorEastAsia" w:hAnsiTheme="majorHAnsi" w:cstheme="majorBidi"/>
          <w:color w:val="1F3763" w:themeColor="accent1" w:themeShade="7F"/>
          <w:sz w:val="24"/>
          <w:szCs w:val="24"/>
          <w:lang w:eastAsia="zh-CN"/>
        </w:rPr>
        <w:lastRenderedPageBreak/>
        <w:t>Educational Studies</w:t>
      </w:r>
      <w:bookmarkEnd w:id="70"/>
      <w:bookmarkEnd w:id="71"/>
    </w:p>
    <w:p w14:paraId="5EBD7B1B" w14:textId="77777777" w:rsidR="00BE2C1D" w:rsidRPr="00BE2C1D" w:rsidRDefault="00BE2C1D" w:rsidP="00BE2C1D">
      <w:pPr>
        <w:spacing w:line="360" w:lineRule="auto"/>
        <w:jc w:val="both"/>
        <w:rPr>
          <w:rFonts w:eastAsiaTheme="minorEastAsia"/>
          <w:color w:val="000000"/>
          <w:lang w:eastAsia="zh-CN"/>
        </w:rPr>
      </w:pPr>
      <w:r w:rsidRPr="00BE2C1D">
        <w:rPr>
          <w:rFonts w:eastAsiaTheme="minorEastAsia"/>
          <w:color w:val="000000"/>
          <w:lang w:eastAsia="zh-CN"/>
        </w:rPr>
        <w:t xml:space="preserve">The cognitive deficits triggered by RG were also related to the poor academic performance of children with RG. For instance, </w:t>
      </w:r>
      <w:r w:rsidRPr="00BE2C1D">
        <w:rPr>
          <w:rFonts w:eastAsiaTheme="minorEastAsia"/>
          <w:lang w:eastAsia="zh-CN"/>
        </w:rPr>
        <w:t>studies comparing the educational attainment between short children and their ‘average-height’ siblings suggested that the taller siblings performed better in schools compared to the shorter siblings (Magnusson et al. 2006; Silventoinen et al. 2000; Teasdale et al. 1991), attributing such differences to the relation between height and cognition (simply put: the taller, the smarter). Besides cognitive deficits, the poor academic performance of children with RG was also associated with a range of other factors, such as poor work habits, tendency to tire easily, short attention span, need for approval, low self-esteem and social withdrawal (Wilkinson 1988). An exception to positioning the ‘problem’ of poor academic performance in the children’s bodies was Voss et al.’s (1991) and Dowdney et al.’s (1998) studies, which noted that children with RG who were underperforming usually belonged to working class families, considering thus the role of the class in academic performance. As Adelson (2005c: 126) noted, ‘[t]he problem of underachievement was always situated in the body of the individual or the environment’.</w:t>
      </w:r>
    </w:p>
    <w:p w14:paraId="2628AAE7" w14:textId="77777777" w:rsidR="00BE2C1D" w:rsidRPr="00BE2C1D" w:rsidRDefault="00BE2C1D" w:rsidP="00BE2C1D">
      <w:pPr>
        <w:spacing w:line="360" w:lineRule="auto"/>
        <w:jc w:val="both"/>
        <w:rPr>
          <w:rFonts w:eastAsiaTheme="minorEastAsia"/>
          <w:lang w:eastAsia="zh-CN"/>
        </w:rPr>
      </w:pPr>
      <w:r w:rsidRPr="00BE2C1D">
        <w:rPr>
          <w:rFonts w:eastAsiaTheme="minorEastAsia"/>
          <w:color w:val="000000"/>
          <w:lang w:eastAsia="zh-CN"/>
        </w:rPr>
        <w:t xml:space="preserve">Furthermore, several studies found that children with RG had repeated the same class during their schooling, a phenomenon known as grade retention. </w:t>
      </w:r>
      <w:r w:rsidRPr="00BE2C1D">
        <w:rPr>
          <w:rFonts w:eastAsiaTheme="minorEastAsia"/>
          <w:lang w:eastAsia="zh-CN"/>
        </w:rPr>
        <w:t>Abbott et al. (1982) related grade retention to long periods of being absent from school due to long-term hospitalisation, whereas Stace and Danks (1981) noted that children with a ‘marked height problem’</w:t>
      </w:r>
      <w:r w:rsidRPr="00BE2C1D">
        <w:rPr>
          <w:rFonts w:eastAsiaTheme="minorEastAsia"/>
          <w:vertAlign w:val="superscript"/>
          <w:lang w:eastAsia="zh-CN"/>
        </w:rPr>
        <w:footnoteReference w:id="27"/>
      </w:r>
      <w:r w:rsidRPr="00BE2C1D">
        <w:rPr>
          <w:rFonts w:eastAsiaTheme="minorEastAsia"/>
          <w:lang w:eastAsia="zh-CN"/>
        </w:rPr>
        <w:t xml:space="preserve"> and those who had started school younger were the ones who had to repeat the same class. Holmes et al.’s (1982) longitudinal study involved different stakeholders - parents and teachers - who attributed grade retention to different reasons. Parents initially associated grade retention with their children’s small size and immaturity. The same parents were also asked two years later about the rationale for grade retention, after their children got tested for their academic performance, after it was reported that they had a lower IQ than what it was expected based on their chronological age. Parents then attributed grade retention to their children’s poor academic performance, since they were convinced that their children’s IQ was lower (Holmes et al. 1984). In the same study, teachers had linked grade retention with the children’s personality and behavioural problems. Wake et al. (2000) also noted that decisions on grade retention were highly influenced by the gender (boys in particular) and the height of the students. </w:t>
      </w:r>
    </w:p>
    <w:p w14:paraId="01312F92" w14:textId="77777777" w:rsidR="00BE2C1D" w:rsidRPr="00BE2C1D" w:rsidRDefault="00BE2C1D" w:rsidP="00BE2C1D">
      <w:pPr>
        <w:spacing w:line="360" w:lineRule="auto"/>
        <w:jc w:val="both"/>
        <w:rPr>
          <w:rFonts w:eastAsiaTheme="minorEastAsia"/>
          <w:lang w:eastAsia="zh-CN"/>
        </w:rPr>
      </w:pPr>
      <w:r w:rsidRPr="00BE2C1D">
        <w:rPr>
          <w:rFonts w:eastAsiaTheme="minorEastAsia"/>
          <w:lang w:eastAsia="zh-CN"/>
        </w:rPr>
        <w:t xml:space="preserve">So far, I have discussed how the child with RG was researched and depicted by psychological and educational studies, which proposed that RG (and shortness) came with various other deficits, such as </w:t>
      </w:r>
      <w:r w:rsidRPr="00BE2C1D">
        <w:rPr>
          <w:rFonts w:eastAsiaTheme="minorEastAsia"/>
          <w:lang w:eastAsia="zh-CN"/>
        </w:rPr>
        <w:lastRenderedPageBreak/>
        <w:t xml:space="preserve">behavioural, social, cognitive and self-esteem ones. A solution put forward for overcoming such deficits was the production of the growth hormone, discussed in the next section. </w:t>
      </w:r>
    </w:p>
    <w:p w14:paraId="56FAAABC" w14:textId="77777777" w:rsidR="00BE2C1D" w:rsidRPr="00BE2C1D" w:rsidRDefault="00BE2C1D" w:rsidP="00BE2C1D">
      <w:pPr>
        <w:keepNext/>
        <w:keepLines/>
        <w:spacing w:before="40" w:after="0" w:line="360" w:lineRule="auto"/>
        <w:outlineLvl w:val="2"/>
        <w:rPr>
          <w:rFonts w:asciiTheme="majorHAnsi" w:eastAsiaTheme="majorEastAsia" w:hAnsiTheme="majorHAnsi" w:cstheme="majorBidi"/>
          <w:color w:val="1F3763" w:themeColor="accent1" w:themeShade="7F"/>
          <w:sz w:val="24"/>
          <w:szCs w:val="24"/>
          <w:shd w:val="clear" w:color="auto" w:fill="FFFFFF"/>
          <w:lang w:eastAsia="zh-CN"/>
        </w:rPr>
      </w:pPr>
      <w:bookmarkStart w:id="72" w:name="_Toc37963524"/>
      <w:bookmarkStart w:id="73" w:name="_Toc39585217"/>
      <w:r w:rsidRPr="00BE2C1D">
        <w:rPr>
          <w:rFonts w:asciiTheme="majorHAnsi" w:eastAsiaTheme="majorEastAsia" w:hAnsiTheme="majorHAnsi" w:cstheme="majorBidi"/>
          <w:color w:val="2F5496" w:themeColor="accent1" w:themeShade="BF"/>
          <w:sz w:val="24"/>
          <w:szCs w:val="24"/>
          <w:lang w:eastAsia="zh-CN"/>
        </w:rPr>
        <w:t>Medical Studies</w:t>
      </w:r>
      <w:bookmarkEnd w:id="72"/>
      <w:bookmarkEnd w:id="73"/>
    </w:p>
    <w:p w14:paraId="6974DF10" w14:textId="77777777" w:rsidR="00BE2C1D" w:rsidRPr="00BE2C1D" w:rsidRDefault="00BE2C1D" w:rsidP="00BE2C1D">
      <w:pPr>
        <w:spacing w:line="360" w:lineRule="auto"/>
        <w:jc w:val="both"/>
        <w:rPr>
          <w:rFonts w:eastAsiaTheme="minorEastAsia"/>
          <w:lang w:eastAsia="zh-CN"/>
        </w:rPr>
      </w:pPr>
      <w:r w:rsidRPr="00BE2C1D">
        <w:rPr>
          <w:rFonts w:eastAsiaTheme="minorEastAsia"/>
          <w:lang w:eastAsia="zh-CN"/>
        </w:rPr>
        <w:t>While various forms of growth hormone were used since the beginning of the 20</w:t>
      </w:r>
      <w:r w:rsidRPr="00BE2C1D">
        <w:rPr>
          <w:rFonts w:eastAsiaTheme="minorEastAsia"/>
          <w:vertAlign w:val="superscript"/>
          <w:lang w:eastAsia="zh-CN"/>
        </w:rPr>
        <w:t>th</w:t>
      </w:r>
      <w:r w:rsidRPr="00BE2C1D">
        <w:rPr>
          <w:rFonts w:eastAsiaTheme="minorEastAsia"/>
          <w:lang w:eastAsia="zh-CN"/>
        </w:rPr>
        <w:t xml:space="preserve"> century (Medeiros 2016), it was the production of the synthetic form of human Growth Hormone (hereinafter hGH) by Genentech in the 1986 and its advantages - product’s safety, increased quantity and low cost - which led to the popularisation and wider use of it (Conrad and Potter 2004). The purpose of it was to increase the height of children diagnosed with an RG condition e.g. human growth hormone deficiency.</w:t>
      </w:r>
      <w:r w:rsidRPr="00BE2C1D">
        <w:rPr>
          <w:rFonts w:eastAsiaTheme="minorEastAsia"/>
          <w:vertAlign w:val="superscript"/>
          <w:lang w:eastAsia="zh-CN"/>
        </w:rPr>
        <w:footnoteReference w:id="28"/>
      </w:r>
      <w:r w:rsidRPr="00BE2C1D">
        <w:rPr>
          <w:rFonts w:eastAsiaTheme="minorEastAsia"/>
          <w:lang w:eastAsia="zh-CN"/>
        </w:rPr>
        <w:t xml:space="preserve"> In a survey of paediatric endocrinologists, Cutler et al. (1996) found out that their recommendation of hGH depended on their beliefs in relation to the impact of short stature on the well-being of children and the effectiveness of the treatment. Similar were the findings from Morrison’s (2019) comparative qualitative study with paediatric endocrinologists in the UK and the USA, asserting that how shortness was perceived (e.g. as a problem) affected their decision on whether they would recommend hGH or not. </w:t>
      </w:r>
    </w:p>
    <w:p w14:paraId="439E5C47" w14:textId="77777777" w:rsidR="00BE2C1D" w:rsidRPr="00BE2C1D" w:rsidRDefault="00BE2C1D" w:rsidP="00BE2C1D">
      <w:pPr>
        <w:spacing w:line="360" w:lineRule="auto"/>
        <w:jc w:val="both"/>
        <w:rPr>
          <w:rFonts w:eastAsiaTheme="minorEastAsia"/>
          <w:lang w:eastAsia="zh-CN"/>
        </w:rPr>
      </w:pPr>
      <w:r w:rsidRPr="00BE2C1D">
        <w:rPr>
          <w:rFonts w:eastAsiaTheme="minorEastAsia"/>
          <w:lang w:eastAsia="zh-CN"/>
        </w:rPr>
        <w:t xml:space="preserve">Besides the couple of inches that hGH was advertised to add to short children’s stature, it was also argued that hGH would also mitigate the adversities triggered out of their stature. For instance, the National Cooperative Growth </w:t>
      </w:r>
      <w:r w:rsidRPr="00BE2C1D">
        <w:rPr>
          <w:rFonts w:eastAsiaTheme="minorEastAsia" w:cstheme="minorHAnsi"/>
          <w:lang w:eastAsia="zh-CN"/>
        </w:rPr>
        <w:t>Study</w:t>
      </w:r>
      <w:r w:rsidRPr="00BE2C1D">
        <w:rPr>
          <w:rFonts w:eastAsiaTheme="minorEastAsia" w:cstheme="minorHAnsi"/>
          <w:vertAlign w:val="superscript"/>
          <w:lang w:eastAsia="zh-CN"/>
        </w:rPr>
        <w:footnoteReference w:id="29"/>
      </w:r>
      <w:r w:rsidRPr="00BE2C1D">
        <w:rPr>
          <w:rFonts w:eastAsiaTheme="minorEastAsia" w:cstheme="minorHAnsi"/>
          <w:lang w:eastAsia="zh-CN"/>
        </w:rPr>
        <w:t xml:space="preserve"> (Stabler et al. 1994; Stabler et al. 1998)</w:t>
      </w:r>
      <w:r w:rsidRPr="00BE2C1D">
        <w:rPr>
          <w:rFonts w:eastAsiaTheme="minorEastAsia"/>
          <w:lang w:eastAsia="zh-CN"/>
        </w:rPr>
        <w:t xml:space="preserve"> suggested that the behaviour of the children with Growth Hormone Deficiency (GHD) and those with Idiopathic Short Stature (ISS) was improved after being treated with hGH. Similar findings with the National Cooperative Growth Study were proposed by Chaplin et al.’s study (2011), which recruited ninety-nine short-statured children (thirty-two with GHD and sixty-seven with ISS) who had been referred for hGH treatment. The authors argued that the behaviour and the self-esteem of these children were improved after the treatment. Moreover, McGauley (1989), McGauley et al. (1996), Stabler (2001) and Quitman et al. (2019) asserted that the hGH treatment further enhanced the quality of life of short-statured children. Nevertheless, such findings were contested by other studies. For instance, the Wessex Growth Study (Downie et al. 1996) and other studies (Theunissen et al. 2002; Visser-van-Ballen et al. 2007) found no difference in short children’s behaviour, psycho-social functioning or self-esteem after being treated with hGH  and no improvement on the quality of life was noticed either (Sandberg 2003; Kelnar et al. 1999). </w:t>
      </w:r>
    </w:p>
    <w:p w14:paraId="2D46E61D" w14:textId="77777777" w:rsidR="00BE2C1D" w:rsidRPr="00BE2C1D" w:rsidRDefault="00BE2C1D" w:rsidP="00BE2C1D">
      <w:pPr>
        <w:spacing w:line="360" w:lineRule="auto"/>
        <w:jc w:val="both"/>
        <w:rPr>
          <w:rFonts w:eastAsiaTheme="minorEastAsia"/>
          <w:lang w:eastAsia="zh-CN"/>
        </w:rPr>
      </w:pPr>
      <w:r w:rsidRPr="00BE2C1D">
        <w:rPr>
          <w:rFonts w:eastAsiaTheme="minorEastAsia"/>
          <w:lang w:eastAsia="zh-CN"/>
        </w:rPr>
        <w:lastRenderedPageBreak/>
        <w:t xml:space="preserve">While the above studies relied predominantly on quantitative methods, Rott (2010) recruited four adult participants and interviewed them in depth regarding their experiences of having been treated with hGH during their childhood. Her participants discussed how the treatment was experienced both as stigmatising, a stigma materialised for instance in the bruises due to the injections that they struggled to conceal, and normalising in terms of being represented as a means to bring their ‘abnormal’ body back to ‘normality’.  </w:t>
      </w:r>
    </w:p>
    <w:p w14:paraId="13F6A39B" w14:textId="77777777" w:rsidR="00BE2C1D" w:rsidRPr="00BE2C1D" w:rsidRDefault="00BE2C1D" w:rsidP="00BE2C1D">
      <w:pPr>
        <w:spacing w:line="360" w:lineRule="auto"/>
        <w:jc w:val="both"/>
        <w:rPr>
          <w:rFonts w:eastAsiaTheme="minorEastAsia"/>
          <w:lang w:eastAsia="zh-CN"/>
        </w:rPr>
      </w:pPr>
      <w:r w:rsidRPr="00BE2C1D">
        <w:rPr>
          <w:rFonts w:eastAsiaTheme="minorEastAsia"/>
          <w:lang w:eastAsia="zh-CN"/>
        </w:rPr>
        <w:t xml:space="preserve">In a summary, the hGH was represented as the panacea to the problem of RG and its accompanying deficits, which were positioned on the children’s bodies. However, the above psychological, educational and medical studies did not remain without critique, as I discuss in the next section.  </w:t>
      </w:r>
    </w:p>
    <w:p w14:paraId="77EF2634" w14:textId="77777777" w:rsidR="00BE2C1D" w:rsidRPr="00BE2C1D" w:rsidRDefault="00BE2C1D" w:rsidP="00BE2C1D">
      <w:pPr>
        <w:keepNext/>
        <w:keepLines/>
        <w:spacing w:before="40" w:after="0" w:line="360" w:lineRule="auto"/>
        <w:outlineLvl w:val="2"/>
        <w:rPr>
          <w:rFonts w:asciiTheme="majorHAnsi" w:eastAsiaTheme="majorEastAsia" w:hAnsiTheme="majorHAnsi" w:cstheme="majorBidi"/>
          <w:color w:val="1F3763" w:themeColor="accent1" w:themeShade="7F"/>
          <w:sz w:val="24"/>
          <w:szCs w:val="24"/>
          <w:shd w:val="clear" w:color="auto" w:fill="FFFFFF"/>
          <w:lang w:eastAsia="zh-CN"/>
        </w:rPr>
      </w:pPr>
      <w:bookmarkStart w:id="74" w:name="_Toc39585218"/>
      <w:r w:rsidRPr="00BE2C1D">
        <w:rPr>
          <w:rFonts w:asciiTheme="majorHAnsi" w:eastAsiaTheme="majorEastAsia" w:hAnsiTheme="majorHAnsi" w:cstheme="majorBidi"/>
          <w:color w:val="1F3763" w:themeColor="accent1" w:themeShade="7F"/>
          <w:sz w:val="24"/>
          <w:szCs w:val="24"/>
          <w:shd w:val="clear" w:color="auto" w:fill="FFFFFF"/>
          <w:lang w:eastAsia="zh-CN"/>
        </w:rPr>
        <w:t>Methodological Critiques &amp;</w:t>
      </w:r>
      <w:r w:rsidRPr="00BE2C1D">
        <w:rPr>
          <w:rFonts w:asciiTheme="majorHAnsi" w:eastAsiaTheme="majorEastAsia" w:hAnsiTheme="majorHAnsi" w:cstheme="majorBidi"/>
          <w:color w:val="1F3763" w:themeColor="accent1" w:themeShade="7F"/>
          <w:sz w:val="24"/>
          <w:szCs w:val="24"/>
          <w:lang w:eastAsia="zh-CN"/>
        </w:rPr>
        <w:t xml:space="preserve"> </w:t>
      </w:r>
      <w:r w:rsidRPr="00BE2C1D">
        <w:rPr>
          <w:rFonts w:asciiTheme="majorHAnsi" w:eastAsiaTheme="majorEastAsia" w:hAnsiTheme="majorHAnsi" w:cstheme="majorBidi"/>
          <w:color w:val="1F3763" w:themeColor="accent1" w:themeShade="7F"/>
          <w:sz w:val="24"/>
          <w:szCs w:val="24"/>
          <w:shd w:val="clear" w:color="auto" w:fill="FFFFFF"/>
          <w:lang w:eastAsia="zh-CN"/>
        </w:rPr>
        <w:t>Problematic Implications</w:t>
      </w:r>
      <w:bookmarkEnd w:id="74"/>
    </w:p>
    <w:p w14:paraId="2C99A23C" w14:textId="77777777" w:rsidR="00BE2C1D" w:rsidRPr="00BE2C1D" w:rsidRDefault="00BE2C1D" w:rsidP="00BE2C1D">
      <w:pPr>
        <w:spacing w:line="360" w:lineRule="auto"/>
        <w:jc w:val="both"/>
        <w:rPr>
          <w:rFonts w:eastAsiaTheme="minorEastAsia" w:cstheme="minorHAnsi"/>
          <w:lang w:eastAsia="zh-CN"/>
        </w:rPr>
      </w:pPr>
      <w:r w:rsidRPr="00BE2C1D">
        <w:rPr>
          <w:rFonts w:eastAsiaTheme="minorEastAsia"/>
          <w:lang w:eastAsia="zh-CN"/>
        </w:rPr>
        <w:t xml:space="preserve">Following the discussion of the findings of the previous studies, I consider some points of critique of their methodologies, which put in question the validity of such findings. These critiques focus on issues around sampling, the methods (questionnaires, self-reports) and tests that were used to collect the data, and the funding bodies of some of these studies. A table with details (methods, tests, sample, funding body) about the studies discussed can be found in Appendix 1. </w:t>
      </w:r>
    </w:p>
    <w:p w14:paraId="1CF1AFB1" w14:textId="39A068AE" w:rsidR="00BE2C1D" w:rsidRPr="00BE2C1D" w:rsidRDefault="00BE2C1D" w:rsidP="00BE2C1D">
      <w:pPr>
        <w:spacing w:line="360" w:lineRule="auto"/>
        <w:jc w:val="both"/>
        <w:rPr>
          <w:rFonts w:eastAsiaTheme="minorEastAsia"/>
          <w:lang w:eastAsia="zh-CN"/>
        </w:rPr>
      </w:pPr>
      <w:r w:rsidRPr="00BE2C1D">
        <w:rPr>
          <w:rFonts w:eastAsiaTheme="minorEastAsia"/>
          <w:lang w:eastAsia="zh-CN"/>
        </w:rPr>
        <w:t xml:space="preserve">In their systematic review of the literature around RG, Thompson et al. (2008) proposed that for the majority of studies, there was a lack of transparency in relation to response rates or characteristics of the sample and the samples included only a small number of participants. </w:t>
      </w:r>
      <w:r w:rsidRPr="00BE2C1D">
        <w:rPr>
          <w:rFonts w:eastAsiaTheme="minorEastAsia" w:cstheme="minorHAnsi"/>
          <w:lang w:eastAsia="zh-CN"/>
        </w:rPr>
        <w:t>Moreover, most studies recruited from hospital clinic lists (e.g. John Hopkins Hospital) and/or interest organisations (e.g. Human Growth Association), resulting potentially in biased samples, which were not necessarily representative of the wider population of people with RG (Thompson et al. 2008). The clinic-based research was also critici</w:t>
      </w:r>
      <w:r w:rsidR="00597EE9">
        <w:rPr>
          <w:rFonts w:eastAsiaTheme="minorEastAsia" w:cstheme="minorHAnsi"/>
          <w:lang w:eastAsia="zh-CN"/>
        </w:rPr>
        <w:t>s</w:t>
      </w:r>
      <w:r w:rsidRPr="00BE2C1D">
        <w:rPr>
          <w:rFonts w:eastAsiaTheme="minorEastAsia" w:cstheme="minorHAnsi"/>
          <w:lang w:eastAsia="zh-CN"/>
        </w:rPr>
        <w:t>ed on the grounds of ‘referral bias’, which ‘exists when more children with SS (short stature) who have academic or behavioural problems are referred to clinics and subsequently participate in research than those who do not have such difficulties’ (Kranzler et al. 2000: 96). This meant that the children who were found with behavioural and academic problems</w:t>
      </w:r>
      <w:r w:rsidRPr="00BE2C1D">
        <w:rPr>
          <w:rFonts w:eastAsiaTheme="minorEastAsia"/>
          <w:lang w:eastAsia="zh-CN"/>
        </w:rPr>
        <w:t xml:space="preserve"> were also the ones who had already been referred to clinics for such reasons prior to participating in the research. </w:t>
      </w:r>
    </w:p>
    <w:p w14:paraId="7EEDCF3F" w14:textId="77777777" w:rsidR="00BE2C1D" w:rsidRPr="00BE2C1D" w:rsidRDefault="00BE2C1D" w:rsidP="00BE2C1D">
      <w:pPr>
        <w:spacing w:line="360" w:lineRule="auto"/>
        <w:jc w:val="both"/>
        <w:rPr>
          <w:rFonts w:eastAsiaTheme="minorEastAsia"/>
          <w:lang w:eastAsia="zh-CN"/>
        </w:rPr>
      </w:pPr>
      <w:r w:rsidRPr="00BE2C1D">
        <w:rPr>
          <w:rFonts w:eastAsiaTheme="minorEastAsia"/>
          <w:lang w:eastAsia="zh-CN"/>
        </w:rPr>
        <w:t xml:space="preserve">Additionally, many studies based their findings on the parents’ and teachers’ reports of how children and young people with RG behaved (Lee et al. 2009), leaving children’s and young people’s own perspective out of such discussions. Children and young people with RG constituted an ‘absent presence’, meaning that they were tested, observed, spoken of and participated in the research in tokenistic ways, but they were never really listened to. Moreover, concepts such as self-perception, popularity, quality of life, and behavioural issues were vaguely defined, if at all (Thompson et al. 2008), and the tests that were used to measure them have been the objects of wider critique (for a strong </w:t>
      </w:r>
      <w:r w:rsidRPr="00BE2C1D">
        <w:rPr>
          <w:rFonts w:eastAsiaTheme="minorEastAsia"/>
          <w:lang w:eastAsia="zh-CN"/>
        </w:rPr>
        <w:lastRenderedPageBreak/>
        <w:t>critique of developmental psychology’s measuring techniques, including tests, see Burman 2017). Moreover, the bias of researchers towards people with RG was brought up. For instance, Wynne-Davies and Patton (1991) suggested that there was an over-estimation of mental retardation</w:t>
      </w:r>
      <w:r w:rsidRPr="00BE2C1D">
        <w:rPr>
          <w:rFonts w:eastAsiaTheme="minorEastAsia"/>
          <w:vertAlign w:val="superscript"/>
          <w:lang w:eastAsia="zh-CN"/>
        </w:rPr>
        <w:footnoteReference w:id="30"/>
      </w:r>
      <w:r w:rsidRPr="00BE2C1D">
        <w:rPr>
          <w:rFonts w:eastAsiaTheme="minorEastAsia"/>
          <w:lang w:eastAsia="zh-CN"/>
        </w:rPr>
        <w:t xml:space="preserve"> among children with RG, which potentially reflected the researchers’ prejudices against this group. </w:t>
      </w:r>
    </w:p>
    <w:p w14:paraId="04349BB3" w14:textId="77777777" w:rsidR="00BE2C1D" w:rsidRPr="00BE2C1D" w:rsidRDefault="00BE2C1D" w:rsidP="00BE2C1D">
      <w:pPr>
        <w:spacing w:line="360" w:lineRule="auto"/>
        <w:jc w:val="both"/>
        <w:rPr>
          <w:rFonts w:eastAsiaTheme="minorEastAsia"/>
          <w:lang w:eastAsia="zh-CN"/>
        </w:rPr>
      </w:pPr>
      <w:r w:rsidRPr="00BE2C1D">
        <w:rPr>
          <w:rFonts w:eastAsiaTheme="minorEastAsia"/>
          <w:color w:val="000000"/>
          <w:lang w:eastAsia="zh-CN"/>
        </w:rPr>
        <w:t xml:space="preserve">Another illuminating finding of re-reading the studies around </w:t>
      </w:r>
      <w:r w:rsidRPr="00BE2C1D">
        <w:rPr>
          <w:rFonts w:eastAsiaTheme="minorEastAsia"/>
          <w:lang w:eastAsia="zh-CN"/>
        </w:rPr>
        <w:t xml:space="preserve">hGH was that many of them (see the relevant table) were funded by Genentech, the primary manufactured of the hormone, or charities that supported the use of the hormone, such as the Human Growth Foundation. For instance, child psychologists, such as Stabler, whose research was funded by Genentech, was among the ones that researched and spoke extensively about children’s suffering due to their shortness and its alleviation through the hGH treatment. Medeiros (2016: 134) spoke of the ‘synergy between child psychologists’ research and pharmaceutical companies’ financial endeavours’. </w:t>
      </w:r>
    </w:p>
    <w:p w14:paraId="7145E696" w14:textId="77777777" w:rsidR="00BE2C1D" w:rsidRPr="00BE2C1D" w:rsidRDefault="00BE2C1D" w:rsidP="00BE2C1D">
      <w:pPr>
        <w:spacing w:line="360" w:lineRule="auto"/>
        <w:jc w:val="both"/>
        <w:rPr>
          <w:rFonts w:eastAsiaTheme="minorEastAsia"/>
          <w:lang w:eastAsia="zh-CN"/>
        </w:rPr>
      </w:pPr>
      <w:r w:rsidRPr="00BE2C1D">
        <w:rPr>
          <w:rFonts w:eastAsiaTheme="minorEastAsia"/>
          <w:lang w:eastAsia="zh-CN"/>
        </w:rPr>
        <w:t xml:space="preserve">Besides the methodological critiques of the above findings, I was also interested in their problematic implications on how young people with RG were spoken of and understood. Here I pause to consider what the above studies teach us about (disabled) childhoods and what youths with RG looked like, what the problem was and where it lied. Children and young people with RG were spoken of and viewed in the above studies through psychologised, deficit discourses, always lacking (in height, in cognition, in social skills etc.) and suffering from their condition. They were depicted as tragic figures (Shakespeare &amp; Watson 2001), who could only be saved through medical interventions.  Drawing on a medical, individualistic, deficit model of disabled childhoods or what Watson (2012b: 193) referred to as the ‘early research on disabled childhood’ they were pathologised for not developing normatively and the focus of the research was their impairment and its adversities. The problem then was positioned in their ‘faulty’ bodies, which had to be normalised to alleviate their ‘suffering’. As Mills and LeFrancois (2018: 51) maintained:  </w:t>
      </w:r>
    </w:p>
    <w:p w14:paraId="21ABEA0D" w14:textId="77777777" w:rsidR="00BE2C1D" w:rsidRPr="00BE2C1D" w:rsidRDefault="00BE2C1D" w:rsidP="00BE2C1D">
      <w:pPr>
        <w:pBdr>
          <w:top w:val="nil"/>
          <w:left w:val="nil"/>
          <w:bottom w:val="nil"/>
          <w:right w:val="nil"/>
          <w:between w:val="nil"/>
        </w:pBdr>
        <w:spacing w:after="0" w:line="360" w:lineRule="auto"/>
        <w:ind w:left="720"/>
        <w:jc w:val="both"/>
        <w:rPr>
          <w:rFonts w:eastAsiaTheme="minorEastAsia"/>
          <w:color w:val="000000"/>
          <w:sz w:val="20"/>
          <w:szCs w:val="20"/>
          <w:lang w:eastAsia="zh-CN"/>
        </w:rPr>
      </w:pPr>
      <w:r w:rsidRPr="00BE2C1D">
        <w:rPr>
          <w:rFonts w:eastAsiaTheme="minorEastAsia"/>
          <w:color w:val="000000"/>
          <w:sz w:val="20"/>
          <w:szCs w:val="20"/>
          <w:lang w:eastAsia="zh-CN"/>
        </w:rPr>
        <w:t xml:space="preserve">child-focused development initiatives often justify the child as site of intervention through appeal to a developmental narrative of early intervention, constructing children as "objects for adult and institutional intervention” (Valentin &amp; Meinert, 2009, p. 23). </w:t>
      </w:r>
    </w:p>
    <w:p w14:paraId="5B3EBB61" w14:textId="353FA53E" w:rsidR="00BE2C1D" w:rsidRPr="00BE2C1D" w:rsidRDefault="00BE2C1D" w:rsidP="00BE2C1D">
      <w:pPr>
        <w:pBdr>
          <w:top w:val="nil"/>
          <w:left w:val="nil"/>
          <w:bottom w:val="nil"/>
          <w:right w:val="nil"/>
          <w:between w:val="nil"/>
        </w:pBdr>
        <w:spacing w:after="0" w:line="360" w:lineRule="auto"/>
        <w:jc w:val="both"/>
        <w:rPr>
          <w:rFonts w:eastAsiaTheme="minorEastAsia"/>
          <w:lang w:eastAsia="zh-CN"/>
        </w:rPr>
      </w:pPr>
      <w:r w:rsidRPr="00BE2C1D">
        <w:rPr>
          <w:rFonts w:eastAsiaTheme="minorEastAsia"/>
          <w:color w:val="000000"/>
          <w:lang w:eastAsia="zh-CN"/>
        </w:rPr>
        <w:t xml:space="preserve">A means for normalising children with RG was the </w:t>
      </w:r>
      <w:r w:rsidRPr="00BE2C1D">
        <w:rPr>
          <w:rFonts w:eastAsiaTheme="minorEastAsia"/>
          <w:lang w:eastAsia="zh-CN"/>
        </w:rPr>
        <w:t xml:space="preserve">hGH </w:t>
      </w:r>
      <w:r w:rsidRPr="00BE2C1D">
        <w:rPr>
          <w:rFonts w:eastAsiaTheme="minorEastAsia"/>
          <w:color w:val="000000"/>
          <w:lang w:eastAsia="zh-CN"/>
        </w:rPr>
        <w:t xml:space="preserve">(Morrison 2015), which promised that it would align the short body with what was </w:t>
      </w:r>
      <w:r w:rsidRPr="00BE2C1D">
        <w:rPr>
          <w:rFonts w:ascii="Calibri" w:eastAsiaTheme="minorEastAsia" w:hAnsi="Calibri" w:cs="Calibri"/>
          <w:bCs/>
          <w:lang w:eastAsia="zh-CN"/>
        </w:rPr>
        <w:t xml:space="preserve">(and still is) deemed by the physician as ‘normal’, that is to achieve the ‘normal abnormal’ (Mallet and Runswick-Cole 2016), as well as it would resolve the behavioural and self-esteem issues. </w:t>
      </w:r>
      <w:r w:rsidRPr="00BE2C1D">
        <w:rPr>
          <w:rFonts w:eastAsiaTheme="minorEastAsia"/>
          <w:lang w:eastAsia="zh-CN"/>
        </w:rPr>
        <w:t xml:space="preserve">What the treatment with hGH did then was to reinforce the message that shortness was a problem situated in the individual body, which had to be fixed, concealing the way the social structures and dominant ideologies that (re)produced such a problematic view of the short </w:t>
      </w:r>
      <w:r w:rsidRPr="00BE2C1D">
        <w:rPr>
          <w:rFonts w:eastAsiaTheme="minorEastAsia"/>
          <w:lang w:eastAsia="zh-CN"/>
        </w:rPr>
        <w:lastRenderedPageBreak/>
        <w:t>body in the first place (Allen and Frost, 1990). As Clare (2017) and Cadwallader (2007) noted, biomedical treatments were neither apolitical nor neutral, but they served particular purposes, such as making huge profits for pharmaceutical companies (Morrison, 2018) and contributing to the pharmaceuticalisation</w:t>
      </w:r>
      <w:r w:rsidRPr="00BE2C1D">
        <w:rPr>
          <w:rFonts w:eastAsiaTheme="minorEastAsia"/>
          <w:vertAlign w:val="superscript"/>
          <w:lang w:eastAsia="zh-CN"/>
        </w:rPr>
        <w:footnoteReference w:id="31"/>
      </w:r>
      <w:r w:rsidRPr="00BE2C1D">
        <w:rPr>
          <w:rFonts w:eastAsiaTheme="minorEastAsia"/>
          <w:lang w:eastAsia="zh-CN"/>
        </w:rPr>
        <w:t xml:space="preserve"> of short stature and to pharmaceutical childhoods</w:t>
      </w:r>
      <w:r w:rsidRPr="00BE2C1D">
        <w:rPr>
          <w:rFonts w:eastAsiaTheme="minorEastAsia"/>
          <w:vertAlign w:val="superscript"/>
          <w:lang w:eastAsia="zh-CN"/>
        </w:rPr>
        <w:footnoteReference w:id="32"/>
      </w:r>
      <w:r w:rsidRPr="00BE2C1D">
        <w:rPr>
          <w:rFonts w:eastAsiaTheme="minorEastAsia"/>
          <w:lang w:eastAsia="zh-CN"/>
        </w:rPr>
        <w:t xml:space="preserve"> (Mills 2014). What happened then was that, as Hughes and Paterson (1997: 336) proposed, ‘disability (as) oppression becoming embodied as ‘suffering’</w:t>
      </w:r>
      <w:r w:rsidR="003538EC">
        <w:rPr>
          <w:rFonts w:eastAsiaTheme="minorEastAsia"/>
          <w:lang w:eastAsia="zh-CN"/>
        </w:rPr>
        <w:t>’</w:t>
      </w:r>
      <w:r w:rsidRPr="00BE2C1D">
        <w:rPr>
          <w:rFonts w:eastAsiaTheme="minorEastAsia"/>
          <w:lang w:eastAsia="zh-CN"/>
        </w:rPr>
        <w:t>. As Cadwallader (2007: 391) argued:</w:t>
      </w:r>
    </w:p>
    <w:p w14:paraId="10A75D18" w14:textId="77777777" w:rsidR="00BE2C1D" w:rsidRPr="00BE2C1D" w:rsidRDefault="00BE2C1D" w:rsidP="00BE2C1D">
      <w:pPr>
        <w:spacing w:line="360" w:lineRule="auto"/>
        <w:ind w:left="720"/>
        <w:jc w:val="both"/>
        <w:rPr>
          <w:rFonts w:eastAsiaTheme="minorEastAsia"/>
          <w:sz w:val="20"/>
          <w:szCs w:val="20"/>
          <w:lang w:eastAsia="zh-CN"/>
        </w:rPr>
      </w:pPr>
      <w:r w:rsidRPr="00BE2C1D">
        <w:rPr>
          <w:rFonts w:eastAsiaTheme="minorEastAsia"/>
          <w:sz w:val="20"/>
          <w:szCs w:val="20"/>
          <w:lang w:eastAsia="zh-CN"/>
        </w:rPr>
        <w:t>With the availability of normalising treatments, suffering operates as the perfect motivation or even compulsion for individuals to normalise. Increasingly, the way one takes responsibility for one’s suffering is to normalise. Individual normalising treatments are a quicker and surer fix for suffering than cultural change, and normalisation becomes practically the only responsible choice a sufferer can make, especially given that the refusal to normalise is characterised as even more deviant.</w:t>
      </w:r>
    </w:p>
    <w:p w14:paraId="7FAB27EC" w14:textId="7838F602" w:rsidR="00BE2C1D" w:rsidRPr="00BE2C1D" w:rsidRDefault="00BE2C1D" w:rsidP="00BE2C1D">
      <w:pPr>
        <w:spacing w:line="360" w:lineRule="auto"/>
        <w:jc w:val="both"/>
        <w:rPr>
          <w:rFonts w:eastAsiaTheme="minorEastAsia"/>
          <w:lang w:eastAsia="zh-CN"/>
        </w:rPr>
      </w:pPr>
      <w:r w:rsidRPr="00BE2C1D">
        <w:rPr>
          <w:rFonts w:eastAsiaTheme="minorEastAsia"/>
          <w:lang w:eastAsia="zh-CN"/>
        </w:rPr>
        <w:t xml:space="preserve">Therefore, as Adelson (2005c: 146) maintained: </w:t>
      </w:r>
      <w:r w:rsidR="006B7AD0">
        <w:rPr>
          <w:rFonts w:eastAsiaTheme="minorEastAsia"/>
          <w:lang w:eastAsia="zh-CN"/>
        </w:rPr>
        <w:t>‘’</w:t>
      </w:r>
      <w:r w:rsidRPr="00BE2C1D">
        <w:rPr>
          <w:rFonts w:eastAsiaTheme="minorEastAsia"/>
          <w:lang w:eastAsia="zh-CN"/>
        </w:rPr>
        <w:t>fixing’ the stigmatized individual rather than mending society’s attitudes becomes legitimized as the best way of avoiding society’s rebuff</w:t>
      </w:r>
      <w:r w:rsidR="006B7AD0">
        <w:rPr>
          <w:rFonts w:eastAsiaTheme="minorEastAsia"/>
          <w:lang w:eastAsia="zh-CN"/>
        </w:rPr>
        <w:t>’</w:t>
      </w:r>
      <w:r w:rsidRPr="00BE2C1D">
        <w:rPr>
          <w:rFonts w:eastAsiaTheme="minorEastAsia"/>
          <w:lang w:eastAsia="zh-CN"/>
        </w:rPr>
        <w:t>. Or, according to Oliver, this was a classic case of ‘the use of this positivist paradigm as methodological individualism that seeks to point to what is wrong with individuals rather than what is wrong with society</w:t>
      </w:r>
      <w:r w:rsidR="006E63A0">
        <w:rPr>
          <w:rFonts w:eastAsiaTheme="minorEastAsia"/>
          <w:lang w:eastAsia="zh-CN"/>
        </w:rPr>
        <w:t>’</w:t>
      </w:r>
      <w:r w:rsidRPr="00BE2C1D">
        <w:rPr>
          <w:rFonts w:eastAsiaTheme="minorEastAsia"/>
          <w:lang w:eastAsia="zh-CN"/>
        </w:rPr>
        <w:t xml:space="preserve"> (Oliver 1991, cited in Runswick-Cole et al. 2018a: 648). This discourse of suffering is then positioned exclusively on children’s and young people’s bodies with RG, constructing such suffering as neutral and leaving its social roots intact (Ktenidis 2020). However, there is some research that has attempted to shift the attention from the individual body to society, and in particular to the value attributed to height. It is this research I turn to next.  </w:t>
      </w:r>
    </w:p>
    <w:p w14:paraId="64279081" w14:textId="77777777" w:rsidR="00BE2C1D" w:rsidRPr="00BE2C1D" w:rsidRDefault="00BE2C1D" w:rsidP="00BE2C1D">
      <w:pPr>
        <w:keepNext/>
        <w:keepLines/>
        <w:spacing w:before="40" w:after="0" w:line="360" w:lineRule="auto"/>
        <w:outlineLvl w:val="2"/>
        <w:rPr>
          <w:rFonts w:ascii="Arial" w:eastAsiaTheme="majorEastAsia" w:hAnsi="Arial" w:cs="Arial"/>
          <w:color w:val="222222"/>
          <w:sz w:val="24"/>
          <w:szCs w:val="24"/>
          <w:shd w:val="clear" w:color="auto" w:fill="FFFFFF"/>
          <w:lang w:eastAsia="zh-CN"/>
        </w:rPr>
      </w:pPr>
      <w:bookmarkStart w:id="75" w:name="_Toc39585219"/>
      <w:r w:rsidRPr="00BE2C1D">
        <w:rPr>
          <w:rFonts w:asciiTheme="majorHAnsi" w:eastAsiaTheme="majorEastAsia" w:hAnsiTheme="majorHAnsi" w:cstheme="majorBidi"/>
          <w:color w:val="1F3763" w:themeColor="accent1" w:themeShade="7F"/>
          <w:sz w:val="24"/>
          <w:szCs w:val="24"/>
          <w:lang w:eastAsia="zh-CN"/>
        </w:rPr>
        <w:t>Height(ism) as the Elephant in the (Class)Room</w:t>
      </w:r>
      <w:bookmarkEnd w:id="75"/>
      <w:r w:rsidRPr="00BE2C1D">
        <w:rPr>
          <w:rFonts w:ascii="Arial" w:eastAsiaTheme="majorEastAsia" w:hAnsi="Arial" w:cs="Arial"/>
          <w:color w:val="222222"/>
          <w:sz w:val="24"/>
          <w:szCs w:val="24"/>
          <w:shd w:val="clear" w:color="auto" w:fill="FFFFFF"/>
          <w:lang w:eastAsia="zh-CN"/>
        </w:rPr>
        <w:t xml:space="preserve"> </w:t>
      </w:r>
    </w:p>
    <w:p w14:paraId="5CDF83CC" w14:textId="77777777" w:rsidR="00BE2C1D" w:rsidRPr="00BE2C1D" w:rsidRDefault="00BE2C1D" w:rsidP="00BE2C1D">
      <w:pPr>
        <w:spacing w:line="360" w:lineRule="auto"/>
        <w:ind w:left="720"/>
        <w:jc w:val="both"/>
        <w:rPr>
          <w:rFonts w:eastAsiaTheme="minorEastAsia"/>
          <w:sz w:val="20"/>
          <w:szCs w:val="20"/>
          <w:lang w:eastAsia="zh-CN"/>
        </w:rPr>
      </w:pPr>
      <w:r w:rsidRPr="00BE2C1D">
        <w:rPr>
          <w:rFonts w:eastAsiaTheme="minorEastAsia"/>
          <w:sz w:val="20"/>
          <w:szCs w:val="20"/>
          <w:lang w:eastAsia="zh-CN"/>
        </w:rPr>
        <w:t>Negative perceptions by average-statured persons (employers, schools, and workmates) represent the greatest barrier to a normative lifestyle for dwarfs (Adelson 2005c: 144).</w:t>
      </w:r>
    </w:p>
    <w:p w14:paraId="05D00846" w14:textId="77777777" w:rsidR="00BE2C1D" w:rsidRPr="00BE2C1D" w:rsidRDefault="00BE2C1D" w:rsidP="00BE2C1D">
      <w:pPr>
        <w:spacing w:line="360" w:lineRule="auto"/>
        <w:jc w:val="both"/>
        <w:rPr>
          <w:rFonts w:eastAsiaTheme="minorEastAsia"/>
          <w:lang w:eastAsia="zh-CN"/>
        </w:rPr>
      </w:pPr>
      <w:r w:rsidRPr="00BE2C1D">
        <w:rPr>
          <w:rFonts w:eastAsiaTheme="minorEastAsia"/>
          <w:lang w:eastAsia="zh-CN"/>
        </w:rPr>
        <w:t xml:space="preserve">It was in 1975 that Feldman, an American sociologist, referred to the notion of heightism, that is the discrimination based on one’s height (Feldman 1975). A quick glance at the heightist metaphors permeating the language is illustrative of how shortness is equated with inferiority: ‘shrimp’, ‘small fry’, half pint’ (see also the table with heightist language in Appendix 2). Clopper et al. (1994) and Heider et al. (2013)) also referred to the positive and negative traits attributed from adults and children to the tall and short stature respectively (e.g. tall stature as imposing and short stature as feisty), demonstrating how perceptions around stature were shaped from a very early age and were maintained at later ages.  </w:t>
      </w:r>
    </w:p>
    <w:p w14:paraId="18DA0CC5" w14:textId="77777777" w:rsidR="00BE2C1D" w:rsidRPr="00BE2C1D" w:rsidRDefault="00BE2C1D" w:rsidP="00BE2C1D">
      <w:pPr>
        <w:spacing w:line="360" w:lineRule="auto"/>
        <w:jc w:val="both"/>
        <w:rPr>
          <w:rFonts w:eastAsiaTheme="minorEastAsia"/>
          <w:lang w:eastAsia="zh-CN"/>
        </w:rPr>
      </w:pPr>
      <w:r w:rsidRPr="00BE2C1D">
        <w:rPr>
          <w:rFonts w:eastAsiaTheme="minorEastAsia"/>
          <w:lang w:eastAsia="zh-CN"/>
        </w:rPr>
        <w:lastRenderedPageBreak/>
        <w:t xml:space="preserve">While the effects of heightism have been explored in relation to employment (Case and Paxson 2008; Heineck, 2005; Persico et al. 2004) and interpersonal relationships (Persico et al. 2004), focusing predominantly on adults, less attention has been paid to how heightism occurs in school classrooms and in what forms it takes place. One form that heightism took in schools was what Cinnirella et al. (2009: 408) referred to as the ‘height-school premium’, which pointed out how ‘taller students obtain on average more favourable school track decisions by primary school teachers compared to their smaller peers, independent of their academic performance’. Such school track choices did have an impact on students’ future plans in terms of accessing higher education. The authors attributed the height-school premium to two factors: firstly, it was a case of ‘pure discrimination against short students’. Secondly, they argued that teachers rewarded higher social skills that taller students had already developed, which was similar to the discourse of the above psychological studies about short students lacking social competence (Persico et al. 2004). Therefore, the latter argument fell back into the trap of holding short students accountable for not developing the ‘appropriate’ social skills.   </w:t>
      </w:r>
    </w:p>
    <w:p w14:paraId="0028A2E8" w14:textId="46078C7D" w:rsidR="00BE2C1D" w:rsidRPr="00BE2C1D" w:rsidRDefault="00BE2C1D" w:rsidP="00BE2C1D">
      <w:pPr>
        <w:spacing w:line="360" w:lineRule="auto"/>
        <w:jc w:val="both"/>
        <w:rPr>
          <w:rFonts w:eastAsiaTheme="minorEastAsia"/>
          <w:lang w:eastAsia="zh-CN"/>
        </w:rPr>
      </w:pPr>
      <w:r w:rsidRPr="00BE2C1D">
        <w:rPr>
          <w:rFonts w:eastAsiaTheme="minorEastAsia"/>
          <w:lang w:eastAsia="zh-CN"/>
        </w:rPr>
        <w:t>Nevertheless, several studies (Villimez et al. 1986; Black and Kassenboemer 2017; Smith and Niemi 2007; Cinnirella et al. 2009) explored how teachers’ perceptions of students’ academic performance were associated with the latter’s body size (height and weight) and gender and how such perceptions were materialised in teachers’ assessment of the academic competence of the students. Black and Kassenboehmer (2017: 3), writing from Australia, looked at how features such as weight, height, gender and ethnicity influenced teachers’ assessments of students in the subjects of Maths and Literacy. They concluded that teachers were biased in their assessments against students with certain characteristics: ‘children who are taller, leaner, male or Asian are rated more favourably by their teacher than their academic test scores would suggest’ (ibid: 26). Once more, heightism as a form of (gendered) discrimination was not brought up by the authors explicitly, but the height premium was related to stereotypes. This was in line with Smith and Niemi’s (2007: 332) research, who noted that ‘The relationships between students' body sizes and teachers' perceptions of their academic capabilities are complex; neither student nor teacher lives in a sociocultural vacuum.’ This was a very important point, because unlike the teachers’ reports of students with RG in the studies discussed earlier, which were treated as neutral, objective evidence, Smith and Niemi (2007) called for attention to the sociocultural context within which such reports were produced, shedding light on their subjectivity (Meissel et al. 2017). Writing from the USA, they found out that ‘teachers systematically judged small boys to be less academically capable than their actual ability’ from as early as the kindergarten. This study was also illustrative of the gendered dimension of heightism, meaning that boys who were shorter tended to be more pathologi</w:t>
      </w:r>
      <w:r w:rsidR="00B84C68">
        <w:rPr>
          <w:rFonts w:eastAsiaTheme="minorEastAsia"/>
          <w:lang w:eastAsia="zh-CN"/>
        </w:rPr>
        <w:t>s</w:t>
      </w:r>
      <w:r w:rsidRPr="00BE2C1D">
        <w:rPr>
          <w:rFonts w:eastAsiaTheme="minorEastAsia"/>
          <w:lang w:eastAsia="zh-CN"/>
        </w:rPr>
        <w:t xml:space="preserve">ed compared to girls. </w:t>
      </w:r>
    </w:p>
    <w:p w14:paraId="31FE60BE" w14:textId="47091223" w:rsidR="00BE2C1D" w:rsidRPr="00BE2C1D" w:rsidRDefault="00BE2C1D" w:rsidP="00BE2C1D">
      <w:pPr>
        <w:spacing w:line="360" w:lineRule="auto"/>
        <w:jc w:val="both"/>
        <w:rPr>
          <w:rFonts w:eastAsiaTheme="minorEastAsia"/>
          <w:lang w:eastAsia="zh-CN"/>
        </w:rPr>
      </w:pPr>
      <w:r w:rsidRPr="00BE2C1D">
        <w:rPr>
          <w:rFonts w:eastAsiaTheme="minorEastAsia"/>
          <w:lang w:eastAsia="zh-CN"/>
        </w:rPr>
        <w:lastRenderedPageBreak/>
        <w:t xml:space="preserve">Vilimez et al.’s (1986) findings were also similar, suggesting that boys’ academic attainment was positively related to their larger size by their teachers, whilst the opposite applied to girls, meaning that smaller girls were seen as more competent by teachers.  The gendered nature of heightism was also apparent in boys being more often treated with human Growth Hormone compared to girls (Medeiros 2016; Lee et al. 2007; Sandberg et al. 1994), which resulted out of the suffering of RG being more acutely experienced by boys. </w:t>
      </w:r>
    </w:p>
    <w:p w14:paraId="06D2374A" w14:textId="77777777" w:rsidR="00BE2C1D" w:rsidRPr="00BE2C1D" w:rsidRDefault="00BE2C1D" w:rsidP="00BE2C1D">
      <w:pPr>
        <w:spacing w:line="360" w:lineRule="auto"/>
        <w:jc w:val="both"/>
        <w:rPr>
          <w:rFonts w:eastAsiaTheme="minorEastAsia"/>
          <w:lang w:eastAsia="zh-CN"/>
        </w:rPr>
      </w:pPr>
      <w:r w:rsidRPr="00BE2C1D">
        <w:rPr>
          <w:rFonts w:eastAsiaTheme="minorEastAsia"/>
          <w:lang w:eastAsia="zh-CN"/>
        </w:rPr>
        <w:t xml:space="preserve">While the above work was crucial into acknowledging how heightism played out into the school classroom between teachers and shorter students, these studies still did not address explicitly such discrimination as ‘heightism’, perpetuating its liminal status (Rosenberg 2009). In this study, I take heightism seriously, in terms of how it was materialised both in space e.g. the standardisation of school furniture, and in heightist attitudes e.g. teachers’ perceptions of participants’ capabilities. </w:t>
      </w:r>
    </w:p>
    <w:p w14:paraId="499FC0B6" w14:textId="77777777" w:rsidR="00BE2C1D" w:rsidRPr="00BE2C1D" w:rsidRDefault="00BE2C1D" w:rsidP="00BE2C1D">
      <w:pPr>
        <w:keepNext/>
        <w:keepLines/>
        <w:spacing w:before="40" w:after="0" w:line="360" w:lineRule="auto"/>
        <w:outlineLvl w:val="1"/>
        <w:rPr>
          <w:rFonts w:asciiTheme="majorHAnsi" w:eastAsiaTheme="majorEastAsia" w:hAnsiTheme="majorHAnsi" w:cstheme="majorBidi"/>
          <w:color w:val="2F5496" w:themeColor="accent1" w:themeShade="BF"/>
          <w:sz w:val="26"/>
          <w:szCs w:val="26"/>
          <w:lang w:eastAsia="zh-CN"/>
        </w:rPr>
      </w:pPr>
      <w:bookmarkStart w:id="76" w:name="_Toc39585220"/>
      <w:r w:rsidRPr="00BE2C1D">
        <w:rPr>
          <w:rFonts w:asciiTheme="majorHAnsi" w:eastAsiaTheme="majorEastAsia" w:hAnsiTheme="majorHAnsi" w:cstheme="majorBidi"/>
          <w:color w:val="2F5496" w:themeColor="accent1" w:themeShade="BF"/>
          <w:sz w:val="26"/>
          <w:szCs w:val="26"/>
          <w:lang w:eastAsia="zh-CN"/>
        </w:rPr>
        <w:t>Conclusions</w:t>
      </w:r>
      <w:bookmarkEnd w:id="76"/>
      <w:r w:rsidRPr="00BE2C1D">
        <w:rPr>
          <w:rFonts w:asciiTheme="majorHAnsi" w:eastAsiaTheme="majorEastAsia" w:hAnsiTheme="majorHAnsi" w:cstheme="majorBidi"/>
          <w:color w:val="2F5496" w:themeColor="accent1" w:themeShade="BF"/>
          <w:sz w:val="26"/>
          <w:szCs w:val="26"/>
          <w:lang w:eastAsia="zh-CN"/>
        </w:rPr>
        <w:t xml:space="preserve"> </w:t>
      </w:r>
    </w:p>
    <w:p w14:paraId="10B0F41D" w14:textId="77777777" w:rsidR="00BE2C1D" w:rsidRPr="00BE2C1D" w:rsidRDefault="00BE2C1D" w:rsidP="00BE2C1D">
      <w:pPr>
        <w:spacing w:line="360" w:lineRule="auto"/>
        <w:ind w:left="720"/>
        <w:jc w:val="both"/>
        <w:rPr>
          <w:rFonts w:eastAsiaTheme="minorEastAsia"/>
          <w:sz w:val="20"/>
          <w:szCs w:val="20"/>
          <w:lang w:eastAsia="zh-CN"/>
        </w:rPr>
      </w:pPr>
      <w:bookmarkStart w:id="77" w:name="_Hlk38909595"/>
      <w:r w:rsidRPr="00BE2C1D">
        <w:rPr>
          <w:rFonts w:eastAsiaTheme="minorEastAsia"/>
          <w:sz w:val="20"/>
          <w:szCs w:val="20"/>
          <w:lang w:eastAsia="zh-CN"/>
        </w:rPr>
        <w:t>The global experience of disabled people is too complex to be rendered within one unitary model or set of ideas (Shakespeare and Corker 2002: 15).</w:t>
      </w:r>
    </w:p>
    <w:p w14:paraId="6F91C8E2" w14:textId="77777777" w:rsidR="00BE2C1D" w:rsidRPr="00BE2C1D" w:rsidRDefault="00BE2C1D" w:rsidP="00BE2C1D">
      <w:pPr>
        <w:spacing w:line="360" w:lineRule="auto"/>
        <w:jc w:val="both"/>
        <w:rPr>
          <w:rFonts w:eastAsiaTheme="minorEastAsia"/>
          <w:lang w:eastAsia="zh-CN"/>
        </w:rPr>
      </w:pPr>
      <w:r w:rsidRPr="00BE2C1D">
        <w:rPr>
          <w:rFonts w:eastAsiaTheme="minorEastAsia"/>
          <w:lang w:eastAsia="zh-CN"/>
        </w:rPr>
        <w:t xml:space="preserve">In this chapter I discussed a range of theoretical approaches for the study of disability and of disabled childhoods as well as reviewing the available research on children and young people with RG and considering their implications. My intention was to demonstrate, on the one hand, the pluralism of theoretical approaches to disability and disabled childhood and, on the other hand, the narrow (and limited), dominant deficit perspective that has been adopted in the study of young people with RG. Therefore, one of the aims of this thesis was to take advantage of this pluralism and apply it in the case of young people with RG to understand their schooling experiences. This took place through the use of  ‘plunder as a method’  (Hughes et al 2012: 315), which enabled me to draw on various theoretical frameworks to make sense and interpret the stories, including the CDS approaches discussed earlier (e.g. phenomenological and post-structuralist disability studies) as well as concepts and arguments from DCCS, such as centring disabled young people’s experiences and acknowledging their agency (Curran and Runswick-Cole 2013).  </w:t>
      </w:r>
    </w:p>
    <w:p w14:paraId="46D489D3" w14:textId="77777777" w:rsidR="00BE2C1D" w:rsidRPr="00BE2C1D" w:rsidRDefault="00BE2C1D" w:rsidP="00BE2C1D">
      <w:pPr>
        <w:spacing w:line="360" w:lineRule="auto"/>
        <w:jc w:val="both"/>
        <w:rPr>
          <w:rFonts w:eastAsiaTheme="minorEastAsia"/>
          <w:lang w:eastAsia="zh-CN"/>
        </w:rPr>
      </w:pPr>
      <w:r w:rsidRPr="00BE2C1D">
        <w:rPr>
          <w:rFonts w:eastAsiaTheme="minorEastAsia"/>
          <w:lang w:eastAsia="zh-CN"/>
        </w:rPr>
        <w:t>For instance, Chapter 4 brings together materialist and poststructuralist disability studies to consider the role of space in the exclusion of disabled young people from certain school spaces as well as the production of disabled subjectivities. This takes place through an</w:t>
      </w:r>
    </w:p>
    <w:p w14:paraId="62B84A14" w14:textId="77777777" w:rsidR="00BE2C1D" w:rsidRPr="00BE2C1D" w:rsidRDefault="00BE2C1D" w:rsidP="00BE2C1D">
      <w:pPr>
        <w:spacing w:line="360" w:lineRule="auto"/>
        <w:ind w:left="720"/>
        <w:jc w:val="both"/>
        <w:rPr>
          <w:rFonts w:eastAsiaTheme="minorEastAsia"/>
          <w:sz w:val="20"/>
          <w:szCs w:val="20"/>
          <w:lang w:eastAsia="zh-CN"/>
        </w:rPr>
      </w:pPr>
      <w:r w:rsidRPr="00BE2C1D">
        <w:rPr>
          <w:rFonts w:eastAsiaTheme="minorEastAsia"/>
          <w:sz w:val="20"/>
          <w:szCs w:val="20"/>
          <w:lang w:eastAsia="zh-CN"/>
        </w:rPr>
        <w:t>emplaced model of disability wherein bodies, social expectations and built form intersect in embodied experiences in specific environments to increase or decrease the capacity of disabled children to act in those environments (Stephens et al. 2016: 194).</w:t>
      </w:r>
    </w:p>
    <w:p w14:paraId="52FEC6B8" w14:textId="77777777" w:rsidR="00BE2C1D" w:rsidRPr="00BE2C1D" w:rsidRDefault="00BE2C1D" w:rsidP="00BE2C1D">
      <w:pPr>
        <w:spacing w:line="360" w:lineRule="auto"/>
        <w:jc w:val="both"/>
        <w:rPr>
          <w:rFonts w:eastAsiaTheme="minorEastAsia"/>
          <w:lang w:eastAsia="zh-CN"/>
        </w:rPr>
      </w:pPr>
      <w:r w:rsidRPr="00BE2C1D">
        <w:rPr>
          <w:rFonts w:eastAsiaTheme="minorEastAsia"/>
          <w:lang w:eastAsia="zh-CN"/>
        </w:rPr>
        <w:lastRenderedPageBreak/>
        <w:t xml:space="preserve">New materialist disability studies is adopted in the second part of the chapter to apply an assemblage analysis which considers the different elements that shaped the experiences of participants of their equipment they were provided with. The new materialist approach enabled me to pay attention to the material structures without falling back into the trap of essentialism as well as to consider the different components that shaped the participants’ experiences of such equipment. </w:t>
      </w:r>
    </w:p>
    <w:p w14:paraId="131A5870" w14:textId="77777777" w:rsidR="00BE2C1D" w:rsidRPr="00BE2C1D" w:rsidRDefault="00BE2C1D" w:rsidP="00BE2C1D">
      <w:pPr>
        <w:spacing w:line="360" w:lineRule="auto"/>
        <w:jc w:val="both"/>
        <w:rPr>
          <w:rFonts w:eastAsiaTheme="minorEastAsia"/>
          <w:lang w:eastAsia="zh-CN"/>
        </w:rPr>
      </w:pPr>
      <w:r w:rsidRPr="00BE2C1D">
        <w:rPr>
          <w:rFonts w:eastAsiaTheme="minorEastAsia"/>
          <w:lang w:eastAsia="zh-CN"/>
        </w:rPr>
        <w:t xml:space="preserve">Chapter 5 starts with a social relational approach to teaching assistants’ support, considering how such support triggered and/or removed barriers to doing and barriers to being (Thomas 1997). In the next part of the chapter, I engage with poststructuralist disability studies and, in particular, Foucauldian disability studies, to examine how the participants found themselves under the constant surveillance of their assistants and its repercussions. Moreover, participants’ multifaceted resistance to their surveillance is discussed. </w:t>
      </w:r>
    </w:p>
    <w:p w14:paraId="74BF811F" w14:textId="77777777" w:rsidR="00BE2C1D" w:rsidRPr="00BE2C1D" w:rsidRDefault="00BE2C1D" w:rsidP="00BE2C1D">
      <w:pPr>
        <w:spacing w:line="360" w:lineRule="auto"/>
        <w:jc w:val="both"/>
        <w:rPr>
          <w:rFonts w:eastAsiaTheme="minorEastAsia"/>
          <w:lang w:eastAsia="zh-CN"/>
        </w:rPr>
      </w:pPr>
      <w:r w:rsidRPr="00BE2C1D">
        <w:rPr>
          <w:rFonts w:eastAsiaTheme="minorEastAsia"/>
          <w:lang w:eastAsia="zh-CN"/>
        </w:rPr>
        <w:t>In chapter 6, a phenomenological disability studies approach is adopted to consider how participants’ bodies dys-appeared both organically e.g. due to inaccessible structures and socially e.g. due to their teachers’ disabling attitudes. A discussion of the relationship between the phenomenon of dys-appearance and psycho-emotional disablism (Reeve 2012) also takes place to acknowledge the psycho-emotional toll dys-appearance had on participants as well as the hidden and emotional labour they had to put to deal with it.</w:t>
      </w:r>
    </w:p>
    <w:p w14:paraId="71C98A8E" w14:textId="77777777" w:rsidR="00BE2C1D" w:rsidRPr="00BE2C1D" w:rsidRDefault="00BE2C1D" w:rsidP="00BE2C1D">
      <w:pPr>
        <w:spacing w:line="360" w:lineRule="auto"/>
        <w:jc w:val="both"/>
        <w:rPr>
          <w:rFonts w:eastAsiaTheme="minorEastAsia"/>
          <w:lang w:eastAsia="zh-CN"/>
        </w:rPr>
      </w:pPr>
      <w:r w:rsidRPr="00BE2C1D">
        <w:rPr>
          <w:rFonts w:eastAsiaTheme="minorEastAsia"/>
          <w:lang w:eastAsia="zh-CN"/>
        </w:rPr>
        <w:t xml:space="preserve">In chapter 7, I bring together CDS and a poststructuralist, Foucauldian approach to bullying to consider the difference forms of violence participants encountered in schools and the roots of such violence. These two frameworks shift the discussion away from attributing such violence to predispositions of aggressive individuals to the social roots of such violence, that is the violence of disablism (Goodley and Runswick-Cole 2011a). Participants’ resistance against such violence is also considered.    </w:t>
      </w:r>
    </w:p>
    <w:p w14:paraId="5BD55302" w14:textId="77777777" w:rsidR="00BE2C1D" w:rsidRPr="00BE2C1D" w:rsidRDefault="00BE2C1D" w:rsidP="00BE2C1D">
      <w:pPr>
        <w:spacing w:line="360" w:lineRule="auto"/>
        <w:jc w:val="both"/>
        <w:rPr>
          <w:rFonts w:eastAsiaTheme="minorEastAsia"/>
          <w:lang w:eastAsia="zh-CN"/>
        </w:rPr>
      </w:pPr>
      <w:r w:rsidRPr="00BE2C1D">
        <w:rPr>
          <w:rFonts w:eastAsiaTheme="minorEastAsia"/>
          <w:lang w:eastAsia="zh-CN"/>
        </w:rPr>
        <w:t>Across all chapters DCCS’s tenets play a crucial role, such as recognising disabled young people’s agency and the different discourses that interpellate them into fixed positions and their resistance to them.</w:t>
      </w:r>
    </w:p>
    <w:p w14:paraId="21DE6372" w14:textId="77777777" w:rsidR="00BE2C1D" w:rsidRPr="00BE2C1D" w:rsidRDefault="00BE2C1D" w:rsidP="00BE2C1D">
      <w:pPr>
        <w:spacing w:line="360" w:lineRule="auto"/>
        <w:jc w:val="both"/>
        <w:rPr>
          <w:rFonts w:eastAsiaTheme="minorEastAsia"/>
          <w:lang w:eastAsia="zh-CN"/>
        </w:rPr>
      </w:pPr>
    </w:p>
    <w:p w14:paraId="6B99DF95" w14:textId="77777777" w:rsidR="00BE2C1D" w:rsidRPr="00BE2C1D" w:rsidRDefault="00BE2C1D" w:rsidP="00BE2C1D">
      <w:pPr>
        <w:spacing w:line="360" w:lineRule="auto"/>
        <w:jc w:val="both"/>
        <w:rPr>
          <w:rFonts w:eastAsiaTheme="minorEastAsia"/>
          <w:lang w:eastAsia="zh-CN"/>
        </w:rPr>
      </w:pPr>
    </w:p>
    <w:p w14:paraId="092348CC" w14:textId="77777777" w:rsidR="00BE2C1D" w:rsidRPr="00BE2C1D" w:rsidRDefault="00BE2C1D" w:rsidP="00BE2C1D">
      <w:pPr>
        <w:spacing w:line="360" w:lineRule="auto"/>
        <w:jc w:val="both"/>
        <w:rPr>
          <w:rFonts w:eastAsiaTheme="minorEastAsia"/>
          <w:lang w:eastAsia="zh-CN"/>
        </w:rPr>
      </w:pPr>
    </w:p>
    <w:p w14:paraId="29AC82B7" w14:textId="77777777" w:rsidR="00BE2C1D" w:rsidRPr="00BE2C1D" w:rsidRDefault="00BE2C1D" w:rsidP="00BE2C1D">
      <w:pPr>
        <w:keepNext/>
        <w:keepLines/>
        <w:spacing w:before="240" w:after="0" w:line="360" w:lineRule="auto"/>
        <w:outlineLvl w:val="0"/>
        <w:rPr>
          <w:rFonts w:asciiTheme="majorHAnsi" w:eastAsiaTheme="majorEastAsia" w:hAnsiTheme="majorHAnsi" w:cstheme="majorBidi"/>
          <w:color w:val="2F5496" w:themeColor="accent1" w:themeShade="BF"/>
          <w:sz w:val="32"/>
          <w:szCs w:val="32"/>
          <w:lang w:eastAsia="zh-CN"/>
        </w:rPr>
      </w:pPr>
      <w:bookmarkStart w:id="78" w:name="_Toc39585221"/>
      <w:bookmarkEnd w:id="77"/>
      <w:r w:rsidRPr="00BE2C1D">
        <w:rPr>
          <w:rFonts w:asciiTheme="majorHAnsi" w:eastAsiaTheme="majorEastAsia" w:hAnsiTheme="majorHAnsi" w:cstheme="majorBidi"/>
          <w:color w:val="2F5496" w:themeColor="accent1" w:themeShade="BF"/>
          <w:sz w:val="32"/>
          <w:szCs w:val="32"/>
          <w:lang w:eastAsia="zh-CN"/>
        </w:rPr>
        <w:lastRenderedPageBreak/>
        <w:t>Chapter 3: Methodological Orientations</w:t>
      </w:r>
      <w:bookmarkEnd w:id="78"/>
    </w:p>
    <w:p w14:paraId="5A1F80B1" w14:textId="77777777" w:rsidR="00BE2C1D" w:rsidRPr="00BE2C1D" w:rsidRDefault="00BE2C1D" w:rsidP="00BE2C1D">
      <w:pPr>
        <w:keepNext/>
        <w:keepLines/>
        <w:spacing w:before="40" w:after="0" w:line="360" w:lineRule="auto"/>
        <w:outlineLvl w:val="1"/>
        <w:rPr>
          <w:rFonts w:asciiTheme="majorHAnsi" w:eastAsiaTheme="majorEastAsia" w:hAnsiTheme="majorHAnsi" w:cstheme="majorBidi"/>
          <w:color w:val="2F5496" w:themeColor="accent1" w:themeShade="BF"/>
          <w:sz w:val="26"/>
          <w:szCs w:val="26"/>
          <w:lang w:eastAsia="zh-CN"/>
        </w:rPr>
      </w:pPr>
      <w:bookmarkStart w:id="79" w:name="_Toc39585222"/>
      <w:r w:rsidRPr="00BE2C1D">
        <w:rPr>
          <w:rFonts w:asciiTheme="majorHAnsi" w:eastAsiaTheme="majorEastAsia" w:hAnsiTheme="majorHAnsi" w:cstheme="majorBidi"/>
          <w:color w:val="2F5496" w:themeColor="accent1" w:themeShade="BF"/>
          <w:sz w:val="26"/>
          <w:szCs w:val="26"/>
          <w:lang w:eastAsia="zh-CN"/>
        </w:rPr>
        <w:t>Introduction</w:t>
      </w:r>
      <w:bookmarkEnd w:id="79"/>
    </w:p>
    <w:p w14:paraId="0598FAD1" w14:textId="77777777" w:rsidR="00BE2C1D" w:rsidRPr="00BE2C1D" w:rsidRDefault="00BE2C1D" w:rsidP="00BE2C1D">
      <w:pPr>
        <w:spacing w:line="360" w:lineRule="auto"/>
        <w:jc w:val="both"/>
      </w:pPr>
      <w:r w:rsidRPr="00BE2C1D">
        <w:t xml:space="preserve">This chapter consists of two stories: one ‘neat’ and one ‘messy’. The aim of the ‘neat story’ is to depict clearly who was approached to participate in this research (sampling), how they were approached and recruited (access and recruitment), who agreed to take part in the research (participants’ demographics) and what their involvement included (methods). This story also includes clear definitions of the main concepts of my narrative methodology - stories and experience, and their epistemological and ontological underpinnings and a discussion of the theoretical frameworks that shaped my storytelling methodology (feminist poststructuralism, CDS and DCCS). I also elaborate on how I analysed the participants’ stories (method of analysis) and the ethical procedures I adhered to in this research (ethical considerations). </w:t>
      </w:r>
    </w:p>
    <w:p w14:paraId="58DAE8B5" w14:textId="77777777" w:rsidR="00BE2C1D" w:rsidRPr="00BE2C1D" w:rsidRDefault="00BE2C1D" w:rsidP="00BE2C1D">
      <w:pPr>
        <w:spacing w:line="360" w:lineRule="auto"/>
        <w:jc w:val="both"/>
      </w:pPr>
      <w:r w:rsidRPr="00BE2C1D">
        <w:t xml:space="preserve">In the ‘messy story’ I reflect critically on the complexity of certain issues that were already discussed in the neat story, using a feminist tool, ‘uncomfortable reflexivity’ (Pillow 2003: 193).  Specifically, I revisit the discussions around access and gatekeeping, in-person recruitment and the ethics of analysis. What runs through these discussions is a consideration of my embodied positionality and how it affected each process - access, recruitment and analysis. The aim of the messy story is ‘to know while at the same time situates this knowing as tenuous’ (Pillow, 2003: 188). Finally, a summary of the chapter along with a brief reference to the analysis chapters to follow is shared.  </w:t>
      </w:r>
    </w:p>
    <w:p w14:paraId="611E5E37" w14:textId="77777777" w:rsidR="00BE2C1D" w:rsidRPr="00BE2C1D" w:rsidRDefault="00BE2C1D" w:rsidP="00BE2C1D">
      <w:pPr>
        <w:keepNext/>
        <w:keepLines/>
        <w:spacing w:before="40" w:after="0" w:line="360" w:lineRule="auto"/>
        <w:outlineLvl w:val="1"/>
        <w:rPr>
          <w:rFonts w:asciiTheme="majorHAnsi" w:eastAsiaTheme="majorEastAsia" w:hAnsiTheme="majorHAnsi" w:cstheme="majorBidi"/>
          <w:color w:val="2F5496" w:themeColor="accent1" w:themeShade="BF"/>
          <w:sz w:val="26"/>
          <w:szCs w:val="26"/>
          <w:lang w:eastAsia="zh-CN"/>
        </w:rPr>
      </w:pPr>
      <w:bookmarkStart w:id="80" w:name="_Toc39585223"/>
      <w:r w:rsidRPr="00BE2C1D">
        <w:rPr>
          <w:rFonts w:asciiTheme="majorHAnsi" w:eastAsiaTheme="majorEastAsia" w:hAnsiTheme="majorHAnsi" w:cstheme="majorBidi"/>
          <w:color w:val="2F5496" w:themeColor="accent1" w:themeShade="BF"/>
          <w:sz w:val="26"/>
          <w:szCs w:val="26"/>
          <w:lang w:eastAsia="zh-CN"/>
        </w:rPr>
        <w:t>Sampling, Recruitment and Participants</w:t>
      </w:r>
      <w:bookmarkEnd w:id="80"/>
    </w:p>
    <w:p w14:paraId="6511447C" w14:textId="77777777" w:rsidR="00BE2C1D" w:rsidRPr="00BE2C1D" w:rsidRDefault="00BE2C1D" w:rsidP="00BE2C1D">
      <w:pPr>
        <w:spacing w:line="360" w:lineRule="auto"/>
        <w:jc w:val="both"/>
      </w:pPr>
      <w:r w:rsidRPr="00BE2C1D">
        <w:t>In this section, I outline the sampling criteria I set from the onset of this research and justify such options. I then describe the population of people with RG in the UK as a ‘hard-to-reach’</w:t>
      </w:r>
      <w:r w:rsidRPr="00BE2C1D">
        <w:rPr>
          <w:vertAlign w:val="superscript"/>
        </w:rPr>
        <w:footnoteReference w:id="33"/>
      </w:r>
      <w:r w:rsidRPr="00BE2C1D">
        <w:t xml:space="preserve"> group (Sydor 2013) and discuss how this affected and shaped the ways I advertised the research and I recruited participants. I also consider some of the difficulties of online recruitment and how research encounters in person can better facilitate rapports of trust, which also result in more effective recruitment of participants. Twenty participants were recruited, whose demographics are represented in tables. Finally, the benefits and limitations of my sample are considered. </w:t>
      </w:r>
    </w:p>
    <w:p w14:paraId="627D4773" w14:textId="77777777" w:rsidR="00BE2C1D" w:rsidRPr="00BE2C1D" w:rsidRDefault="00BE2C1D" w:rsidP="00BE2C1D">
      <w:pPr>
        <w:keepNext/>
        <w:keepLines/>
        <w:spacing w:before="40" w:after="0" w:line="360" w:lineRule="auto"/>
        <w:outlineLvl w:val="2"/>
        <w:rPr>
          <w:rFonts w:asciiTheme="majorHAnsi" w:eastAsiaTheme="majorEastAsia" w:hAnsiTheme="majorHAnsi" w:cstheme="majorBidi"/>
          <w:color w:val="1F3763" w:themeColor="accent1" w:themeShade="7F"/>
          <w:sz w:val="24"/>
          <w:szCs w:val="24"/>
          <w:lang w:eastAsia="zh-CN"/>
        </w:rPr>
      </w:pPr>
      <w:bookmarkStart w:id="81" w:name="_Toc39585224"/>
      <w:r w:rsidRPr="00BE2C1D">
        <w:rPr>
          <w:rFonts w:asciiTheme="majorHAnsi" w:eastAsiaTheme="majorEastAsia" w:hAnsiTheme="majorHAnsi" w:cstheme="majorBidi"/>
          <w:color w:val="1F3763" w:themeColor="accent1" w:themeShade="7F"/>
          <w:sz w:val="24"/>
          <w:szCs w:val="24"/>
          <w:lang w:eastAsia="zh-CN"/>
        </w:rPr>
        <w:t>Sampling Criteria</w:t>
      </w:r>
      <w:bookmarkEnd w:id="81"/>
      <w:r w:rsidRPr="00BE2C1D">
        <w:rPr>
          <w:rFonts w:asciiTheme="majorHAnsi" w:eastAsiaTheme="majorEastAsia" w:hAnsiTheme="majorHAnsi" w:cstheme="majorBidi"/>
          <w:color w:val="1F3763" w:themeColor="accent1" w:themeShade="7F"/>
          <w:sz w:val="24"/>
          <w:szCs w:val="24"/>
          <w:lang w:eastAsia="zh-CN"/>
        </w:rPr>
        <w:t xml:space="preserve"> </w:t>
      </w:r>
    </w:p>
    <w:p w14:paraId="7B2AF106" w14:textId="77777777" w:rsidR="00BE2C1D" w:rsidRPr="00BE2C1D" w:rsidRDefault="00BE2C1D" w:rsidP="00BE2C1D">
      <w:pPr>
        <w:spacing w:line="360" w:lineRule="auto"/>
        <w:jc w:val="both"/>
      </w:pPr>
      <w:r w:rsidRPr="00BE2C1D">
        <w:t xml:space="preserve">The criteria for participation in this research were defined by me and specified that individuals </w:t>
      </w:r>
    </w:p>
    <w:p w14:paraId="396D62C0" w14:textId="77777777" w:rsidR="00BE2C1D" w:rsidRPr="00BE2C1D" w:rsidRDefault="00BE2C1D" w:rsidP="00BE2C1D">
      <w:pPr>
        <w:numPr>
          <w:ilvl w:val="0"/>
          <w:numId w:val="1"/>
        </w:numPr>
        <w:spacing w:line="360" w:lineRule="auto"/>
        <w:contextualSpacing/>
        <w:jc w:val="both"/>
      </w:pPr>
      <w:r w:rsidRPr="00BE2C1D">
        <w:t>Identified as having a RG condition</w:t>
      </w:r>
    </w:p>
    <w:p w14:paraId="3472250F" w14:textId="77777777" w:rsidR="00BE2C1D" w:rsidRPr="00BE2C1D" w:rsidRDefault="00BE2C1D" w:rsidP="00BE2C1D">
      <w:pPr>
        <w:numPr>
          <w:ilvl w:val="0"/>
          <w:numId w:val="1"/>
        </w:numPr>
        <w:spacing w:line="360" w:lineRule="auto"/>
        <w:contextualSpacing/>
        <w:jc w:val="both"/>
      </w:pPr>
      <w:r w:rsidRPr="00BE2C1D">
        <w:t>Were between the ages of 11 and 30 years old</w:t>
      </w:r>
    </w:p>
    <w:p w14:paraId="1A048AF7" w14:textId="77777777" w:rsidR="00BE2C1D" w:rsidRPr="00BE2C1D" w:rsidRDefault="00BE2C1D" w:rsidP="00BE2C1D">
      <w:pPr>
        <w:numPr>
          <w:ilvl w:val="0"/>
          <w:numId w:val="1"/>
        </w:numPr>
        <w:spacing w:line="360" w:lineRule="auto"/>
        <w:contextualSpacing/>
        <w:jc w:val="both"/>
      </w:pPr>
      <w:r w:rsidRPr="00BE2C1D">
        <w:lastRenderedPageBreak/>
        <w:t>Were educated in secondary schools in the United Kingdom.</w:t>
      </w:r>
    </w:p>
    <w:p w14:paraId="3B53E964" w14:textId="77777777" w:rsidR="00BE2C1D" w:rsidRPr="00BE2C1D" w:rsidRDefault="00BE2C1D" w:rsidP="00BE2C1D">
      <w:pPr>
        <w:spacing w:line="360" w:lineRule="auto"/>
        <w:jc w:val="both"/>
      </w:pPr>
      <w:r w:rsidRPr="00BE2C1D">
        <w:t xml:space="preserve">The first criterion was about self-identification with RG rather than a medical diagnosis. This had to do with my standpoint in relation to diagnosis, which was informed by LeFrancois’ and Diamond’s (2014) work. They argued that diagnosis’ role is to categorise, dehumanize and make abject and that ‘diagnoses, which inform subjectivities, falsely medicalise experiences, and fabricate ‘abnormal’ categories through a normative process, rendering children abject and queer (ibid: 53). Moreover, in previous studies with people with RG (Ellis 2018; Pritchard 2014; Shakespeare et al. 2010), some of the participants had not received a medical diagnosis for their condition. Shakespeare et al. (2010) attributed that to either participants not having used the relevant hospital services or participants’ families had not considered their diagnosis essential. This was the case mostly with older participants. Since the upper age limit for participation in this research was 30 years old and considering the rise of Surveillance Medicine (Armstrong 1995) and the medicalisation of early childhood (Tseng 2017), it was quite unlikely that potential participants would have not received some form of diagnosis. Nevertheless, this research was designed to be inclusive in terms of not excluding those who ‘lacked a ‘proper’ (read: medically acceptable, doctor provided, and insurer-approved) diagnosis’ (Kafer 2013, 12, 13, cited in Schalk, 2017, n. p.). </w:t>
      </w:r>
    </w:p>
    <w:p w14:paraId="1D2D7BFE" w14:textId="77777777" w:rsidR="00BE2C1D" w:rsidRPr="00BE2C1D" w:rsidRDefault="00BE2C1D" w:rsidP="00BE2C1D">
      <w:pPr>
        <w:spacing w:line="360" w:lineRule="auto"/>
        <w:jc w:val="both"/>
      </w:pPr>
      <w:r w:rsidRPr="00BE2C1D">
        <w:t>The age of this age group - eleven to thirty years old-was premised on the fact that the schooling experiences of young people with RG have yet to be heard, especially as articulated by them, rather than their parents (Ablon 1988) or their teachers. However, both the upper and the lower age limit came with certain difficulties. On the one hand, the upper-age limit felt quite limiting at times, when people with RG who were older than 30 years contacted me and asked whether they could participate. On the other hand, recruiting participants who were not adults yet and who were also disabled meant further complexities in relation to the ethics approval of the research (both the age and the disability of the participants classified them as vulnerable</w:t>
      </w:r>
      <w:r w:rsidRPr="00BE2C1D">
        <w:rPr>
          <w:vertAlign w:val="superscript"/>
        </w:rPr>
        <w:footnoteReference w:id="34"/>
      </w:r>
      <w:r w:rsidRPr="00BE2C1D">
        <w:t xml:space="preserve">) and to the recruitment of potential participants (e.g. consent should be given by parents before talking with their children about whether they would like to be involved). </w:t>
      </w:r>
    </w:p>
    <w:p w14:paraId="74FA90DE" w14:textId="77777777" w:rsidR="00BE2C1D" w:rsidRPr="00BE2C1D" w:rsidRDefault="00BE2C1D" w:rsidP="00BE2C1D">
      <w:pPr>
        <w:autoSpaceDE w:val="0"/>
        <w:autoSpaceDN w:val="0"/>
        <w:adjustRightInd w:val="0"/>
        <w:spacing w:after="0" w:line="360" w:lineRule="auto"/>
        <w:jc w:val="both"/>
      </w:pPr>
      <w:r w:rsidRPr="00BE2C1D">
        <w:t xml:space="preserve">The third sampling criteria had to do with the level of education, secondary education. One of the main reasons behind this choice was the findings from Shakespeare et al.’s (2007) research, which suggested that it was during secondary school that people with RG became more height conscious. In particular, they had become more self-aware of their height due to the height difference with their peers becoming more noticeable and due to others’ (such as peers and teachers) reactions to their height. This finding was something that I also intended to look further into. Secondly, previous studies </w:t>
      </w:r>
      <w:r w:rsidRPr="00BE2C1D">
        <w:lastRenderedPageBreak/>
        <w:t xml:space="preserve">on young people with RG had focused predominantly on their primary school years (Abbott et al. 1982; Holmes et al. 1982), leaving a gap on what it was like for young people with RG to go through their secondary education in the United Kingdom. This research aims to fill this gap by focusing specifically on this level of education.   </w:t>
      </w:r>
    </w:p>
    <w:p w14:paraId="4B948D6F" w14:textId="77777777" w:rsidR="00BE2C1D" w:rsidRPr="00BE2C1D" w:rsidRDefault="00BE2C1D" w:rsidP="00BE2C1D">
      <w:pPr>
        <w:keepNext/>
        <w:keepLines/>
        <w:spacing w:before="40" w:after="0" w:line="360" w:lineRule="auto"/>
        <w:outlineLvl w:val="2"/>
        <w:rPr>
          <w:rFonts w:asciiTheme="majorHAnsi" w:eastAsiaTheme="majorEastAsia" w:hAnsiTheme="majorHAnsi" w:cstheme="majorBidi"/>
          <w:color w:val="1F3763" w:themeColor="accent1" w:themeShade="7F"/>
          <w:sz w:val="24"/>
          <w:szCs w:val="24"/>
          <w:lang w:eastAsia="zh-CN"/>
        </w:rPr>
      </w:pPr>
      <w:bookmarkStart w:id="82" w:name="_Toc39585225"/>
      <w:r w:rsidRPr="00BE2C1D">
        <w:rPr>
          <w:rFonts w:asciiTheme="majorHAnsi" w:eastAsiaTheme="majorEastAsia" w:hAnsiTheme="majorHAnsi" w:cstheme="majorBidi"/>
          <w:color w:val="1F3763" w:themeColor="accent1" w:themeShade="7F"/>
          <w:sz w:val="24"/>
          <w:szCs w:val="24"/>
          <w:lang w:eastAsia="zh-CN"/>
        </w:rPr>
        <w:t>Access and Recruitment</w:t>
      </w:r>
      <w:bookmarkEnd w:id="82"/>
      <w:r w:rsidRPr="00BE2C1D">
        <w:rPr>
          <w:rFonts w:asciiTheme="majorHAnsi" w:eastAsiaTheme="majorEastAsia" w:hAnsiTheme="majorHAnsi" w:cstheme="majorBidi"/>
          <w:color w:val="1F3763" w:themeColor="accent1" w:themeShade="7F"/>
          <w:sz w:val="24"/>
          <w:szCs w:val="24"/>
          <w:lang w:eastAsia="zh-CN"/>
        </w:rPr>
        <w:t xml:space="preserve"> </w:t>
      </w:r>
    </w:p>
    <w:p w14:paraId="1D02ADAC" w14:textId="01C394DE" w:rsidR="00BE2C1D" w:rsidRPr="00BE2C1D" w:rsidRDefault="00BE2C1D" w:rsidP="00BE2C1D">
      <w:pPr>
        <w:spacing w:line="360" w:lineRule="auto"/>
        <w:jc w:val="both"/>
      </w:pPr>
      <w:r w:rsidRPr="00BE2C1D">
        <w:t>After receiving the ethics approval</w:t>
      </w:r>
      <w:r w:rsidRPr="00BE2C1D">
        <w:rPr>
          <w:vertAlign w:val="superscript"/>
        </w:rPr>
        <w:footnoteReference w:id="35"/>
      </w:r>
      <w:r w:rsidRPr="00BE2C1D">
        <w:t xml:space="preserve"> of the University of Sheffield to proceed with my fieldwork, I utili</w:t>
      </w:r>
      <w:r w:rsidR="00872142">
        <w:t>s</w:t>
      </w:r>
      <w:r w:rsidRPr="00BE2C1D">
        <w:t>ed a multi-channel</w:t>
      </w:r>
      <w:r w:rsidRPr="00BE2C1D">
        <w:rPr>
          <w:vertAlign w:val="superscript"/>
        </w:rPr>
        <w:footnoteReference w:id="36"/>
      </w:r>
      <w:r w:rsidRPr="00BE2C1D">
        <w:t xml:space="preserve"> approach to recruitment (Rockliffe et al. 2018), meaning that a range of recruiting strategies were used, referring to both the different modes and materials for advertising the research e.g. through posters, videos and in person, and the various platforms and gatekeepers that these were shared and negotiated with, such as charities and associations, Facebook Groups and Twitter. Before elaborating on this multi-channel approach, I consider it crucial to explain what made me choose this approach in the first place.</w:t>
      </w:r>
    </w:p>
    <w:p w14:paraId="0ACD6ADE" w14:textId="179167CE" w:rsidR="00BE2C1D" w:rsidRPr="00BE2C1D" w:rsidRDefault="00BE2C1D" w:rsidP="00BE2C1D">
      <w:pPr>
        <w:spacing w:line="360" w:lineRule="auto"/>
        <w:jc w:val="both"/>
      </w:pPr>
      <w:r w:rsidRPr="00BE2C1D">
        <w:t>Multi-channel approaches have proved effective for the recruitment of participants from ‘hard-to-reach’ groups (Rockliffe et al. 2018). The term ‘hard-to-reach’ can be stigmatising (Shaghaghi et al. 2011) in terms of homogenising and pathologi</w:t>
      </w:r>
      <w:r w:rsidR="00794AD0">
        <w:t>s</w:t>
      </w:r>
      <w:r w:rsidRPr="00BE2C1D">
        <w:t xml:space="preserve">ing certain marginalised groups - disabled groups, immigrants and asylum seekers - which are not easy to access (Harris and Roberts 2003). As Rockliffe et al. (2018) acknowledged, ‘hard-to-reach’ is a label that has been forced to a range of groups and in different contexts.  As Sydor (2013) clarified, ‘hard to reach populations are difficult for researchers to access’, a difficulty which has to do with their marginalisation and not the populations themselves. In the case of people with RG in the UK, Shakespeare et al. (2010) claimed that RG affects approximately 6000 individuals, which means that the population is a quite small one, making the access to them even harder.   </w:t>
      </w:r>
    </w:p>
    <w:p w14:paraId="05896FCA" w14:textId="77777777" w:rsidR="00BE2C1D" w:rsidRPr="00BE2C1D" w:rsidRDefault="00BE2C1D" w:rsidP="00BE2C1D">
      <w:pPr>
        <w:spacing w:line="360" w:lineRule="auto"/>
        <w:jc w:val="both"/>
      </w:pPr>
      <w:r w:rsidRPr="00BE2C1D">
        <w:t>Other difficulties (besides marginalisation) to access and recruit from hard to reach groups had to do with their feelings of mistrust towards research(ers), after having been mistreated or exploited (Bonevski et al. 2014; Kitchin 2000; Shangera &amp; Thapar-Bjokert 2008) or due to barriers that could hinder their participation, such as access</w:t>
      </w:r>
      <w:r w:rsidRPr="00BE2C1D">
        <w:rPr>
          <w:vertAlign w:val="superscript"/>
        </w:rPr>
        <w:footnoteReference w:id="37"/>
      </w:r>
      <w:r w:rsidRPr="00BE2C1D">
        <w:t xml:space="preserve"> issues (Harris and Roberts 2003; Waheed et al. 2015). Such mistrust could be related to Berenstain’s (2016: 570) concept of ‘epistemic exploitation’, which ‘occurs </w:t>
      </w:r>
      <w:r w:rsidRPr="00BE2C1D">
        <w:lastRenderedPageBreak/>
        <w:t xml:space="preserve">when privileged persons compel marginalized persons to educate them about the nature of their oppression’. Berenstain (ibid: 574) warned about potential harms: </w:t>
      </w:r>
    </w:p>
    <w:p w14:paraId="04924126" w14:textId="77777777" w:rsidR="00BE2C1D" w:rsidRPr="00BE2C1D" w:rsidRDefault="00BE2C1D" w:rsidP="00BE2C1D">
      <w:pPr>
        <w:spacing w:line="360" w:lineRule="auto"/>
        <w:ind w:left="720"/>
        <w:jc w:val="both"/>
        <w:rPr>
          <w:sz w:val="20"/>
          <w:szCs w:val="20"/>
        </w:rPr>
      </w:pPr>
      <w:r w:rsidRPr="00BE2C1D">
        <w:rPr>
          <w:sz w:val="20"/>
          <w:szCs w:val="20"/>
        </w:rPr>
        <w:t>In addition to being cognitively costly, unrecognised, and unpaid, the work that marginalized people provide through epistemic exploitation is frequently dismissed by those who demand it. Nothing comes of it. Oppressors demand labour and then leave the fruits of the labour to spoil and perish. This reveals an important function of epistemic exploitation: to keep the oppressed busy doing the oppressor’s work.</w:t>
      </w:r>
    </w:p>
    <w:p w14:paraId="79D9FB16" w14:textId="1B710947" w:rsidR="00BE2C1D" w:rsidRPr="00BE2C1D" w:rsidRDefault="00BE2C1D" w:rsidP="00BE2C1D">
      <w:pPr>
        <w:spacing w:line="360" w:lineRule="auto"/>
        <w:jc w:val="both"/>
      </w:pPr>
      <w:r w:rsidRPr="00BE2C1D">
        <w:t xml:space="preserve">In disability research, strong metaphors were used to describe such a sense of exploitation (Barnes and Mercer 1997), such as </w:t>
      </w:r>
      <w:r w:rsidRPr="00BE2C1D">
        <w:rPr>
          <w:rFonts w:ascii="Calibri" w:hAnsi="Calibri" w:cs="Calibri"/>
        </w:rPr>
        <w:t xml:space="preserve">falling </w:t>
      </w:r>
      <w:r w:rsidR="00520499">
        <w:rPr>
          <w:rFonts w:ascii="Calibri" w:hAnsi="Calibri" w:cs="Calibri"/>
        </w:rPr>
        <w:t>‘</w:t>
      </w:r>
      <w:r w:rsidRPr="00BE2C1D">
        <w:rPr>
          <w:rFonts w:ascii="Calibri" w:hAnsi="Calibri" w:cs="Calibri"/>
        </w:rPr>
        <w:t>victim</w:t>
      </w:r>
      <w:r w:rsidR="00520499">
        <w:rPr>
          <w:rFonts w:ascii="Calibri" w:hAnsi="Calibri" w:cs="Calibri"/>
        </w:rPr>
        <w:t>s’</w:t>
      </w:r>
      <w:r w:rsidRPr="00BE2C1D">
        <w:rPr>
          <w:rFonts w:ascii="Calibri" w:hAnsi="Calibri" w:cs="Calibri"/>
        </w:rPr>
        <w:t xml:space="preserve"> of research (Hunt 1981). Kitchin (2000: 33) also reported how some disabled people who had participated in research ‘felt </w:t>
      </w:r>
      <w:r w:rsidRPr="00BE2C1D">
        <w:rPr>
          <w:rFonts w:ascii="Calibri" w:hAnsi="Calibri"/>
          <w:bCs/>
        </w:rPr>
        <w:t xml:space="preserve">they had been exploited - their knowledge and experiences 'mined' by the researcher(s), who they then never heard of again’. </w:t>
      </w:r>
      <w:r w:rsidRPr="00BE2C1D">
        <w:t xml:space="preserve">However, such feelings of mistrust can be mitigated by building a rapport of trust with community groups where potential participants can be identified (Waheed et al. 2015; Bonevski et al. 2014; Rockliffe et al. 2018; McAreavey and Das 2013) and this is what I sought to do through the different ways I chose to advertise the research. </w:t>
      </w:r>
    </w:p>
    <w:p w14:paraId="3A82623E" w14:textId="77777777" w:rsidR="00BE2C1D" w:rsidRPr="00BE2C1D" w:rsidRDefault="00BE2C1D" w:rsidP="00BE2C1D">
      <w:pPr>
        <w:spacing w:line="360" w:lineRule="auto"/>
        <w:jc w:val="both"/>
      </w:pPr>
      <w:r w:rsidRPr="00BE2C1D">
        <w:t>Firstly, I made a brief video</w:t>
      </w:r>
      <w:r w:rsidRPr="00BE2C1D">
        <w:rPr>
          <w:vertAlign w:val="superscript"/>
        </w:rPr>
        <w:footnoteReference w:id="38"/>
      </w:r>
      <w:r w:rsidRPr="00BE2C1D">
        <w:t xml:space="preserve"> (no more than a minute), where I introduced myself and my research and I invited potential participants to contact me. The purpose of the video was to make the research more ‘humane’, in terms of showing the person behind it. However, the video also revealed to potential participants that I did not have a RG condition</w:t>
      </w:r>
      <w:r w:rsidRPr="00BE2C1D">
        <w:rPr>
          <w:vertAlign w:val="superscript"/>
        </w:rPr>
        <w:footnoteReference w:id="39"/>
      </w:r>
      <w:r w:rsidRPr="00BE2C1D">
        <w:t>. I also designed two posters</w:t>
      </w:r>
      <w:r w:rsidRPr="00BE2C1D">
        <w:rPr>
          <w:vertAlign w:val="superscript"/>
        </w:rPr>
        <w:footnoteReference w:id="40"/>
      </w:r>
      <w:r w:rsidRPr="00BE2C1D">
        <w:t>, which included a brief summary of the research and functioned as a call for participants. The online advertisement of the research started by sharing these two materials - the video and the posters - on Facebook Closed</w:t>
      </w:r>
      <w:r w:rsidRPr="00BE2C1D">
        <w:rPr>
          <w:vertAlign w:val="superscript"/>
        </w:rPr>
        <w:footnoteReference w:id="41"/>
      </w:r>
      <w:r w:rsidRPr="00BE2C1D">
        <w:t xml:space="preserve"> Groups (Brickman-Bhuta 2012) that were established by people with RG and to which I had been granted access to in the past, when I did my MA thesis</w:t>
      </w:r>
      <w:r w:rsidRPr="00BE2C1D">
        <w:rPr>
          <w:vertAlign w:val="superscript"/>
        </w:rPr>
        <w:footnoteReference w:id="42"/>
      </w:r>
      <w:r w:rsidRPr="00BE2C1D">
        <w:t>. In addition, I contacted on Messenger</w:t>
      </w:r>
      <w:r w:rsidRPr="00BE2C1D">
        <w:rPr>
          <w:vertAlign w:val="superscript"/>
        </w:rPr>
        <w:footnoteReference w:id="43"/>
      </w:r>
      <w:r w:rsidRPr="00BE2C1D">
        <w:t xml:space="preserve"> and/or via email the charities and associations of people with RG in the UK - Restricted Growth Association UK (RGA UK), Short Statured Scotland (SSS), Little People UK (LPUK), Dwarf Sports Association UK (DSA UK), Walking With Giants Foundation (WWGF), Little People of Ireland (LPI) - to ask them for their permission to advertise these two materials on their websites and/or Facebook pages. It is worth mentioning here that I was (permitted to be)</w:t>
      </w:r>
      <w:r w:rsidRPr="00BE2C1D">
        <w:rPr>
          <w:vertAlign w:val="superscript"/>
        </w:rPr>
        <w:footnoteReference w:id="44"/>
      </w:r>
      <w:r w:rsidRPr="00BE2C1D">
        <w:t xml:space="preserve"> a member of only two associations. </w:t>
      </w:r>
      <w:r w:rsidRPr="00BE2C1D">
        <w:lastRenderedPageBreak/>
        <w:t>Out of the six associations, four</w:t>
      </w:r>
      <w:r w:rsidRPr="00BE2C1D">
        <w:rPr>
          <w:vertAlign w:val="superscript"/>
        </w:rPr>
        <w:footnoteReference w:id="45"/>
      </w:r>
      <w:r w:rsidRPr="00BE2C1D">
        <w:t xml:space="preserve"> shared or permitted me to share the relevant materials on their Facebook pages.  Although I could see how many people had watched the video, with numbers being quite small, only one potential participant contacted me, and she informed me that she and her partner would like to take part in the research. I also shared the video and the posters on my Twitter account and recruited an adult participant from that platform. </w:t>
      </w:r>
    </w:p>
    <w:p w14:paraId="36FFCA0D" w14:textId="77777777" w:rsidR="00BE2C1D" w:rsidRPr="00BE2C1D" w:rsidRDefault="00BE2C1D" w:rsidP="00BE2C1D">
      <w:pPr>
        <w:spacing w:line="360" w:lineRule="auto"/>
        <w:jc w:val="both"/>
      </w:pPr>
      <w:r w:rsidRPr="00BE2C1D">
        <w:t>Online access to participants was mediated then by ‘tiers of gatekeepers’ (Agbebiyi 2013; Crowhurst 2013; Shangera and Thapar-Bjokert 2008). The administrators of the online Facebook groups and of the Facebook pages of the associations, the associations and their committee members who granted me or denied me access to their events, the parents of teenagers with RG and the participants themselves in terms of referring me to other potential participants, all acted as gatekeepers mediating my access to potential participants. Nevertheless, in my online encounters with gatekeepers I came across the issues that Crowhurst and kennedy-macfoy (2013: 460) brought up:</w:t>
      </w:r>
    </w:p>
    <w:p w14:paraId="0DF73349" w14:textId="77777777" w:rsidR="00BE2C1D" w:rsidRPr="00BE2C1D" w:rsidRDefault="00BE2C1D" w:rsidP="00BE2C1D">
      <w:pPr>
        <w:spacing w:after="0" w:line="360" w:lineRule="auto"/>
        <w:ind w:left="720"/>
        <w:jc w:val="both"/>
        <w:rPr>
          <w:rFonts w:ascii="Calibri" w:eastAsia="Times New Roman" w:hAnsi="Calibri" w:cs="Calibri"/>
          <w:bCs/>
          <w:sz w:val="20"/>
          <w:szCs w:val="20"/>
          <w:lang w:eastAsia="en-GB"/>
        </w:rPr>
      </w:pPr>
      <w:r w:rsidRPr="00BE2C1D">
        <w:rPr>
          <w:rFonts w:ascii="Calibri" w:eastAsia="Times New Roman" w:hAnsi="Calibri" w:cs="Calibri"/>
          <w:bCs/>
          <w:sz w:val="20"/>
          <w:szCs w:val="20"/>
          <w:lang w:eastAsia="en-GB"/>
        </w:rPr>
        <w:t>When gatekeepers are identified as moderators, e-list owners or influential members of online communities, issues of (in)visibility, the mediated nature of identities and interactions, as well as questions of authenticity and trust become relevant in explorations of the different ways in which gaining access is operationalized in these contexts, and research relationships are negotiated in so doing.</w:t>
      </w:r>
    </w:p>
    <w:p w14:paraId="5F7733D6" w14:textId="77777777" w:rsidR="00BE2C1D" w:rsidRPr="00BE2C1D" w:rsidRDefault="00BE2C1D" w:rsidP="00BE2C1D">
      <w:pPr>
        <w:spacing w:line="360" w:lineRule="auto"/>
        <w:jc w:val="both"/>
      </w:pPr>
      <w:r w:rsidRPr="00BE2C1D">
        <w:t>These issues</w:t>
      </w:r>
      <w:r w:rsidRPr="00BE2C1D">
        <w:rPr>
          <w:vertAlign w:val="superscript"/>
        </w:rPr>
        <w:footnoteReference w:id="46"/>
      </w:r>
      <w:r w:rsidRPr="00BE2C1D">
        <w:t xml:space="preserve"> were exacerbated when I advertised the research by privately messaging potential participants on Messenger. The potential participants I contacted were either friends of the participants of my research that they had recommended, so this was a case of snowballing (Brickman-Bhuta 2012), or they had shared their stories on public platforms, such as newspapers, websites and blogs, and, hence, I thought they would be more willing to share their story with me too. While I never got a response to the majority of the messages I sent, I still managed to recruit some participants by this means. Two adults who had already published their stories on another platform accepted to participate in the research, one adult participant gave me permission to use her online blog posts and two more adult participants responded positively to my messages. The mothers</w:t>
      </w:r>
      <w:r w:rsidRPr="00BE2C1D">
        <w:rPr>
          <w:vertAlign w:val="superscript"/>
        </w:rPr>
        <w:footnoteReference w:id="47"/>
      </w:r>
      <w:r w:rsidRPr="00BE2C1D">
        <w:t xml:space="preserve"> of two teenage participants agreed for them to get involved and then one of them introduced me to another mother of a teenage participant, who also consented for her child to participate. Following their parents’ </w:t>
      </w:r>
      <w:r w:rsidRPr="00BE2C1D">
        <w:lastRenderedPageBreak/>
        <w:t xml:space="preserve">consent, I then spoke to the young people about their voluntary participation in the project, to which they also consented.  </w:t>
      </w:r>
    </w:p>
    <w:p w14:paraId="7B0C7B0B" w14:textId="77777777" w:rsidR="00BE2C1D" w:rsidRPr="00BE2C1D" w:rsidRDefault="00BE2C1D" w:rsidP="00BE2C1D">
      <w:pPr>
        <w:spacing w:line="360" w:lineRule="auto"/>
        <w:jc w:val="both"/>
      </w:pPr>
      <w:r w:rsidRPr="00BE2C1D">
        <w:t>The offline advertisement of research took place by utilising a ‘venue-based sampling’ technique (Rockliffe et al. 2018), meaning that I attended in person two events of one of the associations I was a member of. The first one was a 3-day event</w:t>
      </w:r>
      <w:r w:rsidRPr="00BE2C1D">
        <w:rPr>
          <w:vertAlign w:val="superscript"/>
        </w:rPr>
        <w:footnoteReference w:id="48"/>
      </w:r>
      <w:r w:rsidRPr="00BE2C1D">
        <w:t xml:space="preserve"> and the second one was a one-day event. In both events I shared the posters and identified and spoke to potential adult participants and the parents of potential teenage participants about my research. Such interactions in person proved to be the most productive in terms of recruitment and the most meaningful in terms of building a rapport of trust with the potential participants (Bonevski et al. 2014; McAreavey and Das 2013; Rockliffe et al. 2018; Waheed et al. 2015). For instance, I met one participant that I had messaged privately on Messenger and who had never replied to my message. However, when I attended the event, he was the one to approach me to share his concerns about the possibility of a ‘fake’ account contacting him. After spending time together during the event, he decided to participate in the research. Through the access to these events I managed to recruit six teenage participants, after talking to their parents first and then to them about the research, and four adult participants.  </w:t>
      </w:r>
    </w:p>
    <w:p w14:paraId="28D96130" w14:textId="77777777" w:rsidR="00BE2C1D" w:rsidRPr="00BE2C1D" w:rsidRDefault="00BE2C1D" w:rsidP="00BE2C1D">
      <w:pPr>
        <w:spacing w:line="360" w:lineRule="auto"/>
        <w:jc w:val="both"/>
      </w:pPr>
      <w:r w:rsidRPr="00BE2C1D">
        <w:t xml:space="preserve">In a nutshell, the online (Facebook Groups, Facebook Pages, individual messages on Messenger) and offline (attending the associations’ events) advertisement of the research and the identification of potential participants and their recruitment involved various difficulties, from issues of access and gatekeeping to mistrust and questions of authenticity. Although at times I felt quite disheartened by the lack of responses and the difficulties of access and recruitment, the final number of twenty participants was what I had aimed for when I started this research. The demographics of the participants are discussed next. </w:t>
      </w:r>
    </w:p>
    <w:p w14:paraId="36724295" w14:textId="77777777" w:rsidR="00BE2C1D" w:rsidRPr="00BE2C1D" w:rsidRDefault="00BE2C1D" w:rsidP="00BE2C1D">
      <w:pPr>
        <w:keepNext/>
        <w:keepLines/>
        <w:spacing w:before="40" w:after="0" w:line="360" w:lineRule="auto"/>
        <w:outlineLvl w:val="2"/>
        <w:rPr>
          <w:rFonts w:asciiTheme="majorHAnsi" w:eastAsiaTheme="majorEastAsia" w:hAnsiTheme="majorHAnsi" w:cstheme="majorBidi"/>
          <w:color w:val="1F3763" w:themeColor="accent1" w:themeShade="7F"/>
          <w:sz w:val="24"/>
          <w:szCs w:val="24"/>
          <w:lang w:eastAsia="zh-CN"/>
        </w:rPr>
      </w:pPr>
      <w:bookmarkStart w:id="83" w:name="_Toc39585226"/>
      <w:r w:rsidRPr="00BE2C1D">
        <w:rPr>
          <w:rFonts w:asciiTheme="majorHAnsi" w:eastAsiaTheme="majorEastAsia" w:hAnsiTheme="majorHAnsi" w:cstheme="majorBidi"/>
          <w:color w:val="1F3763" w:themeColor="accent1" w:themeShade="7F"/>
          <w:sz w:val="24"/>
          <w:szCs w:val="24"/>
          <w:lang w:eastAsia="zh-CN"/>
        </w:rPr>
        <w:t>Participants’ Demographics</w:t>
      </w:r>
      <w:bookmarkEnd w:id="83"/>
    </w:p>
    <w:p w14:paraId="5871274B" w14:textId="77777777" w:rsidR="00BE2C1D" w:rsidRPr="00BE2C1D" w:rsidRDefault="00BE2C1D" w:rsidP="00BE2C1D">
      <w:pPr>
        <w:spacing w:line="360" w:lineRule="auto"/>
        <w:jc w:val="both"/>
      </w:pPr>
      <w:r w:rsidRPr="00BE2C1D">
        <w:t>Ten months (October 2017 to July 2018) were devoted to accessing and recruiting participants. The final sample ended up being a quite diverse</w:t>
      </w:r>
      <w:r w:rsidRPr="00BE2C1D">
        <w:rPr>
          <w:vertAlign w:val="superscript"/>
        </w:rPr>
        <w:footnoteReference w:id="49"/>
      </w:r>
      <w:r w:rsidRPr="00BE2C1D">
        <w:t xml:space="preserve"> one (except for ethnicity and to a less extent impairment type), including participants of both sexes, a range of ages and geographical locations, different RG conditions (with achondroplasia being the most common), participants with different educational qualifications (e.g. some of the adult participants had a Masters degree and others were graduates of secondary education) and with families of both average-height parents and parents with RG. The following tables illustrate some demographic information about the participants, without covering all </w:t>
      </w:r>
      <w:r w:rsidRPr="00BE2C1D">
        <w:lastRenderedPageBreak/>
        <w:t>of the above aspects (e.g. type of impairment). The reason for doing so is to protect the anonymity and confidentiality of the participants. As many participants are members of the associations that facilitated the recruitment process, certain information e.g. their RG condition or their educational qualifications could make them easily identifiable. This was also an issue raised in previous studies with people with RG (Pritchard 2014; Shakespeare et al 2010) as well as in disability research more general (Liddiard 2018).</w:t>
      </w:r>
    </w:p>
    <w:tbl>
      <w:tblPr>
        <w:tblpPr w:leftFromText="180" w:rightFromText="180" w:vertAnchor="page" w:horzAnchor="margin" w:tblpY="5806"/>
        <w:tblW w:w="9351" w:type="dxa"/>
        <w:tblLayout w:type="fixed"/>
        <w:tblLook w:val="04A0" w:firstRow="1" w:lastRow="0" w:firstColumn="1" w:lastColumn="0" w:noHBand="0" w:noVBand="1"/>
      </w:tblPr>
      <w:tblGrid>
        <w:gridCol w:w="2020"/>
        <w:gridCol w:w="674"/>
        <w:gridCol w:w="701"/>
        <w:gridCol w:w="1845"/>
        <w:gridCol w:w="4111"/>
      </w:tblGrid>
      <w:tr w:rsidR="00BE2C1D" w:rsidRPr="00BE2C1D" w14:paraId="4F7C6DD1" w14:textId="77777777" w:rsidTr="00BE2C1D">
        <w:trPr>
          <w:trHeight w:val="1095"/>
        </w:trPr>
        <w:tc>
          <w:tcPr>
            <w:tcW w:w="2020" w:type="dxa"/>
          </w:tcPr>
          <w:p w14:paraId="07FD47EF" w14:textId="77777777" w:rsidR="00BE2C1D" w:rsidRPr="00BE2C1D" w:rsidRDefault="00BE2C1D" w:rsidP="00BE2C1D">
            <w:pPr>
              <w:spacing w:line="360" w:lineRule="auto"/>
              <w:jc w:val="both"/>
              <w:rPr>
                <w:i/>
              </w:rPr>
            </w:pPr>
            <w:r w:rsidRPr="00BE2C1D">
              <w:rPr>
                <w:i/>
              </w:rPr>
              <w:t>Name</w:t>
            </w:r>
            <w:r w:rsidRPr="00BE2C1D">
              <w:rPr>
                <w:i/>
                <w:vertAlign w:val="superscript"/>
              </w:rPr>
              <w:footnoteReference w:id="50"/>
            </w:r>
          </w:p>
        </w:tc>
        <w:tc>
          <w:tcPr>
            <w:tcW w:w="674" w:type="dxa"/>
          </w:tcPr>
          <w:p w14:paraId="1ABD4D94" w14:textId="77777777" w:rsidR="00BE2C1D" w:rsidRPr="00BE2C1D" w:rsidRDefault="00BE2C1D" w:rsidP="00BE2C1D">
            <w:pPr>
              <w:spacing w:line="360" w:lineRule="auto"/>
              <w:jc w:val="both"/>
              <w:rPr>
                <w:i/>
              </w:rPr>
            </w:pPr>
            <w:r w:rsidRPr="00BE2C1D">
              <w:rPr>
                <w:i/>
              </w:rPr>
              <w:t>Sex</w:t>
            </w:r>
          </w:p>
        </w:tc>
        <w:tc>
          <w:tcPr>
            <w:tcW w:w="701" w:type="dxa"/>
          </w:tcPr>
          <w:p w14:paraId="6B55F19E" w14:textId="77777777" w:rsidR="00BE2C1D" w:rsidRPr="00BE2C1D" w:rsidRDefault="00BE2C1D" w:rsidP="00BE2C1D">
            <w:pPr>
              <w:spacing w:line="360" w:lineRule="auto"/>
              <w:jc w:val="both"/>
              <w:rPr>
                <w:i/>
              </w:rPr>
            </w:pPr>
            <w:r w:rsidRPr="00BE2C1D">
              <w:rPr>
                <w:i/>
              </w:rPr>
              <w:t>Age</w:t>
            </w:r>
          </w:p>
        </w:tc>
        <w:tc>
          <w:tcPr>
            <w:tcW w:w="1845" w:type="dxa"/>
          </w:tcPr>
          <w:p w14:paraId="5B2325D8" w14:textId="77777777" w:rsidR="00BE2C1D" w:rsidRPr="00BE2C1D" w:rsidRDefault="00BE2C1D" w:rsidP="00BE2C1D">
            <w:pPr>
              <w:spacing w:line="360" w:lineRule="auto"/>
              <w:jc w:val="both"/>
              <w:rPr>
                <w:i/>
              </w:rPr>
            </w:pPr>
            <w:r w:rsidRPr="00BE2C1D">
              <w:rPr>
                <w:i/>
              </w:rPr>
              <w:t>Ethnicity</w:t>
            </w:r>
          </w:p>
        </w:tc>
        <w:tc>
          <w:tcPr>
            <w:tcW w:w="4111" w:type="dxa"/>
          </w:tcPr>
          <w:p w14:paraId="6E6FBB96" w14:textId="77777777" w:rsidR="00BE2C1D" w:rsidRPr="00BE2C1D" w:rsidRDefault="00BE2C1D" w:rsidP="00BE2C1D">
            <w:pPr>
              <w:spacing w:line="360" w:lineRule="auto"/>
              <w:jc w:val="both"/>
              <w:rPr>
                <w:i/>
              </w:rPr>
            </w:pPr>
            <w:r w:rsidRPr="00BE2C1D">
              <w:rPr>
                <w:i/>
              </w:rPr>
              <w:t>Location</w:t>
            </w:r>
          </w:p>
        </w:tc>
      </w:tr>
      <w:tr w:rsidR="00BE2C1D" w:rsidRPr="00BE2C1D" w14:paraId="4F2E6957" w14:textId="77777777" w:rsidTr="00BE2C1D">
        <w:trPr>
          <w:trHeight w:val="739"/>
        </w:trPr>
        <w:tc>
          <w:tcPr>
            <w:tcW w:w="2020" w:type="dxa"/>
          </w:tcPr>
          <w:p w14:paraId="738DBC5F" w14:textId="77777777" w:rsidR="00BE2C1D" w:rsidRPr="00BE2C1D" w:rsidRDefault="00BE2C1D" w:rsidP="00BE2C1D">
            <w:pPr>
              <w:spacing w:line="360" w:lineRule="auto"/>
              <w:jc w:val="both"/>
            </w:pPr>
            <w:r w:rsidRPr="00BE2C1D">
              <w:t>Mary</w:t>
            </w:r>
            <w:r w:rsidRPr="00BE2C1D">
              <w:rPr>
                <w:vertAlign w:val="superscript"/>
              </w:rPr>
              <w:footnoteReference w:id="51"/>
            </w:r>
          </w:p>
        </w:tc>
        <w:tc>
          <w:tcPr>
            <w:tcW w:w="674" w:type="dxa"/>
          </w:tcPr>
          <w:p w14:paraId="1F80735D" w14:textId="77777777" w:rsidR="00BE2C1D" w:rsidRPr="00BE2C1D" w:rsidRDefault="00BE2C1D" w:rsidP="00BE2C1D">
            <w:pPr>
              <w:spacing w:line="360" w:lineRule="auto"/>
              <w:jc w:val="both"/>
            </w:pPr>
            <w:r w:rsidRPr="00BE2C1D">
              <w:t>F</w:t>
            </w:r>
          </w:p>
        </w:tc>
        <w:tc>
          <w:tcPr>
            <w:tcW w:w="701" w:type="dxa"/>
          </w:tcPr>
          <w:p w14:paraId="1DD66B2A" w14:textId="77777777" w:rsidR="00BE2C1D" w:rsidRPr="00BE2C1D" w:rsidRDefault="00BE2C1D" w:rsidP="00BE2C1D">
            <w:pPr>
              <w:spacing w:line="360" w:lineRule="auto"/>
              <w:jc w:val="both"/>
            </w:pPr>
            <w:r w:rsidRPr="00BE2C1D">
              <w:t>16</w:t>
            </w:r>
          </w:p>
        </w:tc>
        <w:tc>
          <w:tcPr>
            <w:tcW w:w="1845" w:type="dxa"/>
          </w:tcPr>
          <w:p w14:paraId="45D9DC76" w14:textId="77777777" w:rsidR="00BE2C1D" w:rsidRPr="00BE2C1D" w:rsidRDefault="00BE2C1D" w:rsidP="00BE2C1D">
            <w:pPr>
              <w:spacing w:line="360" w:lineRule="auto"/>
              <w:jc w:val="both"/>
            </w:pPr>
            <w:r w:rsidRPr="00BE2C1D">
              <w:t>White-British</w:t>
            </w:r>
          </w:p>
        </w:tc>
        <w:tc>
          <w:tcPr>
            <w:tcW w:w="4111" w:type="dxa"/>
          </w:tcPr>
          <w:p w14:paraId="51EB692B" w14:textId="77777777" w:rsidR="00BE2C1D" w:rsidRPr="00BE2C1D" w:rsidRDefault="00BE2C1D" w:rsidP="00BE2C1D">
            <w:pPr>
              <w:spacing w:line="360" w:lineRule="auto"/>
              <w:jc w:val="both"/>
            </w:pPr>
            <w:r w:rsidRPr="00BE2C1D">
              <w:t>North England</w:t>
            </w:r>
          </w:p>
        </w:tc>
      </w:tr>
      <w:tr w:rsidR="00BE2C1D" w:rsidRPr="00BE2C1D" w14:paraId="6B569518" w14:textId="77777777" w:rsidTr="00BE2C1D">
        <w:trPr>
          <w:trHeight w:val="725"/>
        </w:trPr>
        <w:tc>
          <w:tcPr>
            <w:tcW w:w="2020" w:type="dxa"/>
          </w:tcPr>
          <w:p w14:paraId="428C1CD3" w14:textId="77777777" w:rsidR="00BE2C1D" w:rsidRPr="00BE2C1D" w:rsidRDefault="00BE2C1D" w:rsidP="00BE2C1D">
            <w:pPr>
              <w:spacing w:line="360" w:lineRule="auto"/>
              <w:jc w:val="both"/>
            </w:pPr>
            <w:r w:rsidRPr="00BE2C1D">
              <w:t>John</w:t>
            </w:r>
          </w:p>
        </w:tc>
        <w:tc>
          <w:tcPr>
            <w:tcW w:w="674" w:type="dxa"/>
          </w:tcPr>
          <w:p w14:paraId="143AABEA" w14:textId="77777777" w:rsidR="00BE2C1D" w:rsidRPr="00BE2C1D" w:rsidRDefault="00BE2C1D" w:rsidP="00BE2C1D">
            <w:pPr>
              <w:spacing w:line="360" w:lineRule="auto"/>
              <w:jc w:val="both"/>
            </w:pPr>
            <w:r w:rsidRPr="00BE2C1D">
              <w:t>M</w:t>
            </w:r>
          </w:p>
        </w:tc>
        <w:tc>
          <w:tcPr>
            <w:tcW w:w="701" w:type="dxa"/>
          </w:tcPr>
          <w:p w14:paraId="29E1DAA5" w14:textId="77777777" w:rsidR="00BE2C1D" w:rsidRPr="00BE2C1D" w:rsidRDefault="00BE2C1D" w:rsidP="00BE2C1D">
            <w:pPr>
              <w:spacing w:line="360" w:lineRule="auto"/>
              <w:jc w:val="both"/>
            </w:pPr>
            <w:r w:rsidRPr="00BE2C1D">
              <w:t>15</w:t>
            </w:r>
          </w:p>
        </w:tc>
        <w:tc>
          <w:tcPr>
            <w:tcW w:w="1845" w:type="dxa"/>
          </w:tcPr>
          <w:p w14:paraId="588DACFA" w14:textId="77777777" w:rsidR="00BE2C1D" w:rsidRPr="00BE2C1D" w:rsidRDefault="00BE2C1D" w:rsidP="00BE2C1D">
            <w:pPr>
              <w:spacing w:line="360" w:lineRule="auto"/>
              <w:jc w:val="both"/>
            </w:pPr>
            <w:r w:rsidRPr="00BE2C1D">
              <w:t>White-British</w:t>
            </w:r>
          </w:p>
        </w:tc>
        <w:tc>
          <w:tcPr>
            <w:tcW w:w="4111" w:type="dxa"/>
          </w:tcPr>
          <w:p w14:paraId="4E31E622" w14:textId="77777777" w:rsidR="00BE2C1D" w:rsidRPr="00BE2C1D" w:rsidRDefault="00BE2C1D" w:rsidP="00BE2C1D">
            <w:pPr>
              <w:spacing w:line="360" w:lineRule="auto"/>
              <w:jc w:val="both"/>
            </w:pPr>
            <w:r w:rsidRPr="00BE2C1D">
              <w:t>North England</w:t>
            </w:r>
          </w:p>
        </w:tc>
      </w:tr>
      <w:tr w:rsidR="00BE2C1D" w:rsidRPr="00BE2C1D" w14:paraId="426CEFC5" w14:textId="77777777" w:rsidTr="00BE2C1D">
        <w:trPr>
          <w:trHeight w:val="725"/>
        </w:trPr>
        <w:tc>
          <w:tcPr>
            <w:tcW w:w="2020" w:type="dxa"/>
          </w:tcPr>
          <w:p w14:paraId="73A2A563" w14:textId="77777777" w:rsidR="00BE2C1D" w:rsidRPr="00BE2C1D" w:rsidRDefault="00BE2C1D" w:rsidP="00BE2C1D">
            <w:pPr>
              <w:spacing w:line="360" w:lineRule="auto"/>
              <w:jc w:val="both"/>
            </w:pPr>
            <w:r w:rsidRPr="00BE2C1D">
              <w:t>Louise</w:t>
            </w:r>
          </w:p>
        </w:tc>
        <w:tc>
          <w:tcPr>
            <w:tcW w:w="674" w:type="dxa"/>
          </w:tcPr>
          <w:p w14:paraId="41AFC7EB" w14:textId="77777777" w:rsidR="00BE2C1D" w:rsidRPr="00BE2C1D" w:rsidRDefault="00BE2C1D" w:rsidP="00BE2C1D">
            <w:pPr>
              <w:spacing w:line="360" w:lineRule="auto"/>
              <w:jc w:val="both"/>
            </w:pPr>
            <w:r w:rsidRPr="00BE2C1D">
              <w:t>F</w:t>
            </w:r>
          </w:p>
        </w:tc>
        <w:tc>
          <w:tcPr>
            <w:tcW w:w="701" w:type="dxa"/>
          </w:tcPr>
          <w:p w14:paraId="0F954D14" w14:textId="77777777" w:rsidR="00BE2C1D" w:rsidRPr="00BE2C1D" w:rsidRDefault="00BE2C1D" w:rsidP="00BE2C1D">
            <w:pPr>
              <w:spacing w:line="360" w:lineRule="auto"/>
              <w:jc w:val="both"/>
            </w:pPr>
            <w:r w:rsidRPr="00BE2C1D">
              <w:t>16</w:t>
            </w:r>
          </w:p>
        </w:tc>
        <w:tc>
          <w:tcPr>
            <w:tcW w:w="1845" w:type="dxa"/>
          </w:tcPr>
          <w:p w14:paraId="6DBAAF69" w14:textId="77777777" w:rsidR="00BE2C1D" w:rsidRPr="00BE2C1D" w:rsidRDefault="00BE2C1D" w:rsidP="00BE2C1D">
            <w:pPr>
              <w:spacing w:line="360" w:lineRule="auto"/>
              <w:jc w:val="both"/>
            </w:pPr>
            <w:r w:rsidRPr="00BE2C1D">
              <w:t>White-British</w:t>
            </w:r>
          </w:p>
        </w:tc>
        <w:tc>
          <w:tcPr>
            <w:tcW w:w="4111" w:type="dxa"/>
          </w:tcPr>
          <w:p w14:paraId="2DE8435C" w14:textId="77777777" w:rsidR="00BE2C1D" w:rsidRPr="00BE2C1D" w:rsidRDefault="00BE2C1D" w:rsidP="00BE2C1D">
            <w:pPr>
              <w:spacing w:line="360" w:lineRule="auto"/>
              <w:jc w:val="both"/>
            </w:pPr>
            <w:r w:rsidRPr="00BE2C1D">
              <w:t>North England</w:t>
            </w:r>
          </w:p>
        </w:tc>
      </w:tr>
      <w:tr w:rsidR="00BE2C1D" w:rsidRPr="00BE2C1D" w14:paraId="4D43D32A" w14:textId="77777777" w:rsidTr="00BE2C1D">
        <w:trPr>
          <w:trHeight w:val="739"/>
        </w:trPr>
        <w:tc>
          <w:tcPr>
            <w:tcW w:w="2020" w:type="dxa"/>
          </w:tcPr>
          <w:p w14:paraId="6837401D" w14:textId="77777777" w:rsidR="00BE2C1D" w:rsidRPr="00BE2C1D" w:rsidRDefault="00BE2C1D" w:rsidP="00BE2C1D">
            <w:pPr>
              <w:spacing w:line="360" w:lineRule="auto"/>
              <w:jc w:val="both"/>
            </w:pPr>
            <w:r w:rsidRPr="00BE2C1D">
              <w:t>Rania</w:t>
            </w:r>
          </w:p>
        </w:tc>
        <w:tc>
          <w:tcPr>
            <w:tcW w:w="674" w:type="dxa"/>
          </w:tcPr>
          <w:p w14:paraId="2AA399CA" w14:textId="77777777" w:rsidR="00BE2C1D" w:rsidRPr="00BE2C1D" w:rsidRDefault="00BE2C1D" w:rsidP="00BE2C1D">
            <w:pPr>
              <w:spacing w:line="360" w:lineRule="auto"/>
              <w:jc w:val="both"/>
            </w:pPr>
            <w:r w:rsidRPr="00BE2C1D">
              <w:t>F</w:t>
            </w:r>
          </w:p>
        </w:tc>
        <w:tc>
          <w:tcPr>
            <w:tcW w:w="701" w:type="dxa"/>
          </w:tcPr>
          <w:p w14:paraId="614F9A85" w14:textId="77777777" w:rsidR="00BE2C1D" w:rsidRPr="00BE2C1D" w:rsidRDefault="00BE2C1D" w:rsidP="00BE2C1D">
            <w:pPr>
              <w:spacing w:line="360" w:lineRule="auto"/>
              <w:jc w:val="both"/>
            </w:pPr>
            <w:r w:rsidRPr="00BE2C1D">
              <w:t>17</w:t>
            </w:r>
          </w:p>
        </w:tc>
        <w:tc>
          <w:tcPr>
            <w:tcW w:w="1845" w:type="dxa"/>
          </w:tcPr>
          <w:p w14:paraId="45E7CCBD" w14:textId="77777777" w:rsidR="00BE2C1D" w:rsidRPr="00BE2C1D" w:rsidRDefault="00BE2C1D" w:rsidP="00BE2C1D">
            <w:pPr>
              <w:spacing w:line="360" w:lineRule="auto"/>
              <w:jc w:val="both"/>
            </w:pPr>
            <w:r w:rsidRPr="00BE2C1D">
              <w:t>White-British</w:t>
            </w:r>
          </w:p>
        </w:tc>
        <w:tc>
          <w:tcPr>
            <w:tcW w:w="4111" w:type="dxa"/>
          </w:tcPr>
          <w:p w14:paraId="68A64221" w14:textId="77777777" w:rsidR="00BE2C1D" w:rsidRPr="00BE2C1D" w:rsidRDefault="00BE2C1D" w:rsidP="00BE2C1D">
            <w:pPr>
              <w:spacing w:line="360" w:lineRule="auto"/>
              <w:jc w:val="both"/>
            </w:pPr>
            <w:r w:rsidRPr="00BE2C1D">
              <w:t>North England</w:t>
            </w:r>
          </w:p>
        </w:tc>
      </w:tr>
      <w:tr w:rsidR="00BE2C1D" w:rsidRPr="00BE2C1D" w14:paraId="704C0939" w14:textId="77777777" w:rsidTr="00BE2C1D">
        <w:trPr>
          <w:trHeight w:val="725"/>
        </w:trPr>
        <w:tc>
          <w:tcPr>
            <w:tcW w:w="2020" w:type="dxa"/>
          </w:tcPr>
          <w:p w14:paraId="3E08D0AB" w14:textId="77777777" w:rsidR="00BE2C1D" w:rsidRPr="00BE2C1D" w:rsidRDefault="00BE2C1D" w:rsidP="00BE2C1D">
            <w:pPr>
              <w:spacing w:line="360" w:lineRule="auto"/>
              <w:jc w:val="both"/>
            </w:pPr>
            <w:r w:rsidRPr="00BE2C1D">
              <w:t>Lynn</w:t>
            </w:r>
          </w:p>
        </w:tc>
        <w:tc>
          <w:tcPr>
            <w:tcW w:w="674" w:type="dxa"/>
          </w:tcPr>
          <w:p w14:paraId="733A04DD" w14:textId="77777777" w:rsidR="00BE2C1D" w:rsidRPr="00BE2C1D" w:rsidRDefault="00BE2C1D" w:rsidP="00BE2C1D">
            <w:pPr>
              <w:spacing w:line="360" w:lineRule="auto"/>
              <w:jc w:val="both"/>
            </w:pPr>
            <w:r w:rsidRPr="00BE2C1D">
              <w:t xml:space="preserve">F </w:t>
            </w:r>
          </w:p>
        </w:tc>
        <w:tc>
          <w:tcPr>
            <w:tcW w:w="701" w:type="dxa"/>
          </w:tcPr>
          <w:p w14:paraId="13D97CD6" w14:textId="77777777" w:rsidR="00BE2C1D" w:rsidRPr="00BE2C1D" w:rsidRDefault="00BE2C1D" w:rsidP="00BE2C1D">
            <w:pPr>
              <w:spacing w:line="360" w:lineRule="auto"/>
              <w:jc w:val="both"/>
            </w:pPr>
            <w:r w:rsidRPr="00BE2C1D">
              <w:t>12</w:t>
            </w:r>
          </w:p>
        </w:tc>
        <w:tc>
          <w:tcPr>
            <w:tcW w:w="1845" w:type="dxa"/>
          </w:tcPr>
          <w:p w14:paraId="1996DC9C" w14:textId="77777777" w:rsidR="00BE2C1D" w:rsidRPr="00BE2C1D" w:rsidRDefault="00BE2C1D" w:rsidP="00BE2C1D">
            <w:pPr>
              <w:spacing w:line="360" w:lineRule="auto"/>
              <w:jc w:val="both"/>
            </w:pPr>
            <w:r w:rsidRPr="00BE2C1D">
              <w:t>White-British</w:t>
            </w:r>
          </w:p>
        </w:tc>
        <w:tc>
          <w:tcPr>
            <w:tcW w:w="4111" w:type="dxa"/>
          </w:tcPr>
          <w:p w14:paraId="4B9A0F5C" w14:textId="77777777" w:rsidR="00BE2C1D" w:rsidRPr="00BE2C1D" w:rsidRDefault="00BE2C1D" w:rsidP="00BE2C1D">
            <w:pPr>
              <w:spacing w:line="360" w:lineRule="auto"/>
              <w:jc w:val="both"/>
            </w:pPr>
            <w:r w:rsidRPr="00BE2C1D">
              <w:t>Buckinghamshire</w:t>
            </w:r>
          </w:p>
        </w:tc>
      </w:tr>
      <w:tr w:rsidR="00BE2C1D" w:rsidRPr="00BE2C1D" w14:paraId="62E52548" w14:textId="77777777" w:rsidTr="00BE2C1D">
        <w:trPr>
          <w:trHeight w:val="725"/>
        </w:trPr>
        <w:tc>
          <w:tcPr>
            <w:tcW w:w="2020" w:type="dxa"/>
          </w:tcPr>
          <w:p w14:paraId="300AB084" w14:textId="77777777" w:rsidR="00BE2C1D" w:rsidRPr="00BE2C1D" w:rsidRDefault="00BE2C1D" w:rsidP="00BE2C1D">
            <w:pPr>
              <w:spacing w:line="360" w:lineRule="auto"/>
              <w:jc w:val="both"/>
            </w:pPr>
            <w:r w:rsidRPr="00BE2C1D">
              <w:t>George</w:t>
            </w:r>
          </w:p>
        </w:tc>
        <w:tc>
          <w:tcPr>
            <w:tcW w:w="674" w:type="dxa"/>
          </w:tcPr>
          <w:p w14:paraId="25228582" w14:textId="77777777" w:rsidR="00BE2C1D" w:rsidRPr="00BE2C1D" w:rsidRDefault="00BE2C1D" w:rsidP="00BE2C1D">
            <w:pPr>
              <w:spacing w:line="360" w:lineRule="auto"/>
              <w:jc w:val="both"/>
            </w:pPr>
            <w:r w:rsidRPr="00BE2C1D">
              <w:t>M</w:t>
            </w:r>
          </w:p>
        </w:tc>
        <w:tc>
          <w:tcPr>
            <w:tcW w:w="701" w:type="dxa"/>
          </w:tcPr>
          <w:p w14:paraId="38687FA1" w14:textId="77777777" w:rsidR="00BE2C1D" w:rsidRPr="00BE2C1D" w:rsidRDefault="00BE2C1D" w:rsidP="00BE2C1D">
            <w:pPr>
              <w:spacing w:line="360" w:lineRule="auto"/>
              <w:jc w:val="both"/>
            </w:pPr>
            <w:r w:rsidRPr="00BE2C1D">
              <w:t>12</w:t>
            </w:r>
          </w:p>
        </w:tc>
        <w:tc>
          <w:tcPr>
            <w:tcW w:w="1845" w:type="dxa"/>
          </w:tcPr>
          <w:p w14:paraId="1BF50E32" w14:textId="77777777" w:rsidR="00BE2C1D" w:rsidRPr="00BE2C1D" w:rsidRDefault="00BE2C1D" w:rsidP="00BE2C1D">
            <w:pPr>
              <w:spacing w:line="360" w:lineRule="auto"/>
              <w:jc w:val="both"/>
            </w:pPr>
            <w:r w:rsidRPr="00BE2C1D">
              <w:t>Black-British</w:t>
            </w:r>
          </w:p>
        </w:tc>
        <w:tc>
          <w:tcPr>
            <w:tcW w:w="4111" w:type="dxa"/>
          </w:tcPr>
          <w:p w14:paraId="232E4B50" w14:textId="77777777" w:rsidR="00BE2C1D" w:rsidRPr="00BE2C1D" w:rsidRDefault="00BE2C1D" w:rsidP="00BE2C1D">
            <w:pPr>
              <w:spacing w:line="360" w:lineRule="auto"/>
              <w:jc w:val="both"/>
            </w:pPr>
            <w:r w:rsidRPr="00BE2C1D">
              <w:t>Southeast</w:t>
            </w:r>
          </w:p>
          <w:p w14:paraId="420C09EA" w14:textId="77777777" w:rsidR="00BE2C1D" w:rsidRPr="00BE2C1D" w:rsidRDefault="00BE2C1D" w:rsidP="00BE2C1D">
            <w:pPr>
              <w:spacing w:line="360" w:lineRule="auto"/>
              <w:jc w:val="both"/>
            </w:pPr>
            <w:r w:rsidRPr="00BE2C1D">
              <w:t>England</w:t>
            </w:r>
          </w:p>
        </w:tc>
      </w:tr>
      <w:tr w:rsidR="00BE2C1D" w:rsidRPr="00BE2C1D" w14:paraId="08642EAA" w14:textId="77777777" w:rsidTr="00BE2C1D">
        <w:trPr>
          <w:trHeight w:val="739"/>
        </w:trPr>
        <w:tc>
          <w:tcPr>
            <w:tcW w:w="2020" w:type="dxa"/>
          </w:tcPr>
          <w:p w14:paraId="0BD41BBE" w14:textId="77777777" w:rsidR="00BE2C1D" w:rsidRPr="00BE2C1D" w:rsidRDefault="00BE2C1D" w:rsidP="00BE2C1D">
            <w:pPr>
              <w:spacing w:line="360" w:lineRule="auto"/>
              <w:jc w:val="both"/>
            </w:pPr>
            <w:r w:rsidRPr="00BE2C1D">
              <w:t>Harry</w:t>
            </w:r>
          </w:p>
        </w:tc>
        <w:tc>
          <w:tcPr>
            <w:tcW w:w="674" w:type="dxa"/>
          </w:tcPr>
          <w:p w14:paraId="633900AB" w14:textId="77777777" w:rsidR="00BE2C1D" w:rsidRPr="00BE2C1D" w:rsidRDefault="00BE2C1D" w:rsidP="00BE2C1D">
            <w:pPr>
              <w:spacing w:line="360" w:lineRule="auto"/>
              <w:jc w:val="both"/>
            </w:pPr>
            <w:r w:rsidRPr="00BE2C1D">
              <w:t>M</w:t>
            </w:r>
          </w:p>
        </w:tc>
        <w:tc>
          <w:tcPr>
            <w:tcW w:w="701" w:type="dxa"/>
          </w:tcPr>
          <w:p w14:paraId="1CDB8640" w14:textId="77777777" w:rsidR="00BE2C1D" w:rsidRPr="00BE2C1D" w:rsidRDefault="00BE2C1D" w:rsidP="00BE2C1D">
            <w:pPr>
              <w:spacing w:line="360" w:lineRule="auto"/>
              <w:jc w:val="both"/>
            </w:pPr>
            <w:r w:rsidRPr="00BE2C1D">
              <w:t>15</w:t>
            </w:r>
          </w:p>
        </w:tc>
        <w:tc>
          <w:tcPr>
            <w:tcW w:w="1845" w:type="dxa"/>
          </w:tcPr>
          <w:p w14:paraId="2CBA0ED5" w14:textId="77777777" w:rsidR="00BE2C1D" w:rsidRPr="00BE2C1D" w:rsidRDefault="00BE2C1D" w:rsidP="00BE2C1D">
            <w:pPr>
              <w:spacing w:line="360" w:lineRule="auto"/>
              <w:jc w:val="both"/>
            </w:pPr>
            <w:r w:rsidRPr="00BE2C1D">
              <w:t>White-British</w:t>
            </w:r>
          </w:p>
        </w:tc>
        <w:tc>
          <w:tcPr>
            <w:tcW w:w="4111" w:type="dxa"/>
          </w:tcPr>
          <w:p w14:paraId="78D7C316" w14:textId="77777777" w:rsidR="00BE2C1D" w:rsidRPr="00BE2C1D" w:rsidRDefault="00BE2C1D" w:rsidP="00BE2C1D">
            <w:pPr>
              <w:spacing w:line="360" w:lineRule="auto"/>
              <w:jc w:val="both"/>
            </w:pPr>
            <w:r w:rsidRPr="00BE2C1D">
              <w:t>Southeast England</w:t>
            </w:r>
          </w:p>
        </w:tc>
      </w:tr>
      <w:tr w:rsidR="00BE2C1D" w:rsidRPr="00BE2C1D" w14:paraId="78DA59A6" w14:textId="77777777" w:rsidTr="00BE2C1D">
        <w:trPr>
          <w:trHeight w:val="725"/>
        </w:trPr>
        <w:tc>
          <w:tcPr>
            <w:tcW w:w="2020" w:type="dxa"/>
          </w:tcPr>
          <w:p w14:paraId="065ED30E" w14:textId="77777777" w:rsidR="00BE2C1D" w:rsidRPr="00BE2C1D" w:rsidRDefault="00BE2C1D" w:rsidP="00BE2C1D">
            <w:pPr>
              <w:spacing w:line="360" w:lineRule="auto"/>
              <w:jc w:val="both"/>
            </w:pPr>
            <w:r w:rsidRPr="00BE2C1D">
              <w:t>Angela</w:t>
            </w:r>
          </w:p>
        </w:tc>
        <w:tc>
          <w:tcPr>
            <w:tcW w:w="674" w:type="dxa"/>
          </w:tcPr>
          <w:p w14:paraId="7ED36266" w14:textId="77777777" w:rsidR="00BE2C1D" w:rsidRPr="00BE2C1D" w:rsidRDefault="00BE2C1D" w:rsidP="00BE2C1D">
            <w:pPr>
              <w:spacing w:line="360" w:lineRule="auto"/>
              <w:jc w:val="both"/>
            </w:pPr>
            <w:r w:rsidRPr="00BE2C1D">
              <w:t>F</w:t>
            </w:r>
          </w:p>
        </w:tc>
        <w:tc>
          <w:tcPr>
            <w:tcW w:w="701" w:type="dxa"/>
          </w:tcPr>
          <w:p w14:paraId="0E72EA9A" w14:textId="77777777" w:rsidR="00BE2C1D" w:rsidRPr="00BE2C1D" w:rsidRDefault="00BE2C1D" w:rsidP="00BE2C1D">
            <w:pPr>
              <w:spacing w:line="360" w:lineRule="auto"/>
              <w:jc w:val="both"/>
            </w:pPr>
            <w:r w:rsidRPr="00BE2C1D">
              <w:t>13</w:t>
            </w:r>
          </w:p>
        </w:tc>
        <w:tc>
          <w:tcPr>
            <w:tcW w:w="1845" w:type="dxa"/>
          </w:tcPr>
          <w:p w14:paraId="699EE00C" w14:textId="77777777" w:rsidR="00BE2C1D" w:rsidRPr="00BE2C1D" w:rsidRDefault="00BE2C1D" w:rsidP="00BE2C1D">
            <w:pPr>
              <w:spacing w:line="360" w:lineRule="auto"/>
              <w:jc w:val="both"/>
            </w:pPr>
            <w:r w:rsidRPr="00BE2C1D">
              <w:t>White-British</w:t>
            </w:r>
          </w:p>
        </w:tc>
        <w:tc>
          <w:tcPr>
            <w:tcW w:w="4111" w:type="dxa"/>
          </w:tcPr>
          <w:p w14:paraId="0F061EDA" w14:textId="77777777" w:rsidR="00BE2C1D" w:rsidRPr="00BE2C1D" w:rsidRDefault="00BE2C1D" w:rsidP="00BE2C1D">
            <w:pPr>
              <w:spacing w:line="360" w:lineRule="auto"/>
              <w:jc w:val="both"/>
            </w:pPr>
            <w:r w:rsidRPr="00BE2C1D">
              <w:t>Wales</w:t>
            </w:r>
          </w:p>
        </w:tc>
      </w:tr>
      <w:tr w:rsidR="00BE2C1D" w:rsidRPr="00BE2C1D" w14:paraId="3D9166F9" w14:textId="77777777" w:rsidTr="00BE2C1D">
        <w:trPr>
          <w:trHeight w:val="424"/>
        </w:trPr>
        <w:tc>
          <w:tcPr>
            <w:tcW w:w="2020" w:type="dxa"/>
          </w:tcPr>
          <w:p w14:paraId="6BAE27F1" w14:textId="77777777" w:rsidR="00BE2C1D" w:rsidRPr="00BE2C1D" w:rsidRDefault="00BE2C1D" w:rsidP="00BE2C1D">
            <w:pPr>
              <w:spacing w:line="360" w:lineRule="auto"/>
            </w:pPr>
            <w:r w:rsidRPr="00BE2C1D">
              <w:t>Christine</w:t>
            </w:r>
          </w:p>
        </w:tc>
        <w:tc>
          <w:tcPr>
            <w:tcW w:w="674" w:type="dxa"/>
          </w:tcPr>
          <w:p w14:paraId="133F4576" w14:textId="77777777" w:rsidR="00BE2C1D" w:rsidRPr="00BE2C1D" w:rsidRDefault="00BE2C1D" w:rsidP="00BE2C1D">
            <w:pPr>
              <w:spacing w:line="360" w:lineRule="auto"/>
            </w:pPr>
            <w:r w:rsidRPr="00BE2C1D">
              <w:t>F</w:t>
            </w:r>
          </w:p>
        </w:tc>
        <w:tc>
          <w:tcPr>
            <w:tcW w:w="701" w:type="dxa"/>
          </w:tcPr>
          <w:p w14:paraId="7D586B8C" w14:textId="77777777" w:rsidR="00BE2C1D" w:rsidRPr="00BE2C1D" w:rsidRDefault="00BE2C1D" w:rsidP="00BE2C1D">
            <w:pPr>
              <w:spacing w:line="360" w:lineRule="auto"/>
            </w:pPr>
            <w:r w:rsidRPr="00BE2C1D">
              <w:t>13</w:t>
            </w:r>
          </w:p>
        </w:tc>
        <w:tc>
          <w:tcPr>
            <w:tcW w:w="1845" w:type="dxa"/>
          </w:tcPr>
          <w:p w14:paraId="4422D617" w14:textId="77777777" w:rsidR="00BE2C1D" w:rsidRPr="00BE2C1D" w:rsidRDefault="00BE2C1D" w:rsidP="00BE2C1D">
            <w:pPr>
              <w:spacing w:line="360" w:lineRule="auto"/>
            </w:pPr>
            <w:r w:rsidRPr="00BE2C1D">
              <w:t>White-British</w:t>
            </w:r>
          </w:p>
        </w:tc>
        <w:tc>
          <w:tcPr>
            <w:tcW w:w="4111" w:type="dxa"/>
          </w:tcPr>
          <w:p w14:paraId="077C107E" w14:textId="77777777" w:rsidR="00BE2C1D" w:rsidRPr="00BE2C1D" w:rsidRDefault="00BE2C1D" w:rsidP="00BE2C1D">
            <w:pPr>
              <w:spacing w:line="360" w:lineRule="auto"/>
            </w:pPr>
            <w:r w:rsidRPr="00BE2C1D">
              <w:t>Southwest England</w:t>
            </w:r>
          </w:p>
        </w:tc>
      </w:tr>
    </w:tbl>
    <w:p w14:paraId="60B96A83" w14:textId="2DBFA437" w:rsidR="00BE2C1D" w:rsidRDefault="00BE2C1D" w:rsidP="00BE2C1D">
      <w:pPr>
        <w:spacing w:line="360" w:lineRule="auto"/>
        <w:jc w:val="both"/>
        <w:rPr>
          <w:b/>
          <w:bCs/>
          <w:sz w:val="24"/>
          <w:szCs w:val="24"/>
        </w:rPr>
      </w:pPr>
      <w:r w:rsidRPr="00BE2C1D">
        <w:rPr>
          <w:b/>
          <w:bCs/>
          <w:sz w:val="24"/>
          <w:szCs w:val="24"/>
        </w:rPr>
        <w:t>Table</w:t>
      </w:r>
      <w:r>
        <w:rPr>
          <w:b/>
          <w:bCs/>
          <w:sz w:val="24"/>
          <w:szCs w:val="24"/>
        </w:rPr>
        <w:t xml:space="preserve"> 1:</w:t>
      </w:r>
      <w:r w:rsidRPr="00BE2C1D">
        <w:rPr>
          <w:b/>
          <w:bCs/>
          <w:sz w:val="24"/>
          <w:szCs w:val="24"/>
        </w:rPr>
        <w:t xml:space="preserve"> Demographics of Teenage participants  </w:t>
      </w:r>
    </w:p>
    <w:p w14:paraId="5A853C5C" w14:textId="77777777" w:rsidR="00BE2C1D" w:rsidRPr="00BE2C1D" w:rsidRDefault="00BE2C1D" w:rsidP="00BE2C1D">
      <w:pPr>
        <w:spacing w:line="360" w:lineRule="auto"/>
        <w:jc w:val="both"/>
        <w:rPr>
          <w:b/>
          <w:bCs/>
          <w:sz w:val="24"/>
          <w:szCs w:val="24"/>
        </w:rPr>
      </w:pPr>
    </w:p>
    <w:p w14:paraId="4438116F" w14:textId="77777777" w:rsidR="00BE2C1D" w:rsidRPr="00BE2C1D" w:rsidRDefault="00BE2C1D" w:rsidP="00BE2C1D">
      <w:pPr>
        <w:spacing w:line="360" w:lineRule="auto"/>
        <w:jc w:val="both"/>
        <w:rPr>
          <w:b/>
          <w:sz w:val="24"/>
          <w:szCs w:val="24"/>
        </w:rPr>
      </w:pPr>
      <w:bookmarkStart w:id="84" w:name="_Hlk35890524"/>
    </w:p>
    <w:p w14:paraId="1C70C86B" w14:textId="77777777" w:rsidR="00BE2C1D" w:rsidRDefault="00BE2C1D" w:rsidP="00BE2C1D">
      <w:pPr>
        <w:spacing w:line="360" w:lineRule="auto"/>
        <w:jc w:val="both"/>
        <w:rPr>
          <w:b/>
          <w:sz w:val="24"/>
          <w:szCs w:val="24"/>
        </w:rPr>
      </w:pPr>
    </w:p>
    <w:p w14:paraId="3601B41B" w14:textId="5E630942" w:rsidR="00BE2C1D" w:rsidRPr="00BE2C1D" w:rsidRDefault="00BE2C1D" w:rsidP="00BE2C1D">
      <w:pPr>
        <w:spacing w:line="360" w:lineRule="auto"/>
        <w:jc w:val="both"/>
        <w:rPr>
          <w:b/>
          <w:sz w:val="24"/>
          <w:szCs w:val="24"/>
        </w:rPr>
      </w:pPr>
      <w:r w:rsidRPr="00BE2C1D">
        <w:rPr>
          <w:b/>
          <w:sz w:val="24"/>
          <w:szCs w:val="24"/>
        </w:rPr>
        <w:lastRenderedPageBreak/>
        <w:t>Table</w:t>
      </w:r>
      <w:r>
        <w:rPr>
          <w:b/>
          <w:sz w:val="24"/>
          <w:szCs w:val="24"/>
        </w:rPr>
        <w:t xml:space="preserve"> 2:</w:t>
      </w:r>
      <w:r w:rsidRPr="00BE2C1D">
        <w:rPr>
          <w:b/>
          <w:sz w:val="24"/>
          <w:szCs w:val="24"/>
        </w:rPr>
        <w:t xml:space="preserve"> Demographics of Adult participants  </w:t>
      </w:r>
    </w:p>
    <w:tbl>
      <w:tblPr>
        <w:tblpPr w:leftFromText="180" w:rightFromText="180" w:vertAnchor="text" w:horzAnchor="margin" w:tblpY="197"/>
        <w:tblW w:w="9805" w:type="dxa"/>
        <w:tblLayout w:type="fixed"/>
        <w:tblLook w:val="04A0" w:firstRow="1" w:lastRow="0" w:firstColumn="1" w:lastColumn="0" w:noHBand="0" w:noVBand="1"/>
      </w:tblPr>
      <w:tblGrid>
        <w:gridCol w:w="1670"/>
        <w:gridCol w:w="1042"/>
        <w:gridCol w:w="1043"/>
        <w:gridCol w:w="2087"/>
        <w:gridCol w:w="3963"/>
      </w:tblGrid>
      <w:tr w:rsidR="00BE2C1D" w:rsidRPr="00BE2C1D" w14:paraId="5B6853D7" w14:textId="77777777" w:rsidTr="00BE2C1D">
        <w:trPr>
          <w:trHeight w:val="362"/>
        </w:trPr>
        <w:tc>
          <w:tcPr>
            <w:tcW w:w="1670" w:type="dxa"/>
          </w:tcPr>
          <w:bookmarkEnd w:id="84"/>
          <w:p w14:paraId="7A672F0B" w14:textId="77777777" w:rsidR="00BE2C1D" w:rsidRPr="00BE2C1D" w:rsidRDefault="00BE2C1D" w:rsidP="00BE2C1D">
            <w:pPr>
              <w:rPr>
                <w:i/>
              </w:rPr>
            </w:pPr>
            <w:r w:rsidRPr="00BE2C1D">
              <w:rPr>
                <w:i/>
              </w:rPr>
              <w:t>Name</w:t>
            </w:r>
          </w:p>
        </w:tc>
        <w:tc>
          <w:tcPr>
            <w:tcW w:w="1042" w:type="dxa"/>
          </w:tcPr>
          <w:p w14:paraId="6384C4E3" w14:textId="77777777" w:rsidR="00BE2C1D" w:rsidRPr="00BE2C1D" w:rsidRDefault="00BE2C1D" w:rsidP="00BE2C1D">
            <w:pPr>
              <w:rPr>
                <w:i/>
              </w:rPr>
            </w:pPr>
            <w:r w:rsidRPr="00BE2C1D">
              <w:rPr>
                <w:i/>
              </w:rPr>
              <w:t>Sex</w:t>
            </w:r>
          </w:p>
        </w:tc>
        <w:tc>
          <w:tcPr>
            <w:tcW w:w="1043" w:type="dxa"/>
          </w:tcPr>
          <w:p w14:paraId="77821719" w14:textId="77777777" w:rsidR="00BE2C1D" w:rsidRPr="00BE2C1D" w:rsidRDefault="00BE2C1D" w:rsidP="00BE2C1D">
            <w:pPr>
              <w:rPr>
                <w:i/>
              </w:rPr>
            </w:pPr>
            <w:r w:rsidRPr="00BE2C1D">
              <w:rPr>
                <w:i/>
              </w:rPr>
              <w:t>Age</w:t>
            </w:r>
          </w:p>
        </w:tc>
        <w:tc>
          <w:tcPr>
            <w:tcW w:w="2087" w:type="dxa"/>
          </w:tcPr>
          <w:p w14:paraId="54BD03BB" w14:textId="77777777" w:rsidR="00BE2C1D" w:rsidRPr="00BE2C1D" w:rsidRDefault="00BE2C1D" w:rsidP="00BE2C1D">
            <w:pPr>
              <w:rPr>
                <w:i/>
              </w:rPr>
            </w:pPr>
            <w:r w:rsidRPr="00BE2C1D">
              <w:rPr>
                <w:i/>
              </w:rPr>
              <w:t>Ethnicity</w:t>
            </w:r>
          </w:p>
        </w:tc>
        <w:tc>
          <w:tcPr>
            <w:tcW w:w="3963" w:type="dxa"/>
          </w:tcPr>
          <w:p w14:paraId="7244FB44" w14:textId="77777777" w:rsidR="00BE2C1D" w:rsidRPr="00BE2C1D" w:rsidRDefault="00BE2C1D" w:rsidP="00BE2C1D">
            <w:pPr>
              <w:rPr>
                <w:i/>
              </w:rPr>
            </w:pPr>
            <w:r w:rsidRPr="00BE2C1D">
              <w:rPr>
                <w:i/>
              </w:rPr>
              <w:t>Location</w:t>
            </w:r>
          </w:p>
        </w:tc>
      </w:tr>
      <w:tr w:rsidR="00BE2C1D" w:rsidRPr="00BE2C1D" w14:paraId="433892D9" w14:textId="77777777" w:rsidTr="00BE2C1D">
        <w:trPr>
          <w:trHeight w:val="362"/>
        </w:trPr>
        <w:tc>
          <w:tcPr>
            <w:tcW w:w="1670" w:type="dxa"/>
          </w:tcPr>
          <w:p w14:paraId="4C654DED" w14:textId="77777777" w:rsidR="00BE2C1D" w:rsidRPr="00BE2C1D" w:rsidRDefault="00BE2C1D" w:rsidP="00BE2C1D">
            <w:bookmarkStart w:id="85" w:name="_Hlk6335297"/>
            <w:r w:rsidRPr="00BE2C1D">
              <w:t>Rachael</w:t>
            </w:r>
          </w:p>
        </w:tc>
        <w:tc>
          <w:tcPr>
            <w:tcW w:w="1042" w:type="dxa"/>
          </w:tcPr>
          <w:p w14:paraId="656B495F" w14:textId="77777777" w:rsidR="00BE2C1D" w:rsidRPr="00BE2C1D" w:rsidRDefault="00BE2C1D" w:rsidP="00BE2C1D">
            <w:r w:rsidRPr="00BE2C1D">
              <w:t>F</w:t>
            </w:r>
          </w:p>
        </w:tc>
        <w:tc>
          <w:tcPr>
            <w:tcW w:w="1043" w:type="dxa"/>
          </w:tcPr>
          <w:p w14:paraId="5FEABE44" w14:textId="77777777" w:rsidR="00BE2C1D" w:rsidRPr="00BE2C1D" w:rsidRDefault="00BE2C1D" w:rsidP="00BE2C1D">
            <w:r w:rsidRPr="00BE2C1D">
              <w:t>29</w:t>
            </w:r>
          </w:p>
        </w:tc>
        <w:tc>
          <w:tcPr>
            <w:tcW w:w="2087" w:type="dxa"/>
          </w:tcPr>
          <w:p w14:paraId="4B92211A" w14:textId="77777777" w:rsidR="00BE2C1D" w:rsidRPr="00BE2C1D" w:rsidRDefault="00BE2C1D" w:rsidP="00BE2C1D">
            <w:r w:rsidRPr="00BE2C1D">
              <w:t>White-British</w:t>
            </w:r>
          </w:p>
        </w:tc>
        <w:tc>
          <w:tcPr>
            <w:tcW w:w="3963" w:type="dxa"/>
          </w:tcPr>
          <w:p w14:paraId="400CB996" w14:textId="77777777" w:rsidR="00BE2C1D" w:rsidRPr="00BE2C1D" w:rsidRDefault="00BE2C1D" w:rsidP="00BE2C1D">
            <w:r w:rsidRPr="00BE2C1D">
              <w:t>Northeast England</w:t>
            </w:r>
          </w:p>
        </w:tc>
      </w:tr>
      <w:tr w:rsidR="00BE2C1D" w:rsidRPr="00BE2C1D" w14:paraId="5061D529" w14:textId="77777777" w:rsidTr="00BE2C1D">
        <w:trPr>
          <w:trHeight w:val="362"/>
        </w:trPr>
        <w:tc>
          <w:tcPr>
            <w:tcW w:w="1670" w:type="dxa"/>
          </w:tcPr>
          <w:p w14:paraId="6C666320" w14:textId="77777777" w:rsidR="00BE2C1D" w:rsidRPr="00BE2C1D" w:rsidRDefault="00BE2C1D" w:rsidP="00BE2C1D">
            <w:r w:rsidRPr="00BE2C1D">
              <w:t>Paul</w:t>
            </w:r>
          </w:p>
        </w:tc>
        <w:tc>
          <w:tcPr>
            <w:tcW w:w="1042" w:type="dxa"/>
          </w:tcPr>
          <w:p w14:paraId="2EF5A9BA" w14:textId="77777777" w:rsidR="00BE2C1D" w:rsidRPr="00BE2C1D" w:rsidRDefault="00BE2C1D" w:rsidP="00BE2C1D">
            <w:r w:rsidRPr="00BE2C1D">
              <w:t>M</w:t>
            </w:r>
          </w:p>
        </w:tc>
        <w:tc>
          <w:tcPr>
            <w:tcW w:w="1043" w:type="dxa"/>
          </w:tcPr>
          <w:p w14:paraId="217D1C04" w14:textId="77777777" w:rsidR="00BE2C1D" w:rsidRPr="00BE2C1D" w:rsidRDefault="00BE2C1D" w:rsidP="00BE2C1D">
            <w:r w:rsidRPr="00BE2C1D">
              <w:t>26</w:t>
            </w:r>
          </w:p>
        </w:tc>
        <w:tc>
          <w:tcPr>
            <w:tcW w:w="2087" w:type="dxa"/>
          </w:tcPr>
          <w:p w14:paraId="57A877F4" w14:textId="77777777" w:rsidR="00BE2C1D" w:rsidRPr="00BE2C1D" w:rsidRDefault="00BE2C1D" w:rsidP="00BE2C1D">
            <w:r w:rsidRPr="00BE2C1D">
              <w:t>White-British</w:t>
            </w:r>
          </w:p>
        </w:tc>
        <w:tc>
          <w:tcPr>
            <w:tcW w:w="3963" w:type="dxa"/>
          </w:tcPr>
          <w:p w14:paraId="750EB5D0" w14:textId="77777777" w:rsidR="00BE2C1D" w:rsidRPr="00BE2C1D" w:rsidRDefault="00BE2C1D" w:rsidP="00BE2C1D">
            <w:r w:rsidRPr="00BE2C1D">
              <w:t>North England</w:t>
            </w:r>
          </w:p>
        </w:tc>
      </w:tr>
      <w:tr w:rsidR="00BE2C1D" w:rsidRPr="00BE2C1D" w14:paraId="550DF6BB" w14:textId="77777777" w:rsidTr="00BE2C1D">
        <w:trPr>
          <w:trHeight w:val="362"/>
        </w:trPr>
        <w:tc>
          <w:tcPr>
            <w:tcW w:w="1670" w:type="dxa"/>
          </w:tcPr>
          <w:p w14:paraId="543B759D" w14:textId="77777777" w:rsidR="00BE2C1D" w:rsidRPr="00BE2C1D" w:rsidRDefault="00BE2C1D" w:rsidP="00BE2C1D">
            <w:r w:rsidRPr="00BE2C1D">
              <w:t>Nick</w:t>
            </w:r>
          </w:p>
        </w:tc>
        <w:tc>
          <w:tcPr>
            <w:tcW w:w="1042" w:type="dxa"/>
          </w:tcPr>
          <w:p w14:paraId="081BDB36" w14:textId="77777777" w:rsidR="00BE2C1D" w:rsidRPr="00BE2C1D" w:rsidRDefault="00BE2C1D" w:rsidP="00BE2C1D">
            <w:r w:rsidRPr="00BE2C1D">
              <w:t>M</w:t>
            </w:r>
          </w:p>
        </w:tc>
        <w:tc>
          <w:tcPr>
            <w:tcW w:w="1043" w:type="dxa"/>
          </w:tcPr>
          <w:p w14:paraId="2FB54B8F" w14:textId="77777777" w:rsidR="00BE2C1D" w:rsidRPr="00BE2C1D" w:rsidRDefault="00BE2C1D" w:rsidP="00BE2C1D">
            <w:r w:rsidRPr="00BE2C1D">
              <w:t>31</w:t>
            </w:r>
          </w:p>
        </w:tc>
        <w:tc>
          <w:tcPr>
            <w:tcW w:w="2087" w:type="dxa"/>
          </w:tcPr>
          <w:p w14:paraId="5920757B" w14:textId="77777777" w:rsidR="00BE2C1D" w:rsidRPr="00BE2C1D" w:rsidRDefault="00BE2C1D" w:rsidP="00BE2C1D">
            <w:r w:rsidRPr="00BE2C1D">
              <w:t>White-British</w:t>
            </w:r>
          </w:p>
        </w:tc>
        <w:tc>
          <w:tcPr>
            <w:tcW w:w="3963" w:type="dxa"/>
          </w:tcPr>
          <w:p w14:paraId="4D47C2EE" w14:textId="77777777" w:rsidR="00BE2C1D" w:rsidRPr="00BE2C1D" w:rsidRDefault="00BE2C1D" w:rsidP="00BE2C1D">
            <w:r w:rsidRPr="00BE2C1D">
              <w:t>Southwest England</w:t>
            </w:r>
          </w:p>
        </w:tc>
      </w:tr>
      <w:tr w:rsidR="00BE2C1D" w:rsidRPr="00BE2C1D" w14:paraId="43A09E2A" w14:textId="77777777" w:rsidTr="00BE2C1D">
        <w:trPr>
          <w:trHeight w:val="885"/>
        </w:trPr>
        <w:tc>
          <w:tcPr>
            <w:tcW w:w="1670" w:type="dxa"/>
          </w:tcPr>
          <w:p w14:paraId="13BF4EB6" w14:textId="77777777" w:rsidR="00BE2C1D" w:rsidRPr="00BE2C1D" w:rsidRDefault="00BE2C1D" w:rsidP="00BE2C1D">
            <w:r w:rsidRPr="00BE2C1D">
              <w:t>Michael</w:t>
            </w:r>
          </w:p>
        </w:tc>
        <w:tc>
          <w:tcPr>
            <w:tcW w:w="1042" w:type="dxa"/>
          </w:tcPr>
          <w:p w14:paraId="2D3B4960" w14:textId="77777777" w:rsidR="00BE2C1D" w:rsidRPr="00BE2C1D" w:rsidRDefault="00BE2C1D" w:rsidP="00BE2C1D">
            <w:r w:rsidRPr="00BE2C1D">
              <w:t>M</w:t>
            </w:r>
          </w:p>
        </w:tc>
        <w:tc>
          <w:tcPr>
            <w:tcW w:w="1043" w:type="dxa"/>
          </w:tcPr>
          <w:p w14:paraId="567AB6A0" w14:textId="77777777" w:rsidR="00BE2C1D" w:rsidRPr="00BE2C1D" w:rsidRDefault="00BE2C1D" w:rsidP="00BE2C1D">
            <w:r w:rsidRPr="00BE2C1D">
              <w:t>29</w:t>
            </w:r>
          </w:p>
        </w:tc>
        <w:tc>
          <w:tcPr>
            <w:tcW w:w="2087" w:type="dxa"/>
          </w:tcPr>
          <w:p w14:paraId="3CBCEE4B" w14:textId="77777777" w:rsidR="00BE2C1D" w:rsidRPr="00BE2C1D" w:rsidRDefault="00BE2C1D" w:rsidP="00BE2C1D">
            <w:r w:rsidRPr="00BE2C1D">
              <w:t>White-British</w:t>
            </w:r>
          </w:p>
        </w:tc>
        <w:tc>
          <w:tcPr>
            <w:tcW w:w="3963" w:type="dxa"/>
          </w:tcPr>
          <w:p w14:paraId="370E88BD" w14:textId="77777777" w:rsidR="00BE2C1D" w:rsidRPr="00BE2C1D" w:rsidRDefault="00BE2C1D" w:rsidP="00BE2C1D">
            <w:r w:rsidRPr="00BE2C1D">
              <w:t>Scotland</w:t>
            </w:r>
          </w:p>
        </w:tc>
      </w:tr>
      <w:tr w:rsidR="00BE2C1D" w:rsidRPr="00BE2C1D" w14:paraId="6B1E5CAB" w14:textId="77777777" w:rsidTr="00BE2C1D">
        <w:trPr>
          <w:trHeight w:val="362"/>
        </w:trPr>
        <w:tc>
          <w:tcPr>
            <w:tcW w:w="1670" w:type="dxa"/>
          </w:tcPr>
          <w:p w14:paraId="03E0937E" w14:textId="77777777" w:rsidR="00BE2C1D" w:rsidRPr="00BE2C1D" w:rsidRDefault="00BE2C1D" w:rsidP="00BE2C1D">
            <w:r w:rsidRPr="00BE2C1D">
              <w:t>Alice</w:t>
            </w:r>
          </w:p>
        </w:tc>
        <w:tc>
          <w:tcPr>
            <w:tcW w:w="1042" w:type="dxa"/>
          </w:tcPr>
          <w:p w14:paraId="59870145" w14:textId="77777777" w:rsidR="00BE2C1D" w:rsidRPr="00BE2C1D" w:rsidRDefault="00BE2C1D" w:rsidP="00BE2C1D">
            <w:r w:rsidRPr="00BE2C1D">
              <w:t>F</w:t>
            </w:r>
          </w:p>
        </w:tc>
        <w:tc>
          <w:tcPr>
            <w:tcW w:w="1043" w:type="dxa"/>
          </w:tcPr>
          <w:p w14:paraId="2B488C42" w14:textId="77777777" w:rsidR="00BE2C1D" w:rsidRPr="00BE2C1D" w:rsidRDefault="00BE2C1D" w:rsidP="00BE2C1D">
            <w:r w:rsidRPr="00BE2C1D">
              <w:t>23</w:t>
            </w:r>
          </w:p>
        </w:tc>
        <w:tc>
          <w:tcPr>
            <w:tcW w:w="2087" w:type="dxa"/>
          </w:tcPr>
          <w:p w14:paraId="193991CD" w14:textId="77777777" w:rsidR="00BE2C1D" w:rsidRPr="00BE2C1D" w:rsidRDefault="00BE2C1D" w:rsidP="00BE2C1D">
            <w:r w:rsidRPr="00BE2C1D">
              <w:t>White-British</w:t>
            </w:r>
          </w:p>
        </w:tc>
        <w:tc>
          <w:tcPr>
            <w:tcW w:w="3963" w:type="dxa"/>
          </w:tcPr>
          <w:p w14:paraId="509B266F" w14:textId="77777777" w:rsidR="00BE2C1D" w:rsidRPr="00BE2C1D" w:rsidRDefault="00BE2C1D" w:rsidP="00BE2C1D">
            <w:r w:rsidRPr="00BE2C1D">
              <w:t>Scotland</w:t>
            </w:r>
          </w:p>
        </w:tc>
      </w:tr>
      <w:tr w:rsidR="00BE2C1D" w:rsidRPr="00BE2C1D" w14:paraId="0582A3DF" w14:textId="77777777" w:rsidTr="00BE2C1D">
        <w:trPr>
          <w:trHeight w:val="362"/>
        </w:trPr>
        <w:tc>
          <w:tcPr>
            <w:tcW w:w="1670" w:type="dxa"/>
          </w:tcPr>
          <w:p w14:paraId="06D5FEFD" w14:textId="77777777" w:rsidR="00BE2C1D" w:rsidRPr="00BE2C1D" w:rsidRDefault="00BE2C1D" w:rsidP="00BE2C1D">
            <w:r w:rsidRPr="00BE2C1D">
              <w:t>Melrose</w:t>
            </w:r>
          </w:p>
        </w:tc>
        <w:tc>
          <w:tcPr>
            <w:tcW w:w="1042" w:type="dxa"/>
          </w:tcPr>
          <w:p w14:paraId="5AA3F4EB" w14:textId="77777777" w:rsidR="00BE2C1D" w:rsidRPr="00BE2C1D" w:rsidRDefault="00BE2C1D" w:rsidP="00BE2C1D">
            <w:r w:rsidRPr="00BE2C1D">
              <w:t>F</w:t>
            </w:r>
          </w:p>
        </w:tc>
        <w:tc>
          <w:tcPr>
            <w:tcW w:w="1043" w:type="dxa"/>
          </w:tcPr>
          <w:p w14:paraId="5EF7C05F" w14:textId="77777777" w:rsidR="00BE2C1D" w:rsidRPr="00BE2C1D" w:rsidRDefault="00BE2C1D" w:rsidP="00BE2C1D">
            <w:r w:rsidRPr="00BE2C1D">
              <w:t>24</w:t>
            </w:r>
          </w:p>
        </w:tc>
        <w:tc>
          <w:tcPr>
            <w:tcW w:w="2087" w:type="dxa"/>
          </w:tcPr>
          <w:p w14:paraId="619BF705" w14:textId="77777777" w:rsidR="00BE2C1D" w:rsidRPr="00BE2C1D" w:rsidRDefault="00BE2C1D" w:rsidP="00BE2C1D">
            <w:r w:rsidRPr="00BE2C1D">
              <w:t>White-British</w:t>
            </w:r>
          </w:p>
        </w:tc>
        <w:tc>
          <w:tcPr>
            <w:tcW w:w="3963" w:type="dxa"/>
          </w:tcPr>
          <w:p w14:paraId="376053FB" w14:textId="77777777" w:rsidR="00BE2C1D" w:rsidRPr="00BE2C1D" w:rsidRDefault="00BE2C1D" w:rsidP="00BE2C1D">
            <w:r w:rsidRPr="00BE2C1D">
              <w:t>North England</w:t>
            </w:r>
          </w:p>
        </w:tc>
      </w:tr>
      <w:tr w:rsidR="00BE2C1D" w:rsidRPr="00BE2C1D" w14:paraId="3AB63315" w14:textId="77777777" w:rsidTr="00BE2C1D">
        <w:trPr>
          <w:trHeight w:val="362"/>
        </w:trPr>
        <w:tc>
          <w:tcPr>
            <w:tcW w:w="1670" w:type="dxa"/>
          </w:tcPr>
          <w:p w14:paraId="7FD553C3" w14:textId="77777777" w:rsidR="00BE2C1D" w:rsidRPr="00BE2C1D" w:rsidRDefault="00BE2C1D" w:rsidP="00BE2C1D">
            <w:r w:rsidRPr="00BE2C1D">
              <w:t>Ryan</w:t>
            </w:r>
          </w:p>
        </w:tc>
        <w:tc>
          <w:tcPr>
            <w:tcW w:w="1042" w:type="dxa"/>
          </w:tcPr>
          <w:p w14:paraId="35FB510F" w14:textId="77777777" w:rsidR="00BE2C1D" w:rsidRPr="00BE2C1D" w:rsidRDefault="00BE2C1D" w:rsidP="00BE2C1D">
            <w:r w:rsidRPr="00BE2C1D">
              <w:t>M</w:t>
            </w:r>
          </w:p>
        </w:tc>
        <w:tc>
          <w:tcPr>
            <w:tcW w:w="1043" w:type="dxa"/>
          </w:tcPr>
          <w:p w14:paraId="0561719D" w14:textId="77777777" w:rsidR="00BE2C1D" w:rsidRPr="00BE2C1D" w:rsidRDefault="00BE2C1D" w:rsidP="00BE2C1D">
            <w:r w:rsidRPr="00BE2C1D">
              <w:t>29</w:t>
            </w:r>
          </w:p>
        </w:tc>
        <w:tc>
          <w:tcPr>
            <w:tcW w:w="2087" w:type="dxa"/>
          </w:tcPr>
          <w:p w14:paraId="06503A41" w14:textId="77777777" w:rsidR="00BE2C1D" w:rsidRPr="00BE2C1D" w:rsidRDefault="00BE2C1D" w:rsidP="00BE2C1D">
            <w:r w:rsidRPr="00BE2C1D">
              <w:t>White-British</w:t>
            </w:r>
          </w:p>
        </w:tc>
        <w:tc>
          <w:tcPr>
            <w:tcW w:w="3963" w:type="dxa"/>
          </w:tcPr>
          <w:p w14:paraId="4ED77527" w14:textId="77777777" w:rsidR="00BE2C1D" w:rsidRPr="00BE2C1D" w:rsidRDefault="00BE2C1D" w:rsidP="00BE2C1D">
            <w:r w:rsidRPr="00BE2C1D">
              <w:t>South England</w:t>
            </w:r>
          </w:p>
        </w:tc>
      </w:tr>
      <w:tr w:rsidR="00BE2C1D" w:rsidRPr="00BE2C1D" w14:paraId="79104DD5" w14:textId="77777777" w:rsidTr="00BE2C1D">
        <w:trPr>
          <w:trHeight w:val="362"/>
        </w:trPr>
        <w:tc>
          <w:tcPr>
            <w:tcW w:w="1670" w:type="dxa"/>
          </w:tcPr>
          <w:p w14:paraId="7AD28544" w14:textId="77777777" w:rsidR="00BE2C1D" w:rsidRPr="00BE2C1D" w:rsidRDefault="00BE2C1D" w:rsidP="00BE2C1D">
            <w:r w:rsidRPr="00BE2C1D">
              <w:t>Bill</w:t>
            </w:r>
          </w:p>
        </w:tc>
        <w:tc>
          <w:tcPr>
            <w:tcW w:w="1042" w:type="dxa"/>
          </w:tcPr>
          <w:p w14:paraId="794F7D55" w14:textId="77777777" w:rsidR="00BE2C1D" w:rsidRPr="00BE2C1D" w:rsidRDefault="00BE2C1D" w:rsidP="00BE2C1D">
            <w:r w:rsidRPr="00BE2C1D">
              <w:t>M</w:t>
            </w:r>
          </w:p>
        </w:tc>
        <w:tc>
          <w:tcPr>
            <w:tcW w:w="1043" w:type="dxa"/>
          </w:tcPr>
          <w:p w14:paraId="79881AFD" w14:textId="77777777" w:rsidR="00BE2C1D" w:rsidRPr="00BE2C1D" w:rsidRDefault="00BE2C1D" w:rsidP="00BE2C1D">
            <w:r w:rsidRPr="00BE2C1D">
              <w:t>29</w:t>
            </w:r>
          </w:p>
        </w:tc>
        <w:tc>
          <w:tcPr>
            <w:tcW w:w="2087" w:type="dxa"/>
          </w:tcPr>
          <w:p w14:paraId="75805883" w14:textId="77777777" w:rsidR="00BE2C1D" w:rsidRPr="00BE2C1D" w:rsidRDefault="00BE2C1D" w:rsidP="00BE2C1D">
            <w:r w:rsidRPr="00BE2C1D">
              <w:t>White-British</w:t>
            </w:r>
          </w:p>
        </w:tc>
        <w:tc>
          <w:tcPr>
            <w:tcW w:w="3963" w:type="dxa"/>
          </w:tcPr>
          <w:p w14:paraId="57D09C7D" w14:textId="77777777" w:rsidR="00BE2C1D" w:rsidRPr="00BE2C1D" w:rsidRDefault="00BE2C1D" w:rsidP="00BE2C1D">
            <w:r w:rsidRPr="00BE2C1D">
              <w:t>East England</w:t>
            </w:r>
          </w:p>
        </w:tc>
      </w:tr>
      <w:tr w:rsidR="00BE2C1D" w:rsidRPr="00BE2C1D" w14:paraId="0BC71E57" w14:textId="77777777" w:rsidTr="00BE2C1D">
        <w:trPr>
          <w:trHeight w:val="362"/>
        </w:trPr>
        <w:tc>
          <w:tcPr>
            <w:tcW w:w="1670" w:type="dxa"/>
          </w:tcPr>
          <w:p w14:paraId="0186F033" w14:textId="77777777" w:rsidR="00BE2C1D" w:rsidRPr="00BE2C1D" w:rsidRDefault="00BE2C1D" w:rsidP="00BE2C1D">
            <w:r w:rsidRPr="00BE2C1D">
              <w:t>Nathan</w:t>
            </w:r>
          </w:p>
        </w:tc>
        <w:tc>
          <w:tcPr>
            <w:tcW w:w="1042" w:type="dxa"/>
          </w:tcPr>
          <w:p w14:paraId="30B985E8" w14:textId="77777777" w:rsidR="00BE2C1D" w:rsidRPr="00BE2C1D" w:rsidRDefault="00BE2C1D" w:rsidP="00BE2C1D">
            <w:r w:rsidRPr="00BE2C1D">
              <w:t>M</w:t>
            </w:r>
          </w:p>
        </w:tc>
        <w:tc>
          <w:tcPr>
            <w:tcW w:w="1043" w:type="dxa"/>
          </w:tcPr>
          <w:p w14:paraId="5852E3A8" w14:textId="77777777" w:rsidR="00BE2C1D" w:rsidRPr="00BE2C1D" w:rsidRDefault="00BE2C1D" w:rsidP="00BE2C1D">
            <w:r w:rsidRPr="00BE2C1D">
              <w:t>27</w:t>
            </w:r>
          </w:p>
        </w:tc>
        <w:tc>
          <w:tcPr>
            <w:tcW w:w="2087" w:type="dxa"/>
          </w:tcPr>
          <w:p w14:paraId="7EF48938" w14:textId="77777777" w:rsidR="00BE2C1D" w:rsidRPr="00BE2C1D" w:rsidRDefault="00BE2C1D" w:rsidP="00BE2C1D">
            <w:r w:rsidRPr="00BE2C1D">
              <w:t>White-British</w:t>
            </w:r>
          </w:p>
        </w:tc>
        <w:tc>
          <w:tcPr>
            <w:tcW w:w="3963" w:type="dxa"/>
          </w:tcPr>
          <w:p w14:paraId="06412222" w14:textId="77777777" w:rsidR="00BE2C1D" w:rsidRPr="00BE2C1D" w:rsidRDefault="00BE2C1D" w:rsidP="00BE2C1D">
            <w:r w:rsidRPr="00BE2C1D">
              <w:t>North England</w:t>
            </w:r>
          </w:p>
        </w:tc>
      </w:tr>
      <w:tr w:rsidR="00BE2C1D" w:rsidRPr="00BE2C1D" w14:paraId="27573AB5" w14:textId="77777777" w:rsidTr="00BE2C1D">
        <w:trPr>
          <w:trHeight w:val="362"/>
        </w:trPr>
        <w:tc>
          <w:tcPr>
            <w:tcW w:w="1670" w:type="dxa"/>
          </w:tcPr>
          <w:p w14:paraId="70E3949E" w14:textId="77777777" w:rsidR="00BE2C1D" w:rsidRPr="00BE2C1D" w:rsidRDefault="00BE2C1D" w:rsidP="00BE2C1D">
            <w:r w:rsidRPr="00BE2C1D">
              <w:t>Patricia</w:t>
            </w:r>
          </w:p>
        </w:tc>
        <w:tc>
          <w:tcPr>
            <w:tcW w:w="1042" w:type="dxa"/>
          </w:tcPr>
          <w:p w14:paraId="65C96742" w14:textId="77777777" w:rsidR="00BE2C1D" w:rsidRPr="00BE2C1D" w:rsidRDefault="00BE2C1D" w:rsidP="00BE2C1D">
            <w:r w:rsidRPr="00BE2C1D">
              <w:t>F</w:t>
            </w:r>
          </w:p>
        </w:tc>
        <w:tc>
          <w:tcPr>
            <w:tcW w:w="1043" w:type="dxa"/>
          </w:tcPr>
          <w:p w14:paraId="7A8B4489" w14:textId="77777777" w:rsidR="00BE2C1D" w:rsidRPr="00BE2C1D" w:rsidRDefault="00BE2C1D" w:rsidP="00BE2C1D">
            <w:r w:rsidRPr="00BE2C1D">
              <w:t>30</w:t>
            </w:r>
          </w:p>
        </w:tc>
        <w:tc>
          <w:tcPr>
            <w:tcW w:w="2087" w:type="dxa"/>
          </w:tcPr>
          <w:p w14:paraId="4BD13BBF" w14:textId="77777777" w:rsidR="00BE2C1D" w:rsidRPr="00BE2C1D" w:rsidRDefault="00BE2C1D" w:rsidP="00BE2C1D">
            <w:r w:rsidRPr="00BE2C1D">
              <w:t>White-British</w:t>
            </w:r>
          </w:p>
        </w:tc>
        <w:tc>
          <w:tcPr>
            <w:tcW w:w="3963" w:type="dxa"/>
          </w:tcPr>
          <w:p w14:paraId="34EDF185" w14:textId="77777777" w:rsidR="00BE2C1D" w:rsidRPr="00BE2C1D" w:rsidRDefault="00BE2C1D" w:rsidP="00BE2C1D">
            <w:r w:rsidRPr="00BE2C1D">
              <w:t>Scotland</w:t>
            </w:r>
          </w:p>
        </w:tc>
      </w:tr>
      <w:tr w:rsidR="00BE2C1D" w:rsidRPr="00BE2C1D" w14:paraId="4CFC4C85" w14:textId="77777777" w:rsidTr="00BE2C1D">
        <w:trPr>
          <w:trHeight w:val="336"/>
        </w:trPr>
        <w:tc>
          <w:tcPr>
            <w:tcW w:w="1670" w:type="dxa"/>
          </w:tcPr>
          <w:p w14:paraId="5873FEDB" w14:textId="77777777" w:rsidR="00BE2C1D" w:rsidRPr="00BE2C1D" w:rsidRDefault="00BE2C1D" w:rsidP="00BE2C1D">
            <w:r w:rsidRPr="00BE2C1D">
              <w:t>Aphrodite</w:t>
            </w:r>
          </w:p>
        </w:tc>
        <w:tc>
          <w:tcPr>
            <w:tcW w:w="1042" w:type="dxa"/>
          </w:tcPr>
          <w:p w14:paraId="7504EDE0" w14:textId="77777777" w:rsidR="00BE2C1D" w:rsidRPr="00BE2C1D" w:rsidRDefault="00BE2C1D" w:rsidP="00BE2C1D">
            <w:r w:rsidRPr="00BE2C1D">
              <w:t>F</w:t>
            </w:r>
          </w:p>
        </w:tc>
        <w:tc>
          <w:tcPr>
            <w:tcW w:w="1043" w:type="dxa"/>
          </w:tcPr>
          <w:p w14:paraId="59268DCE" w14:textId="77777777" w:rsidR="00BE2C1D" w:rsidRPr="00BE2C1D" w:rsidRDefault="00BE2C1D" w:rsidP="00BE2C1D">
            <w:r w:rsidRPr="00BE2C1D">
              <w:t>19</w:t>
            </w:r>
          </w:p>
        </w:tc>
        <w:tc>
          <w:tcPr>
            <w:tcW w:w="2087" w:type="dxa"/>
          </w:tcPr>
          <w:p w14:paraId="371AF32D" w14:textId="77777777" w:rsidR="00BE2C1D" w:rsidRPr="00BE2C1D" w:rsidRDefault="00BE2C1D" w:rsidP="00BE2C1D">
            <w:r w:rsidRPr="00BE2C1D">
              <w:t>White-British</w:t>
            </w:r>
          </w:p>
        </w:tc>
        <w:tc>
          <w:tcPr>
            <w:tcW w:w="3963" w:type="dxa"/>
          </w:tcPr>
          <w:p w14:paraId="1FEFC8EF" w14:textId="77777777" w:rsidR="00BE2C1D" w:rsidRPr="00BE2C1D" w:rsidRDefault="00BE2C1D" w:rsidP="00BE2C1D">
            <w:r w:rsidRPr="00BE2C1D">
              <w:t>Southwest England</w:t>
            </w:r>
          </w:p>
        </w:tc>
      </w:tr>
      <w:bookmarkEnd w:id="85"/>
    </w:tbl>
    <w:p w14:paraId="0610600A" w14:textId="77777777" w:rsidR="00BE2C1D" w:rsidRPr="00BE2C1D" w:rsidRDefault="00BE2C1D" w:rsidP="00BE2C1D">
      <w:pPr>
        <w:spacing w:line="360" w:lineRule="auto"/>
        <w:jc w:val="both"/>
      </w:pPr>
    </w:p>
    <w:p w14:paraId="3D410B51" w14:textId="77777777" w:rsidR="00BE2C1D" w:rsidRPr="00BE2C1D" w:rsidRDefault="00BE2C1D" w:rsidP="00BE2C1D">
      <w:pPr>
        <w:spacing w:line="360" w:lineRule="auto"/>
        <w:jc w:val="both"/>
      </w:pPr>
      <w:r w:rsidRPr="00BE2C1D">
        <w:t xml:space="preserve">One of the strengths of this sampling was the recruitment of the nine teenagers. As argued earlier, young people with RG remained an absent presence in research and one of the goals of this research was to engage them in meaningful dialogues, where they were the storytellers of their stories. Moreover, the successful recruitment of male participants was equally important, since boys and men with RG were depicted as presenting more problems (e.g. behavioural issues) than girls (Wake et al., 2000). This also meant that an analysis with a consideration of intersectionality was feasible. </w:t>
      </w:r>
    </w:p>
    <w:p w14:paraId="035BF84C" w14:textId="77777777" w:rsidR="00BE2C1D" w:rsidRPr="00BE2C1D" w:rsidRDefault="00BE2C1D" w:rsidP="00BE2C1D">
      <w:pPr>
        <w:spacing w:line="360" w:lineRule="auto"/>
        <w:jc w:val="both"/>
      </w:pPr>
      <w:r w:rsidRPr="00BE2C1D">
        <w:t xml:space="preserve">However, there were certain limitations in this sample. Nineteen out of twenty participants were members of one of the aforementioned associations. This meant that the stories of young people with RG who were not members of any associations remained silenced. However, as already explained, the associations were one of the main gatekeepers through which participants were identified and recruited.  Moreover, the sample was predominantly White-British, with only one teenage participant being Black-British, and, therefore, it lacked diversity in terms of ethnicity and did not allow for an intersectional analysis that could consider race. This was partly due to the majority of the members of the association being white. </w:t>
      </w:r>
    </w:p>
    <w:p w14:paraId="7A51353A" w14:textId="77777777" w:rsidR="00BE2C1D" w:rsidRPr="00BE2C1D" w:rsidRDefault="00BE2C1D" w:rsidP="00BE2C1D">
      <w:pPr>
        <w:keepNext/>
        <w:keepLines/>
        <w:spacing w:before="40" w:after="0" w:line="360" w:lineRule="auto"/>
        <w:outlineLvl w:val="1"/>
        <w:rPr>
          <w:rFonts w:asciiTheme="majorHAnsi" w:eastAsiaTheme="majorEastAsia" w:hAnsiTheme="majorHAnsi" w:cstheme="majorBidi"/>
          <w:color w:val="2F5496" w:themeColor="accent1" w:themeShade="BF"/>
          <w:sz w:val="26"/>
          <w:szCs w:val="26"/>
          <w:lang w:eastAsia="zh-CN"/>
        </w:rPr>
      </w:pPr>
      <w:bookmarkStart w:id="86" w:name="_Toc39585227"/>
      <w:r w:rsidRPr="00BE2C1D">
        <w:rPr>
          <w:rFonts w:asciiTheme="majorHAnsi" w:eastAsiaTheme="majorEastAsia" w:hAnsiTheme="majorHAnsi" w:cstheme="majorBidi"/>
          <w:color w:val="2F5496" w:themeColor="accent1" w:themeShade="BF"/>
          <w:sz w:val="26"/>
          <w:szCs w:val="26"/>
          <w:lang w:eastAsia="zh-CN"/>
        </w:rPr>
        <w:lastRenderedPageBreak/>
        <w:t>Methods</w:t>
      </w:r>
      <w:bookmarkEnd w:id="86"/>
      <w:r w:rsidRPr="00BE2C1D">
        <w:rPr>
          <w:rFonts w:asciiTheme="majorHAnsi" w:eastAsiaTheme="majorEastAsia" w:hAnsiTheme="majorHAnsi" w:cstheme="majorBidi"/>
          <w:color w:val="2F5496" w:themeColor="accent1" w:themeShade="BF"/>
          <w:sz w:val="26"/>
          <w:szCs w:val="26"/>
          <w:lang w:eastAsia="zh-CN"/>
        </w:rPr>
        <w:t xml:space="preserve"> </w:t>
      </w:r>
    </w:p>
    <w:p w14:paraId="1873E610" w14:textId="67E9279E" w:rsidR="00BE2C1D" w:rsidRPr="00BE2C1D" w:rsidRDefault="00BE2C1D" w:rsidP="00BE2C1D">
      <w:pPr>
        <w:spacing w:line="360" w:lineRule="auto"/>
        <w:jc w:val="both"/>
      </w:pPr>
      <w:r w:rsidRPr="00BE2C1D">
        <w:t>In this section, I discuss the methods I used to co-construct the participants’ stories (White and Drew 2011; Squire et al. 2013). In this qualitative research, I engaged with a feminist poststructuralist narrative approach</w:t>
      </w:r>
      <w:r w:rsidRPr="00BE2C1D">
        <w:rPr>
          <w:vertAlign w:val="superscript"/>
        </w:rPr>
        <w:footnoteReference w:id="52"/>
      </w:r>
      <w:r w:rsidRPr="00BE2C1D">
        <w:t xml:space="preserve"> (Harwood 2001</w:t>
      </w:r>
      <w:r w:rsidR="00CB0FF8">
        <w:t>;</w:t>
      </w:r>
      <w:r w:rsidRPr="00BE2C1D">
        <w:t xml:space="preserve"> Tamboukou 2013), with multimodal storytelling being the main method and ‘small</w:t>
      </w:r>
      <w:r w:rsidRPr="00BE2C1D">
        <w:rPr>
          <w:vertAlign w:val="superscript"/>
        </w:rPr>
        <w:footnoteReference w:id="53"/>
      </w:r>
      <w:r w:rsidRPr="00BE2C1D">
        <w:t xml:space="preserve"> stories’ (Georgakopoulou 2015: 256) being the main outcome. I adopted a flexible approach to storytelling, providing the participants with the choice of what mode of storytelling (oral, written, visual, digital) they felt most comfortable with. For instance, oral storytelling, which proved to be the most popular mode, included a narrative semi-structured interview, during which participants were invited to story their educational experiences. Such interviews lasted an hour on average. Digital storytelling, on the other hand, was piloted with 3 young people, who were invited to share their digital stories on a private weblog I set up. However, the participants did not engage with this mode of storytelling as much, as I explain later. By written storytelling I refer to email narrative interviews, where I sent the interview questions to the participants and they responded back via email. One participant also opted for the visual storytelling, sharing with me a visual story of his educational experiences.  </w:t>
      </w:r>
    </w:p>
    <w:p w14:paraId="314DAE2F" w14:textId="77777777" w:rsidR="00BE2C1D" w:rsidRPr="00BE2C1D" w:rsidRDefault="00BE2C1D" w:rsidP="00BE2C1D">
      <w:pPr>
        <w:spacing w:line="360" w:lineRule="auto"/>
        <w:jc w:val="both"/>
      </w:pPr>
      <w:r w:rsidRPr="00BE2C1D">
        <w:t>The interview guide included various questions, which covered certain areas and were based on the research questions. For instance, certain questions focused on the relationships and interactions between the participants and their teachers, teaching assistants and peers. Using a semi-structured approach to interviewing allowed further questions to be asked during the interview (Fontana and Prokos 2016), which allowed for clarifications or elaboration on the participants’ stories. Moreover, as stated in the information sheet</w:t>
      </w:r>
      <w:r w:rsidRPr="00BE2C1D">
        <w:rPr>
          <w:vertAlign w:val="superscript"/>
        </w:rPr>
        <w:footnoteReference w:id="54"/>
      </w:r>
      <w:r w:rsidRPr="00BE2C1D">
        <w:t xml:space="preserve">, participants were invited to take part in a dialogue, where they were welcome to ask any questions to me, which I would respond to sincerely (Abell et al. 2006).  Flexibility also occurred in relation to when (at a time convenient for both me and the participants) and where (online/in person, public/private space) storytelling would take place as well as the number of participants involved (one-to-one interviews, pair interviews, a focus group, interviews under the presence of chaperones, such as participants’ mothers). </w:t>
      </w:r>
    </w:p>
    <w:p w14:paraId="0C2007A9" w14:textId="77777777" w:rsidR="00BE2C1D" w:rsidRPr="00BE2C1D" w:rsidRDefault="00BE2C1D" w:rsidP="00BE2C1D">
      <w:pPr>
        <w:spacing w:line="360" w:lineRule="auto"/>
        <w:jc w:val="both"/>
      </w:pPr>
      <w:r w:rsidRPr="00BE2C1D">
        <w:t xml:space="preserve">The inclusion of online methods, such as Skype (Seitz 2015; Lo Lacono et al. 2016) and email interviews (James 2007), was crucial in this research for several reasons. Firstly, participants from different geographical locations (e.g. Scotland, Wales) were able to participate in the research through these media (Cater 2011; Janghorban et al. 2014; Lo lacono et al. 2016; Sullivan 2012). Moreover, online methods in disability research have been acknowledged for being adaptable to a range of bodies and </w:t>
      </w:r>
      <w:r w:rsidRPr="00BE2C1D">
        <w:lastRenderedPageBreak/>
        <w:t xml:space="preserve">for their accessibility (Bowker and Tuffin 2004; Carr 2010; Liddiard 2018; Liddiard et al. 2019; Seymour 2001). Furthermore, for people with RG, who encounter very hostile attitudes from strangers in public spaces (Ellis 2018; Prichard 2016), online methods can constitute a safe space for them to share their stories. </w:t>
      </w:r>
    </w:p>
    <w:p w14:paraId="43D295EB" w14:textId="77777777" w:rsidR="00BE2C1D" w:rsidRPr="00BE2C1D" w:rsidRDefault="00BE2C1D" w:rsidP="00BE2C1D">
      <w:pPr>
        <w:spacing w:line="360" w:lineRule="auto"/>
        <w:jc w:val="both"/>
      </w:pPr>
      <w:r w:rsidRPr="00BE2C1D">
        <w:t>The following two tables demonstrate the method, the medium and the place that the young people chose.</w:t>
      </w:r>
    </w:p>
    <w:p w14:paraId="00CE22B4" w14:textId="493C703D" w:rsidR="00BE2C1D" w:rsidRPr="00BE2C1D" w:rsidRDefault="00CB0FF8" w:rsidP="00BE2C1D">
      <w:pPr>
        <w:rPr>
          <w:b/>
          <w:iCs/>
          <w:sz w:val="24"/>
          <w:szCs w:val="24"/>
        </w:rPr>
      </w:pPr>
      <w:r>
        <w:rPr>
          <w:b/>
          <w:iCs/>
          <w:sz w:val="24"/>
          <w:szCs w:val="24"/>
        </w:rPr>
        <w:t xml:space="preserve">Table 3: </w:t>
      </w:r>
      <w:r w:rsidR="00BE2C1D" w:rsidRPr="00BE2C1D">
        <w:rPr>
          <w:b/>
          <w:iCs/>
          <w:sz w:val="24"/>
          <w:szCs w:val="24"/>
        </w:rPr>
        <w:t xml:space="preserve">Methods the Teenagers Opted For </w:t>
      </w:r>
    </w:p>
    <w:tbl>
      <w:tblPr>
        <w:tblW w:w="0" w:type="auto"/>
        <w:tblLook w:val="04A0" w:firstRow="1" w:lastRow="0" w:firstColumn="1" w:lastColumn="0" w:noHBand="0" w:noVBand="1"/>
      </w:tblPr>
      <w:tblGrid>
        <w:gridCol w:w="1129"/>
        <w:gridCol w:w="4820"/>
        <w:gridCol w:w="2835"/>
      </w:tblGrid>
      <w:tr w:rsidR="00BE2C1D" w:rsidRPr="00BE2C1D" w14:paraId="564B8D7C" w14:textId="77777777" w:rsidTr="00BE2C1D">
        <w:tc>
          <w:tcPr>
            <w:tcW w:w="1129" w:type="dxa"/>
          </w:tcPr>
          <w:p w14:paraId="7F160E0E" w14:textId="77777777" w:rsidR="00BE2C1D" w:rsidRPr="00BE2C1D" w:rsidRDefault="00BE2C1D" w:rsidP="00BE2C1D">
            <w:pPr>
              <w:rPr>
                <w:sz w:val="24"/>
                <w:szCs w:val="24"/>
              </w:rPr>
            </w:pPr>
            <w:r w:rsidRPr="00BE2C1D">
              <w:rPr>
                <w:sz w:val="24"/>
                <w:szCs w:val="24"/>
              </w:rPr>
              <w:t>Name</w:t>
            </w:r>
          </w:p>
        </w:tc>
        <w:tc>
          <w:tcPr>
            <w:tcW w:w="4820" w:type="dxa"/>
          </w:tcPr>
          <w:p w14:paraId="0C2637E9" w14:textId="77777777" w:rsidR="00BE2C1D" w:rsidRPr="00BE2C1D" w:rsidRDefault="00BE2C1D" w:rsidP="00BE2C1D">
            <w:pPr>
              <w:rPr>
                <w:sz w:val="24"/>
                <w:szCs w:val="24"/>
              </w:rPr>
            </w:pPr>
            <w:r w:rsidRPr="00BE2C1D">
              <w:rPr>
                <w:sz w:val="24"/>
                <w:szCs w:val="24"/>
              </w:rPr>
              <w:t>Storytelling Method</w:t>
            </w:r>
          </w:p>
        </w:tc>
        <w:tc>
          <w:tcPr>
            <w:tcW w:w="2835" w:type="dxa"/>
          </w:tcPr>
          <w:p w14:paraId="313B9839" w14:textId="77777777" w:rsidR="00BE2C1D" w:rsidRPr="00BE2C1D" w:rsidRDefault="00BE2C1D" w:rsidP="00BE2C1D">
            <w:pPr>
              <w:rPr>
                <w:sz w:val="24"/>
                <w:szCs w:val="24"/>
              </w:rPr>
            </w:pPr>
            <w:r w:rsidRPr="00BE2C1D">
              <w:rPr>
                <w:sz w:val="24"/>
                <w:szCs w:val="24"/>
              </w:rPr>
              <w:t>Medium</w:t>
            </w:r>
          </w:p>
        </w:tc>
      </w:tr>
      <w:tr w:rsidR="00BE2C1D" w:rsidRPr="00BE2C1D" w14:paraId="63302A6B" w14:textId="77777777" w:rsidTr="00BE2C1D">
        <w:tc>
          <w:tcPr>
            <w:tcW w:w="1129" w:type="dxa"/>
          </w:tcPr>
          <w:p w14:paraId="2B7FB287" w14:textId="77777777" w:rsidR="00BE2C1D" w:rsidRPr="00BE2C1D" w:rsidRDefault="00BE2C1D" w:rsidP="00BE2C1D">
            <w:pPr>
              <w:rPr>
                <w:sz w:val="24"/>
                <w:szCs w:val="24"/>
              </w:rPr>
            </w:pPr>
            <w:r w:rsidRPr="00BE2C1D">
              <w:rPr>
                <w:sz w:val="24"/>
                <w:szCs w:val="24"/>
              </w:rPr>
              <w:t>Mary</w:t>
            </w:r>
          </w:p>
        </w:tc>
        <w:tc>
          <w:tcPr>
            <w:tcW w:w="4820" w:type="dxa"/>
          </w:tcPr>
          <w:p w14:paraId="5CF0AEC5" w14:textId="77777777" w:rsidR="00BE2C1D" w:rsidRPr="00BE2C1D" w:rsidRDefault="00BE2C1D" w:rsidP="00BE2C1D">
            <w:pPr>
              <w:spacing w:line="360" w:lineRule="auto"/>
              <w:jc w:val="both"/>
              <w:rPr>
                <w:sz w:val="24"/>
                <w:szCs w:val="24"/>
              </w:rPr>
            </w:pPr>
            <w:r w:rsidRPr="00BE2C1D">
              <w:rPr>
                <w:sz w:val="24"/>
                <w:szCs w:val="24"/>
              </w:rPr>
              <w:t>Focus Group/</w:t>
            </w:r>
          </w:p>
          <w:p w14:paraId="186DB195" w14:textId="77777777" w:rsidR="00BE2C1D" w:rsidRPr="00BE2C1D" w:rsidRDefault="00BE2C1D" w:rsidP="00BE2C1D">
            <w:pPr>
              <w:rPr>
                <w:sz w:val="24"/>
                <w:szCs w:val="24"/>
              </w:rPr>
            </w:pPr>
            <w:r w:rsidRPr="00BE2C1D">
              <w:rPr>
                <w:sz w:val="24"/>
                <w:szCs w:val="24"/>
              </w:rPr>
              <w:t>Weblog</w:t>
            </w:r>
          </w:p>
        </w:tc>
        <w:tc>
          <w:tcPr>
            <w:tcW w:w="2835" w:type="dxa"/>
          </w:tcPr>
          <w:p w14:paraId="434257D4" w14:textId="77777777" w:rsidR="00BE2C1D" w:rsidRPr="00BE2C1D" w:rsidRDefault="00BE2C1D" w:rsidP="00BE2C1D">
            <w:pPr>
              <w:rPr>
                <w:sz w:val="24"/>
                <w:szCs w:val="24"/>
              </w:rPr>
            </w:pPr>
            <w:r w:rsidRPr="00BE2C1D">
              <w:rPr>
                <w:sz w:val="24"/>
                <w:szCs w:val="24"/>
              </w:rPr>
              <w:t>In person/Digital Storytelling</w:t>
            </w:r>
          </w:p>
        </w:tc>
      </w:tr>
      <w:tr w:rsidR="00BE2C1D" w:rsidRPr="00BE2C1D" w14:paraId="5D6D597A" w14:textId="77777777" w:rsidTr="00BE2C1D">
        <w:tc>
          <w:tcPr>
            <w:tcW w:w="1129" w:type="dxa"/>
          </w:tcPr>
          <w:p w14:paraId="49D832DF" w14:textId="77777777" w:rsidR="00BE2C1D" w:rsidRPr="00BE2C1D" w:rsidRDefault="00BE2C1D" w:rsidP="00BE2C1D">
            <w:pPr>
              <w:rPr>
                <w:sz w:val="24"/>
                <w:szCs w:val="24"/>
              </w:rPr>
            </w:pPr>
            <w:r w:rsidRPr="00BE2C1D">
              <w:rPr>
                <w:sz w:val="24"/>
                <w:szCs w:val="24"/>
              </w:rPr>
              <w:t>John</w:t>
            </w:r>
          </w:p>
        </w:tc>
        <w:tc>
          <w:tcPr>
            <w:tcW w:w="4820" w:type="dxa"/>
          </w:tcPr>
          <w:p w14:paraId="0624735A" w14:textId="77777777" w:rsidR="00BE2C1D" w:rsidRPr="00BE2C1D" w:rsidRDefault="00BE2C1D" w:rsidP="00BE2C1D">
            <w:pPr>
              <w:rPr>
                <w:sz w:val="24"/>
                <w:szCs w:val="24"/>
              </w:rPr>
            </w:pPr>
            <w:r w:rsidRPr="00BE2C1D">
              <w:rPr>
                <w:sz w:val="24"/>
                <w:szCs w:val="24"/>
              </w:rPr>
              <w:t>Focus Group/Weblog</w:t>
            </w:r>
          </w:p>
        </w:tc>
        <w:tc>
          <w:tcPr>
            <w:tcW w:w="2835" w:type="dxa"/>
          </w:tcPr>
          <w:p w14:paraId="3F69EB1C" w14:textId="77777777" w:rsidR="00BE2C1D" w:rsidRPr="00BE2C1D" w:rsidRDefault="00BE2C1D" w:rsidP="00BE2C1D">
            <w:pPr>
              <w:rPr>
                <w:sz w:val="24"/>
                <w:szCs w:val="24"/>
              </w:rPr>
            </w:pPr>
            <w:r w:rsidRPr="00BE2C1D">
              <w:rPr>
                <w:sz w:val="24"/>
                <w:szCs w:val="24"/>
              </w:rPr>
              <w:t>In person/Digital Storytelling</w:t>
            </w:r>
          </w:p>
        </w:tc>
      </w:tr>
      <w:tr w:rsidR="00BE2C1D" w:rsidRPr="00BE2C1D" w14:paraId="079204CE" w14:textId="77777777" w:rsidTr="00BE2C1D">
        <w:tc>
          <w:tcPr>
            <w:tcW w:w="1129" w:type="dxa"/>
          </w:tcPr>
          <w:p w14:paraId="470E8206" w14:textId="77777777" w:rsidR="00BE2C1D" w:rsidRPr="00BE2C1D" w:rsidRDefault="00BE2C1D" w:rsidP="00BE2C1D">
            <w:pPr>
              <w:rPr>
                <w:sz w:val="24"/>
                <w:szCs w:val="24"/>
              </w:rPr>
            </w:pPr>
            <w:r w:rsidRPr="00BE2C1D">
              <w:rPr>
                <w:sz w:val="24"/>
                <w:szCs w:val="24"/>
              </w:rPr>
              <w:t>Louise</w:t>
            </w:r>
            <w:r w:rsidRPr="00BE2C1D">
              <w:rPr>
                <w:sz w:val="24"/>
                <w:szCs w:val="24"/>
                <w:vertAlign w:val="superscript"/>
              </w:rPr>
              <w:footnoteReference w:id="55"/>
            </w:r>
          </w:p>
        </w:tc>
        <w:tc>
          <w:tcPr>
            <w:tcW w:w="4820" w:type="dxa"/>
          </w:tcPr>
          <w:p w14:paraId="129EFED1" w14:textId="77777777" w:rsidR="00BE2C1D" w:rsidRPr="00BE2C1D" w:rsidRDefault="00BE2C1D" w:rsidP="00BE2C1D">
            <w:pPr>
              <w:rPr>
                <w:sz w:val="24"/>
                <w:szCs w:val="24"/>
              </w:rPr>
            </w:pPr>
            <w:r w:rsidRPr="00BE2C1D">
              <w:rPr>
                <w:sz w:val="24"/>
                <w:szCs w:val="24"/>
              </w:rPr>
              <w:t>Focus Group</w:t>
            </w:r>
          </w:p>
        </w:tc>
        <w:tc>
          <w:tcPr>
            <w:tcW w:w="2835" w:type="dxa"/>
          </w:tcPr>
          <w:p w14:paraId="78A25B35" w14:textId="77777777" w:rsidR="00BE2C1D" w:rsidRPr="00BE2C1D" w:rsidRDefault="00BE2C1D" w:rsidP="00BE2C1D">
            <w:pPr>
              <w:rPr>
                <w:sz w:val="24"/>
                <w:szCs w:val="24"/>
              </w:rPr>
            </w:pPr>
            <w:r w:rsidRPr="00BE2C1D">
              <w:rPr>
                <w:sz w:val="24"/>
                <w:szCs w:val="24"/>
              </w:rPr>
              <w:t>In person</w:t>
            </w:r>
          </w:p>
        </w:tc>
      </w:tr>
      <w:tr w:rsidR="00BE2C1D" w:rsidRPr="00BE2C1D" w14:paraId="5192DCD2" w14:textId="77777777" w:rsidTr="00BE2C1D">
        <w:tc>
          <w:tcPr>
            <w:tcW w:w="1129" w:type="dxa"/>
          </w:tcPr>
          <w:p w14:paraId="07CF12C1" w14:textId="77777777" w:rsidR="00BE2C1D" w:rsidRPr="00BE2C1D" w:rsidRDefault="00BE2C1D" w:rsidP="00BE2C1D">
            <w:pPr>
              <w:rPr>
                <w:sz w:val="24"/>
                <w:szCs w:val="24"/>
              </w:rPr>
            </w:pPr>
            <w:r w:rsidRPr="00BE2C1D">
              <w:rPr>
                <w:sz w:val="24"/>
                <w:szCs w:val="24"/>
              </w:rPr>
              <w:t>Rania</w:t>
            </w:r>
          </w:p>
        </w:tc>
        <w:tc>
          <w:tcPr>
            <w:tcW w:w="4820" w:type="dxa"/>
          </w:tcPr>
          <w:p w14:paraId="2E0F2745" w14:textId="77777777" w:rsidR="00BE2C1D" w:rsidRPr="00BE2C1D" w:rsidRDefault="00BE2C1D" w:rsidP="00BE2C1D">
            <w:pPr>
              <w:rPr>
                <w:sz w:val="24"/>
                <w:szCs w:val="24"/>
              </w:rPr>
            </w:pPr>
            <w:r w:rsidRPr="00BE2C1D">
              <w:rPr>
                <w:sz w:val="24"/>
                <w:szCs w:val="24"/>
              </w:rPr>
              <w:t>Pair Interview</w:t>
            </w:r>
          </w:p>
        </w:tc>
        <w:tc>
          <w:tcPr>
            <w:tcW w:w="2835" w:type="dxa"/>
          </w:tcPr>
          <w:p w14:paraId="16623B8A" w14:textId="77777777" w:rsidR="00BE2C1D" w:rsidRPr="00BE2C1D" w:rsidRDefault="00BE2C1D" w:rsidP="00BE2C1D">
            <w:pPr>
              <w:rPr>
                <w:sz w:val="24"/>
                <w:szCs w:val="24"/>
              </w:rPr>
            </w:pPr>
            <w:r w:rsidRPr="00BE2C1D">
              <w:rPr>
                <w:sz w:val="24"/>
                <w:szCs w:val="24"/>
              </w:rPr>
              <w:t>In person</w:t>
            </w:r>
          </w:p>
        </w:tc>
      </w:tr>
      <w:tr w:rsidR="00BE2C1D" w:rsidRPr="00BE2C1D" w14:paraId="05088335" w14:textId="77777777" w:rsidTr="00BE2C1D">
        <w:tc>
          <w:tcPr>
            <w:tcW w:w="1129" w:type="dxa"/>
          </w:tcPr>
          <w:p w14:paraId="0A2E4D44" w14:textId="77777777" w:rsidR="00BE2C1D" w:rsidRPr="00BE2C1D" w:rsidRDefault="00BE2C1D" w:rsidP="00BE2C1D">
            <w:pPr>
              <w:rPr>
                <w:sz w:val="24"/>
                <w:szCs w:val="24"/>
              </w:rPr>
            </w:pPr>
            <w:r w:rsidRPr="00BE2C1D">
              <w:rPr>
                <w:sz w:val="24"/>
                <w:szCs w:val="24"/>
              </w:rPr>
              <w:t>Lynn</w:t>
            </w:r>
            <w:r w:rsidRPr="00BE2C1D">
              <w:rPr>
                <w:sz w:val="24"/>
                <w:szCs w:val="24"/>
                <w:vertAlign w:val="superscript"/>
              </w:rPr>
              <w:footnoteReference w:id="56"/>
            </w:r>
          </w:p>
        </w:tc>
        <w:tc>
          <w:tcPr>
            <w:tcW w:w="4820" w:type="dxa"/>
          </w:tcPr>
          <w:p w14:paraId="2D56EF8A" w14:textId="77777777" w:rsidR="00BE2C1D" w:rsidRPr="00BE2C1D" w:rsidRDefault="00BE2C1D" w:rsidP="00BE2C1D">
            <w:pPr>
              <w:rPr>
                <w:sz w:val="24"/>
                <w:szCs w:val="24"/>
              </w:rPr>
            </w:pPr>
            <w:r w:rsidRPr="00BE2C1D">
              <w:rPr>
                <w:sz w:val="24"/>
                <w:szCs w:val="24"/>
              </w:rPr>
              <w:t>Pair interview</w:t>
            </w:r>
          </w:p>
        </w:tc>
        <w:tc>
          <w:tcPr>
            <w:tcW w:w="2835" w:type="dxa"/>
          </w:tcPr>
          <w:p w14:paraId="7B303FB2" w14:textId="77777777" w:rsidR="00BE2C1D" w:rsidRPr="00BE2C1D" w:rsidRDefault="00BE2C1D" w:rsidP="00BE2C1D">
            <w:pPr>
              <w:rPr>
                <w:sz w:val="24"/>
                <w:szCs w:val="24"/>
              </w:rPr>
            </w:pPr>
            <w:r w:rsidRPr="00BE2C1D">
              <w:rPr>
                <w:sz w:val="24"/>
                <w:szCs w:val="24"/>
              </w:rPr>
              <w:t>In person</w:t>
            </w:r>
          </w:p>
        </w:tc>
      </w:tr>
      <w:tr w:rsidR="00BE2C1D" w:rsidRPr="00BE2C1D" w14:paraId="389690F3" w14:textId="77777777" w:rsidTr="00BE2C1D">
        <w:tc>
          <w:tcPr>
            <w:tcW w:w="1129" w:type="dxa"/>
          </w:tcPr>
          <w:p w14:paraId="329E3F54" w14:textId="77777777" w:rsidR="00BE2C1D" w:rsidRPr="00BE2C1D" w:rsidRDefault="00BE2C1D" w:rsidP="00BE2C1D">
            <w:pPr>
              <w:rPr>
                <w:sz w:val="24"/>
                <w:szCs w:val="24"/>
              </w:rPr>
            </w:pPr>
            <w:r w:rsidRPr="00BE2C1D">
              <w:rPr>
                <w:sz w:val="24"/>
                <w:szCs w:val="24"/>
              </w:rPr>
              <w:t>George</w:t>
            </w:r>
          </w:p>
        </w:tc>
        <w:tc>
          <w:tcPr>
            <w:tcW w:w="4820" w:type="dxa"/>
          </w:tcPr>
          <w:p w14:paraId="7BF04065" w14:textId="77777777" w:rsidR="00BE2C1D" w:rsidRPr="00BE2C1D" w:rsidRDefault="00BE2C1D" w:rsidP="00BE2C1D">
            <w:pPr>
              <w:spacing w:line="360" w:lineRule="auto"/>
              <w:jc w:val="both"/>
              <w:rPr>
                <w:sz w:val="24"/>
                <w:szCs w:val="24"/>
              </w:rPr>
            </w:pPr>
            <w:r w:rsidRPr="00BE2C1D">
              <w:rPr>
                <w:sz w:val="24"/>
                <w:szCs w:val="24"/>
              </w:rPr>
              <w:t>Interview</w:t>
            </w:r>
          </w:p>
          <w:p w14:paraId="4AE35C73" w14:textId="77777777" w:rsidR="00BE2C1D" w:rsidRPr="00BE2C1D" w:rsidRDefault="00BE2C1D" w:rsidP="00BE2C1D">
            <w:pPr>
              <w:rPr>
                <w:sz w:val="24"/>
                <w:szCs w:val="24"/>
              </w:rPr>
            </w:pPr>
            <w:r w:rsidRPr="00BE2C1D">
              <w:rPr>
                <w:sz w:val="24"/>
                <w:szCs w:val="24"/>
              </w:rPr>
              <w:t>(mother present)</w:t>
            </w:r>
          </w:p>
        </w:tc>
        <w:tc>
          <w:tcPr>
            <w:tcW w:w="2835" w:type="dxa"/>
          </w:tcPr>
          <w:p w14:paraId="0F5E8810" w14:textId="77777777" w:rsidR="00BE2C1D" w:rsidRPr="00BE2C1D" w:rsidRDefault="00BE2C1D" w:rsidP="00BE2C1D">
            <w:pPr>
              <w:rPr>
                <w:sz w:val="24"/>
                <w:szCs w:val="24"/>
              </w:rPr>
            </w:pPr>
            <w:r w:rsidRPr="00BE2C1D">
              <w:rPr>
                <w:sz w:val="24"/>
                <w:szCs w:val="24"/>
              </w:rPr>
              <w:t>Skype</w:t>
            </w:r>
          </w:p>
        </w:tc>
      </w:tr>
      <w:tr w:rsidR="00BE2C1D" w:rsidRPr="00BE2C1D" w14:paraId="10DF1642" w14:textId="77777777" w:rsidTr="00BE2C1D">
        <w:tc>
          <w:tcPr>
            <w:tcW w:w="1129" w:type="dxa"/>
          </w:tcPr>
          <w:p w14:paraId="03438A88" w14:textId="77777777" w:rsidR="00BE2C1D" w:rsidRPr="00BE2C1D" w:rsidRDefault="00BE2C1D" w:rsidP="00BE2C1D">
            <w:pPr>
              <w:rPr>
                <w:sz w:val="24"/>
                <w:szCs w:val="24"/>
              </w:rPr>
            </w:pPr>
            <w:r w:rsidRPr="00BE2C1D">
              <w:rPr>
                <w:sz w:val="24"/>
                <w:szCs w:val="24"/>
              </w:rPr>
              <w:t>Harry</w:t>
            </w:r>
          </w:p>
        </w:tc>
        <w:tc>
          <w:tcPr>
            <w:tcW w:w="4820" w:type="dxa"/>
          </w:tcPr>
          <w:p w14:paraId="51262520" w14:textId="77777777" w:rsidR="00BE2C1D" w:rsidRPr="00BE2C1D" w:rsidRDefault="00BE2C1D" w:rsidP="00BE2C1D">
            <w:pPr>
              <w:spacing w:line="360" w:lineRule="auto"/>
              <w:jc w:val="both"/>
              <w:rPr>
                <w:sz w:val="24"/>
                <w:szCs w:val="24"/>
              </w:rPr>
            </w:pPr>
            <w:r w:rsidRPr="00BE2C1D">
              <w:rPr>
                <w:sz w:val="24"/>
                <w:szCs w:val="24"/>
              </w:rPr>
              <w:t>Interview</w:t>
            </w:r>
          </w:p>
          <w:p w14:paraId="3F6B0C6D" w14:textId="77777777" w:rsidR="00BE2C1D" w:rsidRPr="00BE2C1D" w:rsidRDefault="00BE2C1D" w:rsidP="00BE2C1D">
            <w:pPr>
              <w:rPr>
                <w:sz w:val="24"/>
                <w:szCs w:val="24"/>
              </w:rPr>
            </w:pPr>
            <w:r w:rsidRPr="00BE2C1D">
              <w:rPr>
                <w:sz w:val="24"/>
                <w:szCs w:val="24"/>
              </w:rPr>
              <w:t>(mother present)</w:t>
            </w:r>
          </w:p>
        </w:tc>
        <w:tc>
          <w:tcPr>
            <w:tcW w:w="2835" w:type="dxa"/>
          </w:tcPr>
          <w:p w14:paraId="08C88D3D" w14:textId="77777777" w:rsidR="00BE2C1D" w:rsidRPr="00BE2C1D" w:rsidRDefault="00BE2C1D" w:rsidP="00BE2C1D">
            <w:pPr>
              <w:rPr>
                <w:sz w:val="24"/>
                <w:szCs w:val="24"/>
              </w:rPr>
            </w:pPr>
            <w:r w:rsidRPr="00BE2C1D">
              <w:rPr>
                <w:sz w:val="24"/>
                <w:szCs w:val="24"/>
              </w:rPr>
              <w:t>Skype</w:t>
            </w:r>
          </w:p>
        </w:tc>
      </w:tr>
      <w:tr w:rsidR="00BE2C1D" w:rsidRPr="00BE2C1D" w14:paraId="33D5A9E4" w14:textId="77777777" w:rsidTr="00BE2C1D">
        <w:tc>
          <w:tcPr>
            <w:tcW w:w="1129" w:type="dxa"/>
          </w:tcPr>
          <w:p w14:paraId="5965A530" w14:textId="77777777" w:rsidR="00BE2C1D" w:rsidRPr="00BE2C1D" w:rsidRDefault="00BE2C1D" w:rsidP="00BE2C1D">
            <w:pPr>
              <w:rPr>
                <w:sz w:val="24"/>
                <w:szCs w:val="24"/>
              </w:rPr>
            </w:pPr>
            <w:r w:rsidRPr="00BE2C1D">
              <w:rPr>
                <w:sz w:val="24"/>
                <w:szCs w:val="24"/>
              </w:rPr>
              <w:t>Angela</w:t>
            </w:r>
          </w:p>
        </w:tc>
        <w:tc>
          <w:tcPr>
            <w:tcW w:w="4820" w:type="dxa"/>
          </w:tcPr>
          <w:p w14:paraId="2B7EF9A8" w14:textId="77777777" w:rsidR="00BE2C1D" w:rsidRPr="00BE2C1D" w:rsidRDefault="00BE2C1D" w:rsidP="00BE2C1D">
            <w:pPr>
              <w:spacing w:line="360" w:lineRule="auto"/>
              <w:jc w:val="both"/>
              <w:rPr>
                <w:sz w:val="24"/>
                <w:szCs w:val="24"/>
              </w:rPr>
            </w:pPr>
            <w:r w:rsidRPr="00BE2C1D">
              <w:rPr>
                <w:sz w:val="24"/>
                <w:szCs w:val="24"/>
              </w:rPr>
              <w:t xml:space="preserve">Interview </w:t>
            </w:r>
          </w:p>
          <w:p w14:paraId="413C65FE" w14:textId="77777777" w:rsidR="00BE2C1D" w:rsidRPr="00BE2C1D" w:rsidRDefault="00BE2C1D" w:rsidP="00BE2C1D">
            <w:pPr>
              <w:rPr>
                <w:sz w:val="24"/>
                <w:szCs w:val="24"/>
              </w:rPr>
            </w:pPr>
            <w:r w:rsidRPr="00BE2C1D">
              <w:rPr>
                <w:sz w:val="24"/>
                <w:szCs w:val="24"/>
              </w:rPr>
              <w:t>(mother present)</w:t>
            </w:r>
          </w:p>
        </w:tc>
        <w:tc>
          <w:tcPr>
            <w:tcW w:w="2835" w:type="dxa"/>
          </w:tcPr>
          <w:p w14:paraId="45219172" w14:textId="77777777" w:rsidR="00BE2C1D" w:rsidRPr="00BE2C1D" w:rsidRDefault="00BE2C1D" w:rsidP="00BE2C1D">
            <w:pPr>
              <w:rPr>
                <w:sz w:val="24"/>
                <w:szCs w:val="24"/>
              </w:rPr>
            </w:pPr>
            <w:r w:rsidRPr="00BE2C1D">
              <w:rPr>
                <w:sz w:val="24"/>
                <w:szCs w:val="24"/>
              </w:rPr>
              <w:t>Skype</w:t>
            </w:r>
          </w:p>
        </w:tc>
      </w:tr>
      <w:tr w:rsidR="00BE2C1D" w:rsidRPr="00BE2C1D" w14:paraId="5A902412" w14:textId="77777777" w:rsidTr="00BE2C1D">
        <w:tc>
          <w:tcPr>
            <w:tcW w:w="1129" w:type="dxa"/>
          </w:tcPr>
          <w:p w14:paraId="26E363C0" w14:textId="77777777" w:rsidR="00BE2C1D" w:rsidRPr="00BE2C1D" w:rsidRDefault="00BE2C1D" w:rsidP="00BE2C1D">
            <w:r w:rsidRPr="00BE2C1D">
              <w:t>Christine</w:t>
            </w:r>
          </w:p>
        </w:tc>
        <w:tc>
          <w:tcPr>
            <w:tcW w:w="4820" w:type="dxa"/>
          </w:tcPr>
          <w:p w14:paraId="7C768102" w14:textId="77777777" w:rsidR="00BE2C1D" w:rsidRPr="00BE2C1D" w:rsidRDefault="00BE2C1D" w:rsidP="00BE2C1D">
            <w:r w:rsidRPr="00BE2C1D">
              <w:t>Interview (mother present)</w:t>
            </w:r>
          </w:p>
        </w:tc>
        <w:tc>
          <w:tcPr>
            <w:tcW w:w="2835" w:type="dxa"/>
          </w:tcPr>
          <w:p w14:paraId="694015C5" w14:textId="77777777" w:rsidR="00BE2C1D" w:rsidRPr="00BE2C1D" w:rsidRDefault="00BE2C1D" w:rsidP="00BE2C1D">
            <w:r w:rsidRPr="00BE2C1D">
              <w:t>Skype</w:t>
            </w:r>
          </w:p>
        </w:tc>
      </w:tr>
    </w:tbl>
    <w:p w14:paraId="66C4A9E4" w14:textId="77777777" w:rsidR="00BE2C1D" w:rsidRPr="00BE2C1D" w:rsidRDefault="00BE2C1D" w:rsidP="00BE2C1D"/>
    <w:p w14:paraId="21B68A7D" w14:textId="252AA51A" w:rsidR="00BE2C1D" w:rsidRPr="00BE2C1D" w:rsidRDefault="00CB0FF8" w:rsidP="00BE2C1D">
      <w:pPr>
        <w:rPr>
          <w:b/>
          <w:iCs/>
          <w:sz w:val="24"/>
          <w:szCs w:val="24"/>
        </w:rPr>
      </w:pPr>
      <w:r>
        <w:rPr>
          <w:b/>
          <w:iCs/>
          <w:sz w:val="24"/>
          <w:szCs w:val="24"/>
        </w:rPr>
        <w:t xml:space="preserve">Table 4: </w:t>
      </w:r>
      <w:r w:rsidR="00BE2C1D" w:rsidRPr="00BE2C1D">
        <w:rPr>
          <w:b/>
          <w:iCs/>
          <w:sz w:val="24"/>
          <w:szCs w:val="24"/>
        </w:rPr>
        <w:t>Methods the Adults Opted For</w:t>
      </w:r>
    </w:p>
    <w:tbl>
      <w:tblPr>
        <w:tblW w:w="8784" w:type="dxa"/>
        <w:tblLook w:val="04A0" w:firstRow="1" w:lastRow="0" w:firstColumn="1" w:lastColumn="0" w:noHBand="0" w:noVBand="1"/>
      </w:tblPr>
      <w:tblGrid>
        <w:gridCol w:w="2286"/>
        <w:gridCol w:w="3379"/>
        <w:gridCol w:w="3119"/>
      </w:tblGrid>
      <w:tr w:rsidR="00BE2C1D" w:rsidRPr="00BE2C1D" w14:paraId="74D7BBCB" w14:textId="77777777" w:rsidTr="00BE2C1D">
        <w:tc>
          <w:tcPr>
            <w:tcW w:w="2286" w:type="dxa"/>
          </w:tcPr>
          <w:p w14:paraId="72EB9E25" w14:textId="77777777" w:rsidR="00BE2C1D" w:rsidRPr="00BE2C1D" w:rsidRDefault="00BE2C1D" w:rsidP="00BE2C1D">
            <w:pPr>
              <w:rPr>
                <w:rFonts w:cstheme="minorHAnsi"/>
                <w:sz w:val="24"/>
                <w:szCs w:val="24"/>
              </w:rPr>
            </w:pPr>
            <w:r w:rsidRPr="00BE2C1D">
              <w:rPr>
                <w:rFonts w:cstheme="minorHAnsi"/>
                <w:sz w:val="24"/>
                <w:szCs w:val="24"/>
              </w:rPr>
              <w:t>Name</w:t>
            </w:r>
          </w:p>
        </w:tc>
        <w:tc>
          <w:tcPr>
            <w:tcW w:w="3379" w:type="dxa"/>
          </w:tcPr>
          <w:p w14:paraId="541EEF3F" w14:textId="77777777" w:rsidR="00BE2C1D" w:rsidRPr="00BE2C1D" w:rsidRDefault="00BE2C1D" w:rsidP="00BE2C1D">
            <w:pPr>
              <w:rPr>
                <w:rFonts w:cstheme="minorHAnsi"/>
                <w:sz w:val="24"/>
                <w:szCs w:val="24"/>
              </w:rPr>
            </w:pPr>
            <w:r w:rsidRPr="00BE2C1D">
              <w:rPr>
                <w:rFonts w:cstheme="minorHAnsi"/>
                <w:sz w:val="24"/>
                <w:szCs w:val="24"/>
              </w:rPr>
              <w:t>Storytelling Method</w:t>
            </w:r>
          </w:p>
        </w:tc>
        <w:tc>
          <w:tcPr>
            <w:tcW w:w="3119" w:type="dxa"/>
          </w:tcPr>
          <w:p w14:paraId="41CD1CD4" w14:textId="77777777" w:rsidR="00BE2C1D" w:rsidRPr="00BE2C1D" w:rsidRDefault="00BE2C1D" w:rsidP="00BE2C1D">
            <w:pPr>
              <w:rPr>
                <w:rFonts w:cstheme="minorHAnsi"/>
                <w:sz w:val="24"/>
                <w:szCs w:val="24"/>
              </w:rPr>
            </w:pPr>
            <w:r w:rsidRPr="00BE2C1D">
              <w:rPr>
                <w:rFonts w:cstheme="minorHAnsi"/>
                <w:sz w:val="24"/>
                <w:szCs w:val="24"/>
              </w:rPr>
              <w:t>Medium</w:t>
            </w:r>
          </w:p>
        </w:tc>
      </w:tr>
      <w:tr w:rsidR="00BE2C1D" w:rsidRPr="00BE2C1D" w14:paraId="61FC5936" w14:textId="77777777" w:rsidTr="00BE2C1D">
        <w:tc>
          <w:tcPr>
            <w:tcW w:w="2286" w:type="dxa"/>
          </w:tcPr>
          <w:p w14:paraId="134C3F3A" w14:textId="77777777" w:rsidR="00BE2C1D" w:rsidRPr="00BE2C1D" w:rsidRDefault="00BE2C1D" w:rsidP="00BE2C1D">
            <w:pPr>
              <w:rPr>
                <w:rFonts w:cstheme="minorHAnsi"/>
                <w:sz w:val="24"/>
                <w:szCs w:val="24"/>
              </w:rPr>
            </w:pPr>
            <w:r w:rsidRPr="00BE2C1D">
              <w:rPr>
                <w:rFonts w:cstheme="minorHAnsi"/>
                <w:sz w:val="24"/>
                <w:szCs w:val="24"/>
              </w:rPr>
              <w:t>Rachael</w:t>
            </w:r>
          </w:p>
        </w:tc>
        <w:tc>
          <w:tcPr>
            <w:tcW w:w="3379" w:type="dxa"/>
          </w:tcPr>
          <w:p w14:paraId="6F225DDF" w14:textId="77777777" w:rsidR="00BE2C1D" w:rsidRPr="00BE2C1D" w:rsidRDefault="00BE2C1D" w:rsidP="00BE2C1D">
            <w:pPr>
              <w:rPr>
                <w:rFonts w:cstheme="minorHAnsi"/>
                <w:sz w:val="24"/>
                <w:szCs w:val="24"/>
              </w:rPr>
            </w:pPr>
            <w:r w:rsidRPr="00BE2C1D">
              <w:rPr>
                <w:rFonts w:cstheme="minorHAnsi"/>
                <w:sz w:val="24"/>
                <w:szCs w:val="24"/>
              </w:rPr>
              <w:t>Interview</w:t>
            </w:r>
          </w:p>
        </w:tc>
        <w:tc>
          <w:tcPr>
            <w:tcW w:w="3119" w:type="dxa"/>
          </w:tcPr>
          <w:p w14:paraId="147830FF" w14:textId="77777777" w:rsidR="00BE2C1D" w:rsidRPr="00BE2C1D" w:rsidRDefault="00BE2C1D" w:rsidP="00BE2C1D">
            <w:pPr>
              <w:rPr>
                <w:rFonts w:cstheme="minorHAnsi"/>
                <w:sz w:val="24"/>
                <w:szCs w:val="24"/>
              </w:rPr>
            </w:pPr>
            <w:r w:rsidRPr="00BE2C1D">
              <w:rPr>
                <w:rFonts w:cstheme="minorHAnsi"/>
                <w:sz w:val="24"/>
                <w:szCs w:val="24"/>
              </w:rPr>
              <w:t>In person</w:t>
            </w:r>
          </w:p>
        </w:tc>
      </w:tr>
      <w:tr w:rsidR="00BE2C1D" w:rsidRPr="00BE2C1D" w14:paraId="623172F2" w14:textId="77777777" w:rsidTr="00BE2C1D">
        <w:tc>
          <w:tcPr>
            <w:tcW w:w="2286" w:type="dxa"/>
          </w:tcPr>
          <w:p w14:paraId="28F75DC3" w14:textId="77777777" w:rsidR="00BE2C1D" w:rsidRPr="00BE2C1D" w:rsidRDefault="00BE2C1D" w:rsidP="00BE2C1D">
            <w:pPr>
              <w:rPr>
                <w:rFonts w:cstheme="minorHAnsi"/>
                <w:sz w:val="24"/>
                <w:szCs w:val="24"/>
              </w:rPr>
            </w:pPr>
            <w:r w:rsidRPr="00BE2C1D">
              <w:rPr>
                <w:rFonts w:cstheme="minorHAnsi"/>
                <w:sz w:val="24"/>
                <w:szCs w:val="24"/>
              </w:rPr>
              <w:t>Paul</w:t>
            </w:r>
          </w:p>
        </w:tc>
        <w:tc>
          <w:tcPr>
            <w:tcW w:w="3379" w:type="dxa"/>
          </w:tcPr>
          <w:p w14:paraId="34D4BFF5" w14:textId="77777777" w:rsidR="00BE2C1D" w:rsidRPr="00BE2C1D" w:rsidRDefault="00BE2C1D" w:rsidP="00BE2C1D">
            <w:pPr>
              <w:rPr>
                <w:rFonts w:cstheme="minorHAnsi"/>
                <w:sz w:val="24"/>
                <w:szCs w:val="24"/>
              </w:rPr>
            </w:pPr>
            <w:r w:rsidRPr="00BE2C1D">
              <w:rPr>
                <w:rFonts w:cstheme="minorHAnsi"/>
                <w:sz w:val="24"/>
                <w:szCs w:val="24"/>
              </w:rPr>
              <w:t>Interview</w:t>
            </w:r>
          </w:p>
        </w:tc>
        <w:tc>
          <w:tcPr>
            <w:tcW w:w="3119" w:type="dxa"/>
          </w:tcPr>
          <w:p w14:paraId="60D4E3BB" w14:textId="77777777" w:rsidR="00BE2C1D" w:rsidRPr="00BE2C1D" w:rsidRDefault="00BE2C1D" w:rsidP="00BE2C1D">
            <w:pPr>
              <w:rPr>
                <w:rFonts w:cstheme="minorHAnsi"/>
                <w:sz w:val="24"/>
                <w:szCs w:val="24"/>
              </w:rPr>
            </w:pPr>
            <w:r w:rsidRPr="00BE2C1D">
              <w:rPr>
                <w:rFonts w:cstheme="minorHAnsi"/>
                <w:sz w:val="24"/>
                <w:szCs w:val="24"/>
              </w:rPr>
              <w:t>Skype</w:t>
            </w:r>
          </w:p>
        </w:tc>
      </w:tr>
      <w:tr w:rsidR="00BE2C1D" w:rsidRPr="00BE2C1D" w14:paraId="2C822317" w14:textId="77777777" w:rsidTr="00BE2C1D">
        <w:tc>
          <w:tcPr>
            <w:tcW w:w="2286" w:type="dxa"/>
          </w:tcPr>
          <w:p w14:paraId="1E138AFA" w14:textId="77777777" w:rsidR="00BE2C1D" w:rsidRPr="00BE2C1D" w:rsidRDefault="00BE2C1D" w:rsidP="00BE2C1D">
            <w:pPr>
              <w:rPr>
                <w:rFonts w:cstheme="minorHAnsi"/>
                <w:sz w:val="24"/>
                <w:szCs w:val="24"/>
              </w:rPr>
            </w:pPr>
            <w:r w:rsidRPr="00BE2C1D">
              <w:rPr>
                <w:rFonts w:cstheme="minorHAnsi"/>
                <w:sz w:val="24"/>
                <w:szCs w:val="24"/>
              </w:rPr>
              <w:lastRenderedPageBreak/>
              <w:t>Nick</w:t>
            </w:r>
          </w:p>
        </w:tc>
        <w:tc>
          <w:tcPr>
            <w:tcW w:w="3379" w:type="dxa"/>
          </w:tcPr>
          <w:p w14:paraId="6EC76339" w14:textId="77777777" w:rsidR="00BE2C1D" w:rsidRPr="00BE2C1D" w:rsidRDefault="00BE2C1D" w:rsidP="00BE2C1D">
            <w:pPr>
              <w:rPr>
                <w:rFonts w:cstheme="minorHAnsi"/>
                <w:sz w:val="24"/>
                <w:szCs w:val="24"/>
              </w:rPr>
            </w:pPr>
            <w:r w:rsidRPr="00BE2C1D">
              <w:rPr>
                <w:rFonts w:cstheme="minorHAnsi"/>
                <w:sz w:val="24"/>
                <w:szCs w:val="24"/>
              </w:rPr>
              <w:t>Interview</w:t>
            </w:r>
          </w:p>
        </w:tc>
        <w:tc>
          <w:tcPr>
            <w:tcW w:w="3119" w:type="dxa"/>
          </w:tcPr>
          <w:p w14:paraId="723669B4" w14:textId="77777777" w:rsidR="00BE2C1D" w:rsidRPr="00BE2C1D" w:rsidRDefault="00BE2C1D" w:rsidP="00BE2C1D">
            <w:pPr>
              <w:rPr>
                <w:rFonts w:cstheme="minorHAnsi"/>
                <w:sz w:val="24"/>
                <w:szCs w:val="24"/>
              </w:rPr>
            </w:pPr>
            <w:r w:rsidRPr="00BE2C1D">
              <w:rPr>
                <w:rFonts w:cstheme="minorHAnsi"/>
                <w:sz w:val="24"/>
                <w:szCs w:val="24"/>
              </w:rPr>
              <w:t>Skype (Camera off)</w:t>
            </w:r>
          </w:p>
        </w:tc>
      </w:tr>
      <w:tr w:rsidR="00BE2C1D" w:rsidRPr="00BE2C1D" w14:paraId="40DD3B36" w14:textId="77777777" w:rsidTr="00BE2C1D">
        <w:tc>
          <w:tcPr>
            <w:tcW w:w="2286" w:type="dxa"/>
          </w:tcPr>
          <w:p w14:paraId="1788F735" w14:textId="77777777" w:rsidR="00BE2C1D" w:rsidRPr="00BE2C1D" w:rsidRDefault="00BE2C1D" w:rsidP="00BE2C1D">
            <w:pPr>
              <w:rPr>
                <w:rFonts w:cstheme="minorHAnsi"/>
                <w:sz w:val="24"/>
                <w:szCs w:val="24"/>
              </w:rPr>
            </w:pPr>
            <w:r w:rsidRPr="00BE2C1D">
              <w:rPr>
                <w:rFonts w:cstheme="minorHAnsi"/>
                <w:sz w:val="24"/>
                <w:szCs w:val="24"/>
              </w:rPr>
              <w:t>Michael</w:t>
            </w:r>
          </w:p>
        </w:tc>
        <w:tc>
          <w:tcPr>
            <w:tcW w:w="3379" w:type="dxa"/>
          </w:tcPr>
          <w:p w14:paraId="7C807B86" w14:textId="77777777" w:rsidR="00BE2C1D" w:rsidRPr="00BE2C1D" w:rsidRDefault="00BE2C1D" w:rsidP="00BE2C1D">
            <w:pPr>
              <w:rPr>
                <w:rFonts w:cstheme="minorHAnsi"/>
                <w:sz w:val="24"/>
                <w:szCs w:val="24"/>
              </w:rPr>
            </w:pPr>
            <w:r w:rsidRPr="00BE2C1D">
              <w:rPr>
                <w:rFonts w:cstheme="minorHAnsi"/>
                <w:sz w:val="24"/>
                <w:szCs w:val="24"/>
              </w:rPr>
              <w:t>Pair interview</w:t>
            </w:r>
          </w:p>
        </w:tc>
        <w:tc>
          <w:tcPr>
            <w:tcW w:w="3119" w:type="dxa"/>
          </w:tcPr>
          <w:p w14:paraId="680FCAA0" w14:textId="77777777" w:rsidR="00BE2C1D" w:rsidRPr="00BE2C1D" w:rsidRDefault="00BE2C1D" w:rsidP="00BE2C1D">
            <w:pPr>
              <w:rPr>
                <w:rFonts w:cstheme="minorHAnsi"/>
                <w:sz w:val="24"/>
                <w:szCs w:val="24"/>
              </w:rPr>
            </w:pPr>
            <w:r w:rsidRPr="00BE2C1D">
              <w:rPr>
                <w:rFonts w:cstheme="minorHAnsi"/>
                <w:sz w:val="24"/>
                <w:szCs w:val="24"/>
              </w:rPr>
              <w:t>Skype</w:t>
            </w:r>
          </w:p>
        </w:tc>
      </w:tr>
      <w:tr w:rsidR="00BE2C1D" w:rsidRPr="00BE2C1D" w14:paraId="47FEB92F" w14:textId="77777777" w:rsidTr="00BE2C1D">
        <w:tc>
          <w:tcPr>
            <w:tcW w:w="2286" w:type="dxa"/>
          </w:tcPr>
          <w:p w14:paraId="02354D5B" w14:textId="77777777" w:rsidR="00BE2C1D" w:rsidRPr="00BE2C1D" w:rsidRDefault="00BE2C1D" w:rsidP="00BE2C1D">
            <w:pPr>
              <w:rPr>
                <w:rFonts w:cstheme="minorHAnsi"/>
                <w:sz w:val="24"/>
                <w:szCs w:val="24"/>
              </w:rPr>
            </w:pPr>
            <w:r w:rsidRPr="00BE2C1D">
              <w:rPr>
                <w:rFonts w:cstheme="minorHAnsi"/>
                <w:sz w:val="24"/>
                <w:szCs w:val="24"/>
              </w:rPr>
              <w:t>Alice</w:t>
            </w:r>
            <w:r w:rsidRPr="00BE2C1D">
              <w:rPr>
                <w:rFonts w:cstheme="minorHAnsi"/>
                <w:sz w:val="24"/>
                <w:szCs w:val="24"/>
                <w:vertAlign w:val="superscript"/>
              </w:rPr>
              <w:footnoteReference w:id="57"/>
            </w:r>
          </w:p>
        </w:tc>
        <w:tc>
          <w:tcPr>
            <w:tcW w:w="3379" w:type="dxa"/>
          </w:tcPr>
          <w:p w14:paraId="51E53B27" w14:textId="77777777" w:rsidR="00BE2C1D" w:rsidRPr="00BE2C1D" w:rsidRDefault="00BE2C1D" w:rsidP="00BE2C1D">
            <w:pPr>
              <w:rPr>
                <w:rFonts w:cstheme="minorHAnsi"/>
                <w:sz w:val="24"/>
                <w:szCs w:val="24"/>
              </w:rPr>
            </w:pPr>
            <w:r w:rsidRPr="00BE2C1D">
              <w:rPr>
                <w:rFonts w:cstheme="minorHAnsi"/>
                <w:sz w:val="24"/>
                <w:szCs w:val="24"/>
              </w:rPr>
              <w:t>Pair interview</w:t>
            </w:r>
          </w:p>
        </w:tc>
        <w:tc>
          <w:tcPr>
            <w:tcW w:w="3119" w:type="dxa"/>
          </w:tcPr>
          <w:p w14:paraId="621B2F9E" w14:textId="77777777" w:rsidR="00BE2C1D" w:rsidRPr="00BE2C1D" w:rsidRDefault="00BE2C1D" w:rsidP="00BE2C1D">
            <w:pPr>
              <w:rPr>
                <w:rFonts w:cstheme="minorHAnsi"/>
                <w:sz w:val="24"/>
                <w:szCs w:val="24"/>
              </w:rPr>
            </w:pPr>
            <w:r w:rsidRPr="00BE2C1D">
              <w:rPr>
                <w:rFonts w:cstheme="minorHAnsi"/>
                <w:sz w:val="24"/>
                <w:szCs w:val="24"/>
              </w:rPr>
              <w:t>Skype</w:t>
            </w:r>
          </w:p>
        </w:tc>
      </w:tr>
      <w:tr w:rsidR="00BE2C1D" w:rsidRPr="00BE2C1D" w14:paraId="26DA38E6" w14:textId="77777777" w:rsidTr="00BE2C1D">
        <w:tc>
          <w:tcPr>
            <w:tcW w:w="2286" w:type="dxa"/>
          </w:tcPr>
          <w:p w14:paraId="1213126C" w14:textId="77777777" w:rsidR="00BE2C1D" w:rsidRPr="00BE2C1D" w:rsidRDefault="00BE2C1D" w:rsidP="00BE2C1D">
            <w:pPr>
              <w:rPr>
                <w:rFonts w:cstheme="minorHAnsi"/>
                <w:sz w:val="24"/>
                <w:szCs w:val="24"/>
              </w:rPr>
            </w:pPr>
            <w:r w:rsidRPr="00BE2C1D">
              <w:rPr>
                <w:rFonts w:cstheme="minorHAnsi"/>
                <w:sz w:val="24"/>
                <w:szCs w:val="24"/>
              </w:rPr>
              <w:t>Melrose</w:t>
            </w:r>
          </w:p>
        </w:tc>
        <w:tc>
          <w:tcPr>
            <w:tcW w:w="3379" w:type="dxa"/>
          </w:tcPr>
          <w:p w14:paraId="00B6849E" w14:textId="77777777" w:rsidR="00BE2C1D" w:rsidRPr="00BE2C1D" w:rsidRDefault="00BE2C1D" w:rsidP="00BE2C1D">
            <w:pPr>
              <w:rPr>
                <w:rFonts w:cstheme="minorHAnsi"/>
                <w:sz w:val="24"/>
                <w:szCs w:val="24"/>
              </w:rPr>
            </w:pPr>
            <w:r w:rsidRPr="00BE2C1D">
              <w:rPr>
                <w:rFonts w:cstheme="minorHAnsi"/>
                <w:sz w:val="24"/>
                <w:szCs w:val="24"/>
              </w:rPr>
              <w:t>Interview</w:t>
            </w:r>
          </w:p>
        </w:tc>
        <w:tc>
          <w:tcPr>
            <w:tcW w:w="3119" w:type="dxa"/>
          </w:tcPr>
          <w:p w14:paraId="750A4A88" w14:textId="77777777" w:rsidR="00BE2C1D" w:rsidRPr="00BE2C1D" w:rsidRDefault="00BE2C1D" w:rsidP="00BE2C1D">
            <w:pPr>
              <w:rPr>
                <w:rFonts w:cstheme="minorHAnsi"/>
                <w:sz w:val="24"/>
                <w:szCs w:val="24"/>
              </w:rPr>
            </w:pPr>
            <w:r w:rsidRPr="00BE2C1D">
              <w:rPr>
                <w:rFonts w:cstheme="minorHAnsi"/>
                <w:sz w:val="24"/>
                <w:szCs w:val="24"/>
              </w:rPr>
              <w:t>In person</w:t>
            </w:r>
          </w:p>
        </w:tc>
      </w:tr>
      <w:tr w:rsidR="00BE2C1D" w:rsidRPr="00BE2C1D" w14:paraId="3ABD4BA2" w14:textId="77777777" w:rsidTr="00BE2C1D">
        <w:tc>
          <w:tcPr>
            <w:tcW w:w="2286" w:type="dxa"/>
          </w:tcPr>
          <w:p w14:paraId="1CC58761" w14:textId="77777777" w:rsidR="00BE2C1D" w:rsidRPr="00BE2C1D" w:rsidRDefault="00BE2C1D" w:rsidP="00BE2C1D">
            <w:pPr>
              <w:rPr>
                <w:rFonts w:cstheme="minorHAnsi"/>
                <w:sz w:val="24"/>
                <w:szCs w:val="24"/>
              </w:rPr>
            </w:pPr>
            <w:r w:rsidRPr="00BE2C1D">
              <w:rPr>
                <w:rFonts w:cstheme="minorHAnsi"/>
                <w:sz w:val="24"/>
                <w:szCs w:val="24"/>
              </w:rPr>
              <w:t>Ryan</w:t>
            </w:r>
          </w:p>
        </w:tc>
        <w:tc>
          <w:tcPr>
            <w:tcW w:w="3379" w:type="dxa"/>
          </w:tcPr>
          <w:p w14:paraId="60E75413" w14:textId="77777777" w:rsidR="00BE2C1D" w:rsidRPr="00BE2C1D" w:rsidRDefault="00BE2C1D" w:rsidP="00BE2C1D">
            <w:pPr>
              <w:rPr>
                <w:rFonts w:cstheme="minorHAnsi"/>
                <w:sz w:val="24"/>
                <w:szCs w:val="24"/>
              </w:rPr>
            </w:pPr>
            <w:r w:rsidRPr="00BE2C1D">
              <w:rPr>
                <w:rFonts w:cstheme="minorHAnsi"/>
                <w:sz w:val="24"/>
                <w:szCs w:val="24"/>
              </w:rPr>
              <w:t>Visual story/</w:t>
            </w:r>
          </w:p>
          <w:p w14:paraId="259153D1" w14:textId="77777777" w:rsidR="00BE2C1D" w:rsidRPr="00BE2C1D" w:rsidRDefault="00BE2C1D" w:rsidP="00BE2C1D">
            <w:pPr>
              <w:rPr>
                <w:rFonts w:cstheme="minorHAnsi"/>
                <w:sz w:val="24"/>
                <w:szCs w:val="24"/>
              </w:rPr>
            </w:pPr>
            <w:r w:rsidRPr="00BE2C1D">
              <w:rPr>
                <w:rFonts w:cstheme="minorHAnsi"/>
                <w:sz w:val="24"/>
                <w:szCs w:val="24"/>
              </w:rPr>
              <w:t>Interview</w:t>
            </w:r>
          </w:p>
        </w:tc>
        <w:tc>
          <w:tcPr>
            <w:tcW w:w="3119" w:type="dxa"/>
          </w:tcPr>
          <w:p w14:paraId="53493684" w14:textId="77777777" w:rsidR="00BE2C1D" w:rsidRPr="00BE2C1D" w:rsidRDefault="00BE2C1D" w:rsidP="00BE2C1D">
            <w:pPr>
              <w:rPr>
                <w:rFonts w:cstheme="minorHAnsi"/>
                <w:sz w:val="24"/>
                <w:szCs w:val="24"/>
              </w:rPr>
            </w:pPr>
            <w:r w:rsidRPr="00BE2C1D">
              <w:rPr>
                <w:rFonts w:cstheme="minorHAnsi"/>
                <w:sz w:val="24"/>
                <w:szCs w:val="24"/>
              </w:rPr>
              <w:t>Email</w:t>
            </w:r>
          </w:p>
        </w:tc>
      </w:tr>
      <w:tr w:rsidR="00BE2C1D" w:rsidRPr="00BE2C1D" w14:paraId="37A4FCBB" w14:textId="77777777" w:rsidTr="00BE2C1D">
        <w:tc>
          <w:tcPr>
            <w:tcW w:w="2286" w:type="dxa"/>
          </w:tcPr>
          <w:p w14:paraId="0B0B4BFD" w14:textId="77777777" w:rsidR="00BE2C1D" w:rsidRPr="00BE2C1D" w:rsidRDefault="00BE2C1D" w:rsidP="00BE2C1D">
            <w:pPr>
              <w:rPr>
                <w:rFonts w:cstheme="minorHAnsi"/>
                <w:sz w:val="24"/>
                <w:szCs w:val="24"/>
              </w:rPr>
            </w:pPr>
            <w:r w:rsidRPr="00BE2C1D">
              <w:rPr>
                <w:rFonts w:cstheme="minorHAnsi"/>
                <w:sz w:val="24"/>
                <w:szCs w:val="24"/>
              </w:rPr>
              <w:t>Bill</w:t>
            </w:r>
          </w:p>
        </w:tc>
        <w:tc>
          <w:tcPr>
            <w:tcW w:w="3379" w:type="dxa"/>
          </w:tcPr>
          <w:p w14:paraId="4B6EDCFC" w14:textId="77777777" w:rsidR="00BE2C1D" w:rsidRPr="00BE2C1D" w:rsidRDefault="00BE2C1D" w:rsidP="00BE2C1D">
            <w:pPr>
              <w:rPr>
                <w:rFonts w:cstheme="minorHAnsi"/>
                <w:sz w:val="24"/>
                <w:szCs w:val="24"/>
              </w:rPr>
            </w:pPr>
            <w:r w:rsidRPr="00BE2C1D">
              <w:rPr>
                <w:rFonts w:cstheme="minorHAnsi"/>
                <w:sz w:val="24"/>
                <w:szCs w:val="24"/>
              </w:rPr>
              <w:t>Interview</w:t>
            </w:r>
          </w:p>
        </w:tc>
        <w:tc>
          <w:tcPr>
            <w:tcW w:w="3119" w:type="dxa"/>
          </w:tcPr>
          <w:p w14:paraId="77209299" w14:textId="77777777" w:rsidR="00BE2C1D" w:rsidRPr="00BE2C1D" w:rsidRDefault="00BE2C1D" w:rsidP="00BE2C1D">
            <w:pPr>
              <w:rPr>
                <w:rFonts w:cstheme="minorHAnsi"/>
                <w:sz w:val="24"/>
                <w:szCs w:val="24"/>
              </w:rPr>
            </w:pPr>
            <w:r w:rsidRPr="00BE2C1D">
              <w:rPr>
                <w:rFonts w:cstheme="minorHAnsi"/>
                <w:sz w:val="24"/>
                <w:szCs w:val="24"/>
              </w:rPr>
              <w:t>Email</w:t>
            </w:r>
          </w:p>
        </w:tc>
      </w:tr>
      <w:tr w:rsidR="00BE2C1D" w:rsidRPr="00BE2C1D" w14:paraId="5C184F5A" w14:textId="77777777" w:rsidTr="00BE2C1D">
        <w:tc>
          <w:tcPr>
            <w:tcW w:w="2286" w:type="dxa"/>
          </w:tcPr>
          <w:p w14:paraId="4F80633B" w14:textId="77777777" w:rsidR="00BE2C1D" w:rsidRPr="00BE2C1D" w:rsidRDefault="00BE2C1D" w:rsidP="00BE2C1D">
            <w:pPr>
              <w:rPr>
                <w:rFonts w:cstheme="minorHAnsi"/>
                <w:sz w:val="24"/>
                <w:szCs w:val="24"/>
              </w:rPr>
            </w:pPr>
            <w:r w:rsidRPr="00BE2C1D">
              <w:rPr>
                <w:rFonts w:cstheme="minorHAnsi"/>
                <w:sz w:val="24"/>
                <w:szCs w:val="24"/>
              </w:rPr>
              <w:t>Nathan</w:t>
            </w:r>
          </w:p>
        </w:tc>
        <w:tc>
          <w:tcPr>
            <w:tcW w:w="3379" w:type="dxa"/>
          </w:tcPr>
          <w:p w14:paraId="0B6BAB59" w14:textId="77777777" w:rsidR="00BE2C1D" w:rsidRPr="00BE2C1D" w:rsidRDefault="00BE2C1D" w:rsidP="00BE2C1D">
            <w:pPr>
              <w:rPr>
                <w:rFonts w:cstheme="minorHAnsi"/>
                <w:sz w:val="24"/>
                <w:szCs w:val="24"/>
              </w:rPr>
            </w:pPr>
            <w:r w:rsidRPr="00BE2C1D">
              <w:rPr>
                <w:rFonts w:cstheme="minorHAnsi"/>
                <w:sz w:val="24"/>
                <w:szCs w:val="24"/>
              </w:rPr>
              <w:t>Interview</w:t>
            </w:r>
          </w:p>
        </w:tc>
        <w:tc>
          <w:tcPr>
            <w:tcW w:w="3119" w:type="dxa"/>
          </w:tcPr>
          <w:p w14:paraId="3C9931CD" w14:textId="77777777" w:rsidR="00BE2C1D" w:rsidRPr="00BE2C1D" w:rsidRDefault="00BE2C1D" w:rsidP="00BE2C1D">
            <w:pPr>
              <w:rPr>
                <w:rFonts w:cstheme="minorHAnsi"/>
                <w:sz w:val="24"/>
                <w:szCs w:val="24"/>
              </w:rPr>
            </w:pPr>
            <w:r w:rsidRPr="00BE2C1D">
              <w:rPr>
                <w:rFonts w:cstheme="minorHAnsi"/>
                <w:sz w:val="24"/>
                <w:szCs w:val="24"/>
              </w:rPr>
              <w:t>Email</w:t>
            </w:r>
          </w:p>
        </w:tc>
      </w:tr>
      <w:tr w:rsidR="00BE2C1D" w:rsidRPr="00BE2C1D" w14:paraId="2CC01D6A" w14:textId="77777777" w:rsidTr="00BE2C1D">
        <w:tc>
          <w:tcPr>
            <w:tcW w:w="2286" w:type="dxa"/>
          </w:tcPr>
          <w:p w14:paraId="2BA90D48" w14:textId="77777777" w:rsidR="00BE2C1D" w:rsidRPr="00BE2C1D" w:rsidRDefault="00BE2C1D" w:rsidP="00BE2C1D">
            <w:pPr>
              <w:rPr>
                <w:rFonts w:cstheme="minorHAnsi"/>
                <w:sz w:val="24"/>
                <w:szCs w:val="24"/>
              </w:rPr>
            </w:pPr>
            <w:r w:rsidRPr="00BE2C1D">
              <w:rPr>
                <w:rFonts w:cstheme="minorHAnsi"/>
                <w:sz w:val="24"/>
                <w:szCs w:val="24"/>
              </w:rPr>
              <w:t>Patricia</w:t>
            </w:r>
          </w:p>
        </w:tc>
        <w:tc>
          <w:tcPr>
            <w:tcW w:w="3379" w:type="dxa"/>
          </w:tcPr>
          <w:p w14:paraId="0F6F57FA" w14:textId="77777777" w:rsidR="00BE2C1D" w:rsidRPr="00BE2C1D" w:rsidRDefault="00BE2C1D" w:rsidP="00BE2C1D">
            <w:pPr>
              <w:rPr>
                <w:rFonts w:cstheme="minorHAnsi"/>
                <w:sz w:val="24"/>
                <w:szCs w:val="24"/>
              </w:rPr>
            </w:pPr>
            <w:r w:rsidRPr="00BE2C1D">
              <w:rPr>
                <w:rFonts w:cstheme="minorHAnsi"/>
                <w:sz w:val="24"/>
                <w:szCs w:val="24"/>
              </w:rPr>
              <w:t>Interview</w:t>
            </w:r>
          </w:p>
        </w:tc>
        <w:tc>
          <w:tcPr>
            <w:tcW w:w="3119" w:type="dxa"/>
          </w:tcPr>
          <w:p w14:paraId="3D8EDCF9" w14:textId="77777777" w:rsidR="00BE2C1D" w:rsidRPr="00BE2C1D" w:rsidRDefault="00BE2C1D" w:rsidP="00BE2C1D">
            <w:pPr>
              <w:rPr>
                <w:rFonts w:cstheme="minorHAnsi"/>
                <w:sz w:val="24"/>
                <w:szCs w:val="24"/>
              </w:rPr>
            </w:pPr>
            <w:r w:rsidRPr="00BE2C1D">
              <w:rPr>
                <w:rFonts w:cstheme="minorHAnsi"/>
                <w:sz w:val="24"/>
                <w:szCs w:val="24"/>
              </w:rPr>
              <w:t>Skype</w:t>
            </w:r>
          </w:p>
        </w:tc>
      </w:tr>
      <w:tr w:rsidR="00BE2C1D" w:rsidRPr="00BE2C1D" w14:paraId="774F02CC" w14:textId="77777777" w:rsidTr="00BE2C1D">
        <w:tc>
          <w:tcPr>
            <w:tcW w:w="2286" w:type="dxa"/>
          </w:tcPr>
          <w:p w14:paraId="613546FE" w14:textId="77777777" w:rsidR="00BE2C1D" w:rsidRPr="00BE2C1D" w:rsidRDefault="00BE2C1D" w:rsidP="00BE2C1D">
            <w:pPr>
              <w:jc w:val="both"/>
              <w:rPr>
                <w:rFonts w:cstheme="minorHAnsi"/>
                <w:sz w:val="24"/>
                <w:szCs w:val="24"/>
              </w:rPr>
            </w:pPr>
            <w:r w:rsidRPr="00BE2C1D">
              <w:rPr>
                <w:rFonts w:cstheme="minorHAnsi"/>
                <w:sz w:val="24"/>
                <w:szCs w:val="24"/>
              </w:rPr>
              <w:t>Aphrodite</w:t>
            </w:r>
          </w:p>
        </w:tc>
        <w:tc>
          <w:tcPr>
            <w:tcW w:w="3379" w:type="dxa"/>
          </w:tcPr>
          <w:p w14:paraId="53F17628" w14:textId="77777777" w:rsidR="00BE2C1D" w:rsidRPr="00BE2C1D" w:rsidRDefault="00BE2C1D" w:rsidP="00BE2C1D">
            <w:pPr>
              <w:jc w:val="both"/>
              <w:rPr>
                <w:rFonts w:cstheme="minorHAnsi"/>
                <w:sz w:val="24"/>
                <w:szCs w:val="24"/>
              </w:rPr>
            </w:pPr>
            <w:r w:rsidRPr="00BE2C1D">
              <w:rPr>
                <w:rFonts w:cstheme="minorHAnsi"/>
                <w:sz w:val="24"/>
                <w:szCs w:val="24"/>
              </w:rPr>
              <w:t>Public Weblog</w:t>
            </w:r>
          </w:p>
        </w:tc>
        <w:tc>
          <w:tcPr>
            <w:tcW w:w="3119" w:type="dxa"/>
          </w:tcPr>
          <w:p w14:paraId="714ECE58" w14:textId="77777777" w:rsidR="00BE2C1D" w:rsidRPr="00BE2C1D" w:rsidRDefault="00BE2C1D" w:rsidP="00BE2C1D">
            <w:pPr>
              <w:jc w:val="both"/>
              <w:rPr>
                <w:rFonts w:cstheme="minorHAnsi"/>
                <w:sz w:val="24"/>
                <w:szCs w:val="24"/>
              </w:rPr>
            </w:pPr>
            <w:r w:rsidRPr="00BE2C1D">
              <w:rPr>
                <w:rFonts w:cstheme="minorHAnsi"/>
                <w:sz w:val="24"/>
                <w:szCs w:val="24"/>
              </w:rPr>
              <w:t>Online</w:t>
            </w:r>
          </w:p>
        </w:tc>
      </w:tr>
    </w:tbl>
    <w:p w14:paraId="2D2B3DA1" w14:textId="77777777" w:rsidR="00BE2C1D" w:rsidRPr="00BE2C1D" w:rsidRDefault="00BE2C1D" w:rsidP="00BE2C1D">
      <w:pPr>
        <w:spacing w:line="360" w:lineRule="auto"/>
        <w:jc w:val="both"/>
      </w:pPr>
    </w:p>
    <w:p w14:paraId="6EE80428" w14:textId="77777777" w:rsidR="00BE2C1D" w:rsidRPr="00BE2C1D" w:rsidRDefault="00BE2C1D" w:rsidP="00BE2C1D">
      <w:pPr>
        <w:spacing w:line="360" w:lineRule="auto"/>
        <w:jc w:val="both"/>
      </w:pPr>
      <w:r w:rsidRPr="00BE2C1D">
        <w:t xml:space="preserve">In the following sections, I provide a more detailed picture of the different forms that the fieldwork took and I divided this discussion into two parts: one focusing on the teenage participants and one on the adult participants. </w:t>
      </w:r>
    </w:p>
    <w:p w14:paraId="55F454FC" w14:textId="77777777" w:rsidR="00BE2C1D" w:rsidRPr="00BE2C1D" w:rsidRDefault="00BE2C1D" w:rsidP="00BE2C1D">
      <w:pPr>
        <w:keepNext/>
        <w:keepLines/>
        <w:spacing w:before="40" w:after="0" w:line="360" w:lineRule="auto"/>
        <w:outlineLvl w:val="2"/>
        <w:rPr>
          <w:rFonts w:asciiTheme="majorHAnsi" w:eastAsiaTheme="majorEastAsia" w:hAnsiTheme="majorHAnsi" w:cstheme="majorBidi"/>
          <w:color w:val="1F3763" w:themeColor="accent1" w:themeShade="7F"/>
          <w:sz w:val="24"/>
          <w:szCs w:val="24"/>
          <w:lang w:eastAsia="zh-CN"/>
        </w:rPr>
      </w:pPr>
      <w:bookmarkStart w:id="87" w:name="_Toc39585228"/>
      <w:r w:rsidRPr="00BE2C1D">
        <w:rPr>
          <w:rFonts w:asciiTheme="majorHAnsi" w:eastAsiaTheme="majorEastAsia" w:hAnsiTheme="majorHAnsi" w:cstheme="majorBidi"/>
          <w:color w:val="1F3763" w:themeColor="accent1" w:themeShade="7F"/>
          <w:sz w:val="24"/>
          <w:szCs w:val="24"/>
          <w:lang w:eastAsia="zh-CN"/>
        </w:rPr>
        <w:t>Narrative Inquiry with Teenage Participants</w:t>
      </w:r>
      <w:bookmarkEnd w:id="87"/>
      <w:r w:rsidRPr="00BE2C1D">
        <w:rPr>
          <w:rFonts w:asciiTheme="majorHAnsi" w:eastAsiaTheme="majorEastAsia" w:hAnsiTheme="majorHAnsi" w:cstheme="majorBidi"/>
          <w:color w:val="1F3763" w:themeColor="accent1" w:themeShade="7F"/>
          <w:sz w:val="24"/>
          <w:szCs w:val="24"/>
          <w:lang w:eastAsia="zh-CN"/>
        </w:rPr>
        <w:t xml:space="preserve"> </w:t>
      </w:r>
    </w:p>
    <w:p w14:paraId="196D3B77" w14:textId="77777777" w:rsidR="00BE2C1D" w:rsidRPr="00BE2C1D" w:rsidRDefault="00BE2C1D" w:rsidP="00BE2C1D">
      <w:pPr>
        <w:spacing w:line="360" w:lineRule="auto"/>
        <w:jc w:val="both"/>
      </w:pPr>
      <w:r w:rsidRPr="00BE2C1D">
        <w:t xml:space="preserve">Nine teenagers (and their parents) agreed to participate in the research. The mode of involvement varied. For instance, </w:t>
      </w:r>
      <w:r w:rsidRPr="00BE2C1D">
        <w:rPr>
          <w:rFonts w:ascii="Calibri" w:eastAsia="Times New Roman" w:hAnsi="Calibri" w:cs="Calibri"/>
          <w:bCs/>
          <w:lang w:eastAsia="en-GB"/>
        </w:rPr>
        <w:t xml:space="preserve">the narrative interviews with the young people took different forms, from a focus group and a pair interview in person to individual Skype interviews. While in the focus group and the pair interview the parents were not present, which potentially had to do with the location (a participant’s home and a public library) and the number of participants (three in the first case and two in the latter), the mothers of the participants were present during the Skype interviews, facilitating the introductions between me and the young people and contributing to the interviews. Digital storytelling was also piloted with the three young people of the focus group, but it did not yield many stories and, therefore, I did not implement it with other young people. In the following lines I pay closer attention to the storytelling method(s).  </w:t>
      </w:r>
    </w:p>
    <w:p w14:paraId="0E8EF7A2" w14:textId="77777777" w:rsidR="00BE2C1D" w:rsidRPr="00BE2C1D" w:rsidRDefault="00BE2C1D" w:rsidP="00BE2C1D">
      <w:pPr>
        <w:spacing w:after="0" w:line="360" w:lineRule="auto"/>
        <w:jc w:val="both"/>
        <w:rPr>
          <w:rFonts w:ascii="Calibri" w:eastAsia="Times New Roman" w:hAnsi="Calibri" w:cs="Calibri"/>
          <w:bCs/>
          <w:lang w:eastAsia="en-GB"/>
        </w:rPr>
      </w:pPr>
      <w:r w:rsidRPr="00BE2C1D">
        <w:rPr>
          <w:rFonts w:ascii="Calibri" w:eastAsia="Times New Roman" w:hAnsi="Calibri" w:cs="Calibri"/>
          <w:lang w:eastAsia="en-GB"/>
        </w:rPr>
        <w:t xml:space="preserve">The focus group took place at one young person’s home, where we - I and the families of the three participants, Mary, John and Louise - all agreed to meet on a Saturday. Considering the role of the location in relation to the stories that are generated, </w:t>
      </w:r>
      <w:r w:rsidRPr="00BE2C1D">
        <w:rPr>
          <w:rFonts w:ascii="Calibri" w:eastAsia="Times New Roman" w:hAnsi="Calibri" w:cs="Calibri"/>
          <w:bCs/>
          <w:lang w:eastAsia="en-GB"/>
        </w:rPr>
        <w:t xml:space="preserve">Clarke et al. (2015: 34) argued that home is a common location for research with children, as it is ‘an assumed place of familiarity and security’. In the case of disabled young people, though, research encounters tend to take place at home not only </w:t>
      </w:r>
      <w:r w:rsidRPr="00BE2C1D">
        <w:rPr>
          <w:rFonts w:ascii="Calibri" w:eastAsia="Times New Roman" w:hAnsi="Calibri" w:cs="Calibri"/>
          <w:bCs/>
          <w:lang w:eastAsia="en-GB"/>
        </w:rPr>
        <w:lastRenderedPageBreak/>
        <w:t>because of the familiarity of the place, but also due to issues of accessibility and attitudinal barriers, including hostile attitudes e.g. staring (Goodley and Runswick-Cole 2012a). Such hostility was often experienced by people with RG in public spaces, as discussed earlier (Ellis 2018; Pritchard 2014; Shakespeare et al. 2010). Reflexive accounts of doing research with children at their home (Yee &amp; Andrews 2006) usually refer to non-disabled children, leaving a gap ‘in the literature about the context of the family home as a primary site for research with disabled children and young people’ (Abbott, 2013: 39). Therefore, this reflection adds to the body of literature (e.g. Goodley and Runswick-Cole, 2012a) regarding interviewing disabled young people at their homes. Yee and Andrews (2006) and Clark et al. (2015) referred to the multiple roles a researcher performs when doing research at the participant’s home, including the ‘professional researcher’ and the ‘good guest’. Abbott (2013: 40) discussed such performances in relation to the audience - adult-focused and child or young person focused interactions - and their purposes:</w:t>
      </w:r>
      <w:r w:rsidRPr="00BE2C1D">
        <w:rPr>
          <w:rFonts w:ascii="Calibri" w:eastAsia="Times New Roman" w:hAnsi="Calibri" w:cs="Calibri"/>
          <w:bCs/>
          <w:sz w:val="24"/>
          <w:szCs w:val="24"/>
          <w:lang w:eastAsia="en-GB"/>
        </w:rPr>
        <w:t xml:space="preserve">   </w:t>
      </w:r>
    </w:p>
    <w:p w14:paraId="1DBECC8F" w14:textId="77777777" w:rsidR="00BE2C1D" w:rsidRPr="00BE2C1D" w:rsidRDefault="00BE2C1D" w:rsidP="00BE2C1D">
      <w:pPr>
        <w:spacing w:after="0" w:line="360" w:lineRule="auto"/>
        <w:ind w:left="720"/>
        <w:jc w:val="both"/>
        <w:rPr>
          <w:rFonts w:ascii="Calibri" w:eastAsia="Times New Roman" w:hAnsi="Calibri" w:cs="Calibri"/>
          <w:bCs/>
          <w:sz w:val="20"/>
          <w:szCs w:val="20"/>
          <w:lang w:eastAsia="en-GB"/>
        </w:rPr>
      </w:pPr>
      <w:r w:rsidRPr="00BE2C1D">
        <w:rPr>
          <w:rFonts w:ascii="Calibri" w:eastAsia="Times New Roman" w:hAnsi="Calibri" w:cs="Calibri"/>
          <w:bCs/>
          <w:sz w:val="20"/>
          <w:szCs w:val="20"/>
          <w:lang w:eastAsia="en-GB"/>
        </w:rPr>
        <w:t xml:space="preserve">The researcher needs to demonstrate both adult competency to adults in the house and a non- authoritarian and inclusive approach to children and young people, which demonstrates that they are not the 'usual professional' but they are there to try to do something a bit different. What is different is the desire to produce 'meaningful talk' and create a space in which people feel safe and comfortable enough to share their experiences. </w:t>
      </w:r>
    </w:p>
    <w:p w14:paraId="3BBA4119" w14:textId="77777777" w:rsidR="00BE2C1D" w:rsidRPr="00BE2C1D" w:rsidRDefault="00BE2C1D" w:rsidP="00BE2C1D">
      <w:pPr>
        <w:spacing w:after="0" w:line="360" w:lineRule="auto"/>
        <w:jc w:val="both"/>
        <w:rPr>
          <w:rFonts w:ascii="Calibri" w:eastAsia="Times New Roman" w:hAnsi="Calibri" w:cs="Calibri"/>
          <w:lang w:eastAsia="en-GB"/>
        </w:rPr>
      </w:pPr>
      <w:r w:rsidRPr="00BE2C1D">
        <w:rPr>
          <w:rFonts w:ascii="Calibri" w:eastAsia="Times New Roman" w:hAnsi="Calibri" w:cs="Calibri"/>
          <w:lang w:eastAsia="en-GB"/>
        </w:rPr>
        <w:t>Upon my arrival at John’s home, I realised immediately that it was a very busy household (a family with five young people) and I embodied the role of the good guest (Yee and Andrews 2006; Davies 2008) by integrating in the family’s activities e.g. playing board games with the children. Once all the families gathered at John’s house and we had lunch, I asked to talk first to their mothers. After following the standard ethical procedures, performing the ‘professional researcher’, I went to the room where the three participants were and talked them through the research and its ethical aspects</w:t>
      </w:r>
      <w:r w:rsidRPr="00BE2C1D">
        <w:rPr>
          <w:rFonts w:ascii="Calibri" w:eastAsia="Times New Roman" w:hAnsi="Calibri" w:cs="Calibri"/>
          <w:vertAlign w:val="superscript"/>
          <w:lang w:eastAsia="en-GB"/>
        </w:rPr>
        <w:footnoteReference w:id="58"/>
      </w:r>
      <w:r w:rsidRPr="00BE2C1D">
        <w:rPr>
          <w:rFonts w:ascii="Calibri" w:eastAsia="Times New Roman" w:hAnsi="Calibri" w:cs="Calibri"/>
          <w:lang w:eastAsia="en-GB"/>
        </w:rPr>
        <w:t xml:space="preserve">. </w:t>
      </w:r>
    </w:p>
    <w:p w14:paraId="736029EE" w14:textId="77777777" w:rsidR="00BE2C1D" w:rsidRPr="00BE2C1D" w:rsidRDefault="00BE2C1D" w:rsidP="00BE2C1D">
      <w:pPr>
        <w:spacing w:after="0" w:line="360" w:lineRule="auto"/>
        <w:jc w:val="both"/>
        <w:rPr>
          <w:rFonts w:ascii="Calibri" w:eastAsia="Times New Roman" w:hAnsi="Calibri" w:cs="Calibri"/>
          <w:lang w:eastAsia="en-GB"/>
        </w:rPr>
      </w:pPr>
    </w:p>
    <w:p w14:paraId="4B358519" w14:textId="77777777" w:rsidR="00BE2C1D" w:rsidRPr="00BE2C1D" w:rsidRDefault="00BE2C1D" w:rsidP="00BE2C1D">
      <w:pPr>
        <w:spacing w:after="0" w:line="360" w:lineRule="auto"/>
        <w:jc w:val="both"/>
        <w:rPr>
          <w:rFonts w:ascii="Calibri" w:eastAsia="Times New Roman" w:hAnsi="Calibri" w:cs="Calibri"/>
          <w:lang w:eastAsia="en-GB"/>
        </w:rPr>
      </w:pPr>
      <w:r w:rsidRPr="00BE2C1D">
        <w:rPr>
          <w:rFonts w:ascii="Calibri" w:eastAsia="Times New Roman" w:hAnsi="Calibri" w:cs="Calibri"/>
          <w:lang w:eastAsia="en-GB"/>
        </w:rPr>
        <w:t xml:space="preserve">When the young people consented in taking part, I provided with them with an A4 paper and asked them to divide it into three columns: the past, the present and the future. I encouraged them to write two positive things and one negative thing about their secondary education and so did I. This activity prompted the participants to start sharing and reflecting on their educational experiences. </w:t>
      </w:r>
      <w:r w:rsidRPr="00BE2C1D">
        <w:rPr>
          <w:rFonts w:eastAsia="Times New Roman" w:cstheme="minorHAnsi"/>
          <w:lang w:eastAsia="en-GB"/>
        </w:rPr>
        <w:t>However, in hindsight, this activity might have induced pedagogical relations (Waller and Bitou 2011) between me (being perceived as a teacher, an identity that I had disclosed to them) and the participants (acting as students). Clarke et al. (2015) referred to how a ‘write and draw’ activity inadvertently replicated work that children could engage with at school.</w:t>
      </w:r>
      <w:r w:rsidRPr="00BE2C1D">
        <w:rPr>
          <w:rFonts w:eastAsia="Times New Roman" w:cstheme="minorHAnsi"/>
          <w:color w:val="FF0000"/>
          <w:lang w:eastAsia="en-GB"/>
        </w:rPr>
        <w:t xml:space="preserve"> </w:t>
      </w:r>
      <w:r w:rsidRPr="00BE2C1D">
        <w:rPr>
          <w:rFonts w:eastAsia="Times New Roman" w:cstheme="minorHAnsi"/>
          <w:lang w:eastAsia="en-GB"/>
        </w:rPr>
        <w:t xml:space="preserve">In the beginning of this activity, the participants were </w:t>
      </w:r>
      <w:r w:rsidRPr="00BE2C1D">
        <w:rPr>
          <w:rFonts w:eastAsia="Times New Roman" w:cstheme="minorHAnsi"/>
          <w:lang w:eastAsia="en-GB"/>
        </w:rPr>
        <w:lastRenderedPageBreak/>
        <w:t xml:space="preserve">hesitant to look at each other’s paper, as if this was a form of ‘cheating’. This feeling of surveillance was indicative that this activity might have been experienced as a school activity and, in order to eliminate such feelings, I did encourage the participants verbally to look at each other’s sentences if they wanted to. </w:t>
      </w:r>
      <w:r w:rsidRPr="00BE2C1D">
        <w:rPr>
          <w:rFonts w:ascii="Calibri" w:eastAsia="Times New Roman" w:hAnsi="Calibri" w:cs="Calibri"/>
          <w:lang w:eastAsia="en-GB"/>
        </w:rPr>
        <w:t xml:space="preserve"> </w:t>
      </w:r>
      <w:r w:rsidRPr="00BE2C1D">
        <w:rPr>
          <w:rFonts w:eastAsia="Times New Roman" w:cstheme="minorHAnsi"/>
          <w:lang w:eastAsia="en-GB"/>
        </w:rPr>
        <w:t xml:space="preserve">After elaborating on their notes and responding to some of the questions that I posed during these discussions, I shared post-it notes to them and asked them to write down any questions they would like to pose to each other or to me. Nevertheless, participants felt that they had covered everything and, also, the father of one participant turned up, letting us know that they would be heading off soon.    </w:t>
      </w:r>
    </w:p>
    <w:p w14:paraId="5F3FF0D0" w14:textId="77777777" w:rsidR="00BE2C1D" w:rsidRPr="00BE2C1D" w:rsidRDefault="00BE2C1D" w:rsidP="00BE2C1D">
      <w:pPr>
        <w:spacing w:after="0" w:line="360" w:lineRule="auto"/>
        <w:jc w:val="both"/>
        <w:rPr>
          <w:rFonts w:eastAsia="Times New Roman" w:cstheme="minorHAnsi"/>
          <w:lang w:eastAsia="en-GB"/>
        </w:rPr>
      </w:pPr>
    </w:p>
    <w:p w14:paraId="33064882" w14:textId="77777777" w:rsidR="00BE2C1D" w:rsidRPr="00BE2C1D" w:rsidRDefault="00BE2C1D" w:rsidP="00BE2C1D">
      <w:pPr>
        <w:spacing w:after="0" w:line="360" w:lineRule="auto"/>
        <w:jc w:val="both"/>
        <w:rPr>
          <w:rFonts w:ascii="Calibri" w:eastAsia="Times New Roman" w:hAnsi="Calibri" w:cs="Calibri"/>
          <w:lang w:eastAsia="en-GB"/>
        </w:rPr>
      </w:pPr>
      <w:r w:rsidRPr="00BE2C1D">
        <w:rPr>
          <w:rFonts w:eastAsia="Times New Roman" w:cstheme="minorHAnsi"/>
          <w:lang w:eastAsia="en-GB"/>
        </w:rPr>
        <w:t xml:space="preserve">Reflecting on focus groups as a method of interviewing, Moloney (2011: 68) argued that </w:t>
      </w:r>
    </w:p>
    <w:p w14:paraId="1318811D" w14:textId="77777777" w:rsidR="00BE2C1D" w:rsidRPr="00BE2C1D" w:rsidRDefault="00BE2C1D" w:rsidP="00BE2C1D">
      <w:pPr>
        <w:spacing w:line="360" w:lineRule="auto"/>
        <w:ind w:left="720"/>
        <w:jc w:val="both"/>
        <w:rPr>
          <w:rFonts w:ascii="Calibri" w:hAnsi="Calibri" w:cs="Calibri"/>
          <w:bCs/>
          <w:sz w:val="20"/>
          <w:szCs w:val="20"/>
        </w:rPr>
      </w:pPr>
      <w:r w:rsidRPr="00BE2C1D">
        <w:rPr>
          <w:rFonts w:ascii="Calibri" w:hAnsi="Calibri" w:cs="Calibri"/>
          <w:bCs/>
          <w:sz w:val="20"/>
          <w:szCs w:val="20"/>
        </w:rPr>
        <w:t xml:space="preserve">One of the chief attractions for me in using focus groups was their non-hierarchical structure, the lateral transfer of power to participants consistent with my feminist ethic and the equality sought in organic inquiry. </w:t>
      </w:r>
    </w:p>
    <w:p w14:paraId="2E1DFFDE" w14:textId="77777777" w:rsidR="00BE2C1D" w:rsidRPr="00BE2C1D" w:rsidRDefault="00BE2C1D" w:rsidP="00BE2C1D">
      <w:pPr>
        <w:spacing w:line="360" w:lineRule="auto"/>
        <w:jc w:val="both"/>
      </w:pPr>
      <w:r w:rsidRPr="00BE2C1D">
        <w:t>While the focus group with the three teenagers ran smoothly, I do not share the same perspective with Moloney regarding focus groups, as it risks romanticising them by representing them as non-hierarchical and egalitarian (Smithson 2000), and therefore, overlooking the power relations (re)produced in them. Although the young people had chosen to be interviewed all together, I was the one that had designed the activities that would take place during this research encounter (Hoffman 2007). Therefore, power was drawn at different times and spaces by both me and the participants in various ways.</w:t>
      </w:r>
    </w:p>
    <w:p w14:paraId="4FEDA251" w14:textId="77777777" w:rsidR="00BE2C1D" w:rsidRPr="00BE2C1D" w:rsidRDefault="00BE2C1D" w:rsidP="00BE2C1D">
      <w:pPr>
        <w:spacing w:line="360" w:lineRule="auto"/>
        <w:jc w:val="both"/>
      </w:pPr>
      <w:r w:rsidRPr="00BE2C1D">
        <w:t>Furthermore, I invited these three participants to contribute with digital stories in a private weblog that I had set up and it would be accessible only to them, their parents and myself. Rather than providing them with diaries, I thought that digital storytelling would be more appealing to them, since children and young people have been described as ‘digital citizens’</w:t>
      </w:r>
      <w:r w:rsidRPr="00BE2C1D">
        <w:rPr>
          <w:vertAlign w:val="superscript"/>
        </w:rPr>
        <w:footnoteReference w:id="59"/>
      </w:r>
      <w:r w:rsidRPr="00BE2C1D">
        <w:t xml:space="preserve"> (Johnston et al. 2018) due to their engagement with digital technologies (Alper and Goggin 2017). Digital storytelling has also been used to produce counter stories against dominant representations (Rice et al. 2015), which was also one of the aims of the project. Another reason for proposing this method was that participants would be able to reflect on their current educational experiences, whenever they wanted throughout the year, on an online ‘safe’ space. While the young people agreed to engage with digital storytelling, they also came with a condition: no other participants could contribute to this blog, which meant that they acted as gatekeepers of this space (Clark et al. 2015). After respecting their condition, I shared the first blog post - a story of my own experiences - to prompt the three participants to start sharing theirs and </w:t>
      </w:r>
      <w:r w:rsidRPr="00BE2C1D">
        <w:lastRenderedPageBreak/>
        <w:t>I gave some generic guidelines on how to post a story. However, none of them shared any stories initially. Asking for their feedback through contact on Messenger, they explained that there were two issues: an issue of time, as participants were preparing for their national exams (GSCE and A levels), something that was also brought up in Liddiard et al.’s (2019) research with young people with life-limiting/life threatening impairments. This was also the reason that I did not ask the young people and their families to participate in a second round of interviews, as I had initially proposed, recognising that, due to their busy schedules the participants and their families could not offer me more time (Abbott 2013).</w:t>
      </w:r>
      <w:r w:rsidRPr="00BE2C1D">
        <w:rPr>
          <w:b/>
        </w:rPr>
        <w:t xml:space="preserve"> </w:t>
      </w:r>
      <w:r w:rsidRPr="00BE2C1D">
        <w:t>Secondly, they did not know what to write about. While I had intentionally not provided them with any topics, as I did not want to ‘direct’ their stories, after their feedback I proposed a few topics and two of the participants shared one story each. After a few more attempts to prompt them that gave no result, I decided that it was not ethical to exercise any more pressure on them. Moreover, the stories that they had already shared during the focus group and the weblog had provided me with insightful data to be analysed and discussed.</w:t>
      </w:r>
    </w:p>
    <w:p w14:paraId="6A78DFE1" w14:textId="77777777" w:rsidR="00BE2C1D" w:rsidRPr="00BE2C1D" w:rsidRDefault="00BE2C1D" w:rsidP="00BE2C1D">
      <w:pPr>
        <w:spacing w:after="0" w:line="360" w:lineRule="auto"/>
        <w:jc w:val="both"/>
      </w:pPr>
      <w:r w:rsidRPr="00BE2C1D">
        <w:t xml:space="preserve">The next narrative interview took place in a public library, where one of the associations hosted an event, which was attended by two teenage participants, Rania and Lynn. </w:t>
      </w:r>
      <w:r w:rsidRPr="00BE2C1D">
        <w:rPr>
          <w:rFonts w:ascii="Calibri" w:hAnsi="Calibri" w:cs="Calibri"/>
          <w:bCs/>
        </w:rPr>
        <w:t xml:space="preserve">This interview started after Rania noticed me and Lynn having an informal discussion and approached us and asked us whether we were “doing the interview”. The mothers of both young people had consented to their participation, and Rania and Lynn then decided it to do it together. While the space - an open space in the library - did not prove to be ideal, as the interview got interrupted a few times because of the level of noise, there was no other choice, so I decided to go with it. I used the same activity with the focus group (the 3 columns) to prompt discussions, which were then followed up with questions that were included in my interview guide and they had not been covered yet. This pair interview made me reflect on the difference that makes who is present (or absent) during the storytelling process (Riessman 2003). For instance, Lynn’s stories about her teaching assistants were initially full of positive words, but, once she heard Rania’s perspective of her teaching assistants (see chapter on teaching assistants), which included some negative experiences, Lynn’s stories started becoming similar to Rania’s ones, referring for instance to some of her teaching assistants as quite patronising. </w:t>
      </w:r>
    </w:p>
    <w:p w14:paraId="3A31AE81" w14:textId="77777777" w:rsidR="00BE2C1D" w:rsidRPr="00BE2C1D" w:rsidRDefault="00BE2C1D" w:rsidP="00BE2C1D">
      <w:pPr>
        <w:spacing w:after="0" w:line="360" w:lineRule="auto"/>
        <w:jc w:val="both"/>
        <w:rPr>
          <w:rFonts w:ascii="Calibri" w:eastAsia="Times New Roman" w:hAnsi="Calibri" w:cs="Calibri"/>
          <w:lang w:eastAsia="en-GB"/>
        </w:rPr>
      </w:pPr>
    </w:p>
    <w:p w14:paraId="1F0056B1" w14:textId="77777777" w:rsidR="00BE2C1D" w:rsidRPr="00BE2C1D" w:rsidRDefault="00BE2C1D" w:rsidP="00BE2C1D">
      <w:pPr>
        <w:spacing w:after="0" w:line="360" w:lineRule="auto"/>
        <w:jc w:val="both"/>
        <w:rPr>
          <w:rFonts w:ascii="Calibri" w:eastAsia="Times New Roman" w:hAnsi="Calibri" w:cs="Calibri"/>
          <w:lang w:eastAsia="en-GB"/>
        </w:rPr>
      </w:pPr>
      <w:r w:rsidRPr="00BE2C1D">
        <w:rPr>
          <w:rFonts w:ascii="Calibri" w:eastAsia="Times New Roman" w:hAnsi="Calibri" w:cs="Calibri"/>
          <w:lang w:eastAsia="en-GB"/>
        </w:rPr>
        <w:t xml:space="preserve">Unlike the focus group and the pair interview, which took place in person and without the presence of the parents in the room, the four individual interviews with the young people took place via Skype and their mothers were present during the interviews. </w:t>
      </w:r>
      <w:r w:rsidRPr="00BE2C1D">
        <w:rPr>
          <w:rFonts w:ascii="Calibri" w:eastAsia="Times New Roman" w:hAnsi="Calibri" w:cs="Calibri"/>
          <w:bCs/>
          <w:lang w:eastAsia="en-GB"/>
        </w:rPr>
        <w:t xml:space="preserve">Abbott (2013: 40) asserted:   </w:t>
      </w:r>
    </w:p>
    <w:p w14:paraId="6B0A973E" w14:textId="77777777" w:rsidR="00BE2C1D" w:rsidRPr="00BE2C1D" w:rsidRDefault="00BE2C1D" w:rsidP="00BE2C1D">
      <w:pPr>
        <w:spacing w:after="0" w:line="360" w:lineRule="auto"/>
        <w:ind w:left="720"/>
        <w:jc w:val="both"/>
        <w:rPr>
          <w:rFonts w:ascii="Calibri" w:eastAsia="Times New Roman" w:hAnsi="Calibri" w:cs="Calibri"/>
          <w:bCs/>
          <w:sz w:val="20"/>
          <w:szCs w:val="20"/>
          <w:lang w:eastAsia="en-GB"/>
        </w:rPr>
      </w:pPr>
      <w:r w:rsidRPr="00BE2C1D">
        <w:rPr>
          <w:rFonts w:ascii="Calibri" w:eastAsia="Times New Roman" w:hAnsi="Calibri" w:cs="Calibri"/>
          <w:bCs/>
          <w:sz w:val="20"/>
          <w:szCs w:val="20"/>
          <w:lang w:eastAsia="en-GB"/>
        </w:rPr>
        <w:t>Access to meet and interview disabled children and young people at home is mediated through parents/carers who may also be research participants, either formally taking part, or informally by monitoring, interrupting, adding or smoothing the encounters with their son or daughter.</w:t>
      </w:r>
    </w:p>
    <w:p w14:paraId="105928A7" w14:textId="77777777" w:rsidR="00BE2C1D" w:rsidRPr="00BE2C1D" w:rsidRDefault="00BE2C1D" w:rsidP="00BE2C1D">
      <w:pPr>
        <w:spacing w:after="0" w:line="360" w:lineRule="auto"/>
        <w:jc w:val="both"/>
        <w:rPr>
          <w:rFonts w:ascii="Calibri" w:eastAsia="Times New Roman" w:hAnsi="Calibri" w:cs="Calibri"/>
          <w:bCs/>
          <w:lang w:eastAsia="en-GB"/>
        </w:rPr>
      </w:pPr>
      <w:r w:rsidRPr="00BE2C1D">
        <w:rPr>
          <w:rFonts w:ascii="Calibri" w:eastAsia="Times New Roman" w:hAnsi="Calibri" w:cs="Calibri"/>
          <w:bCs/>
          <w:lang w:eastAsia="en-GB"/>
        </w:rPr>
        <w:lastRenderedPageBreak/>
        <w:t>This is not the case only when doing interviews in person, but also via Skype. These Skype video-calls constituted the first</w:t>
      </w:r>
      <w:r w:rsidRPr="00BE2C1D">
        <w:rPr>
          <w:rFonts w:ascii="Calibri" w:eastAsia="Times New Roman" w:hAnsi="Calibri" w:cs="Calibri"/>
          <w:bCs/>
          <w:vertAlign w:val="superscript"/>
          <w:lang w:eastAsia="en-GB"/>
        </w:rPr>
        <w:footnoteReference w:id="60"/>
      </w:r>
      <w:r w:rsidRPr="00BE2C1D">
        <w:rPr>
          <w:rFonts w:ascii="Calibri" w:eastAsia="Times New Roman" w:hAnsi="Calibri" w:cs="Calibri"/>
          <w:bCs/>
          <w:lang w:eastAsia="en-GB"/>
        </w:rPr>
        <w:t xml:space="preserve"> time that I and the young person and their family ‘met’ each other, so their mothers and I</w:t>
      </w:r>
      <w:r w:rsidRPr="00BE2C1D">
        <w:rPr>
          <w:rFonts w:ascii="Calibri" w:eastAsia="Times New Roman" w:hAnsi="Calibri" w:cs="Calibri"/>
          <w:bCs/>
          <w:vertAlign w:val="superscript"/>
          <w:lang w:eastAsia="en-GB"/>
        </w:rPr>
        <w:footnoteReference w:id="61"/>
      </w:r>
      <w:r w:rsidRPr="00BE2C1D">
        <w:rPr>
          <w:rFonts w:ascii="Calibri" w:eastAsia="Times New Roman" w:hAnsi="Calibri" w:cs="Calibri"/>
          <w:bCs/>
          <w:lang w:eastAsia="en-GB"/>
        </w:rPr>
        <w:t xml:space="preserve"> considered it essential for them to be present in these encounters. Moreover, while these mothers were not ‘formal’ participants in my research, their very presence affected what stories the young people shared with me. They also contributed with their own stories, enriching the young people’s stories, and occasionally prompted the young people to share more or reminded them of some stories relevant to the questions I posed. Nevertheless, I felt, like Abbott (2012: 246), that ‘it was sometimes difficult to know where parents’ views and emotions, and where their son’s views and emotions began and ended’.   </w:t>
      </w:r>
    </w:p>
    <w:p w14:paraId="47793D59" w14:textId="77777777" w:rsidR="00BE2C1D" w:rsidRPr="00BE2C1D" w:rsidRDefault="00BE2C1D" w:rsidP="00BE2C1D">
      <w:pPr>
        <w:keepNext/>
        <w:keepLines/>
        <w:spacing w:before="40" w:after="0" w:line="360" w:lineRule="auto"/>
        <w:outlineLvl w:val="2"/>
        <w:rPr>
          <w:rFonts w:asciiTheme="majorHAnsi" w:eastAsiaTheme="majorEastAsia" w:hAnsiTheme="majorHAnsi" w:cstheme="majorBidi"/>
          <w:color w:val="1F3763" w:themeColor="accent1" w:themeShade="7F"/>
          <w:sz w:val="24"/>
          <w:szCs w:val="24"/>
          <w:lang w:eastAsia="zh-CN"/>
        </w:rPr>
      </w:pPr>
      <w:bookmarkStart w:id="88" w:name="_Toc39585229"/>
      <w:r w:rsidRPr="00BE2C1D">
        <w:rPr>
          <w:rFonts w:asciiTheme="majorHAnsi" w:eastAsiaTheme="majorEastAsia" w:hAnsiTheme="majorHAnsi" w:cstheme="majorBidi"/>
          <w:color w:val="1F3763" w:themeColor="accent1" w:themeShade="7F"/>
          <w:sz w:val="24"/>
          <w:szCs w:val="24"/>
          <w:lang w:eastAsia="zh-CN"/>
        </w:rPr>
        <w:t>Narrative Inquiry with Young Adult Participants</w:t>
      </w:r>
      <w:bookmarkEnd w:id="88"/>
      <w:r w:rsidRPr="00BE2C1D">
        <w:rPr>
          <w:rFonts w:asciiTheme="majorHAnsi" w:eastAsiaTheme="majorEastAsia" w:hAnsiTheme="majorHAnsi" w:cstheme="majorBidi"/>
          <w:color w:val="1F3763" w:themeColor="accent1" w:themeShade="7F"/>
          <w:sz w:val="24"/>
          <w:szCs w:val="24"/>
          <w:lang w:eastAsia="zh-CN"/>
        </w:rPr>
        <w:t xml:space="preserve"> </w:t>
      </w:r>
    </w:p>
    <w:p w14:paraId="11335F65" w14:textId="77777777" w:rsidR="00BE2C1D" w:rsidRPr="00BE2C1D" w:rsidRDefault="00BE2C1D" w:rsidP="00BE2C1D">
      <w:pPr>
        <w:spacing w:line="360" w:lineRule="auto"/>
        <w:jc w:val="both"/>
        <w:rPr>
          <w:rFonts w:ascii="Calibri" w:hAnsi="Calibri" w:cs="Calibri"/>
          <w:bCs/>
        </w:rPr>
      </w:pPr>
      <w:r w:rsidRPr="00BE2C1D">
        <w:t xml:space="preserve">Eleven young adults, six male and five female, agreed to participate in the research. Most participants (seven in total) opted to be interviewed online, either via email (three participants) or Skype (four participants) and two participants were interviewed in person. </w:t>
      </w:r>
      <w:r w:rsidRPr="00BE2C1D">
        <w:rPr>
          <w:rFonts w:ascii="Calibri" w:hAnsi="Calibri" w:cs="Calibri"/>
          <w:bCs/>
        </w:rPr>
        <w:t xml:space="preserve">One participant allowed me to use the stories she had shared on her public weblog. The first interview in person took place during one of the events of one association in a hotel room and the second one in a university space. While the former proved a great location to hold a discussion, the latter got interrupted a few times by people entering the room or by surrounding noises. </w:t>
      </w:r>
    </w:p>
    <w:p w14:paraId="7ADF53EB" w14:textId="77777777" w:rsidR="00BE2C1D" w:rsidRPr="00BE2C1D" w:rsidRDefault="00BE2C1D" w:rsidP="00BE2C1D">
      <w:pPr>
        <w:spacing w:line="360" w:lineRule="auto"/>
        <w:jc w:val="both"/>
        <w:rPr>
          <w:rFonts w:ascii="Calibri" w:hAnsi="Calibri" w:cs="Calibri"/>
          <w:bCs/>
        </w:rPr>
      </w:pPr>
      <w:r w:rsidRPr="00BE2C1D">
        <w:rPr>
          <w:rFonts w:ascii="Calibri" w:hAnsi="Calibri" w:cs="Calibri"/>
          <w:bCs/>
        </w:rPr>
        <w:t xml:space="preserve">The Skype interviews took place at a convenient time agreed between me and the participants, who were at their home, except for a pair interview where the two participants were partners. In three Skype interviews participants opted not to disclose their body by switching on the camera, but they could see me. I did not ask the participants why they chose to do so, as I did not want to trigger any discomfort and as a matter of respect towards their choice. However, this choice meant that I could not observe their body language. The pair interview was with two adults who were a couple and asked to be interviewed together. Similar to the pair interview with the teenage participants, the participants prompted each other to share more stories. </w:t>
      </w:r>
    </w:p>
    <w:p w14:paraId="64A36158" w14:textId="77777777" w:rsidR="00BE2C1D" w:rsidRPr="00BE2C1D" w:rsidRDefault="00BE2C1D" w:rsidP="00BE2C1D">
      <w:pPr>
        <w:spacing w:line="360" w:lineRule="auto"/>
        <w:jc w:val="both"/>
        <w:rPr>
          <w:rFonts w:ascii="Calibri" w:hAnsi="Calibri" w:cs="Calibri"/>
          <w:bCs/>
        </w:rPr>
      </w:pPr>
      <w:r w:rsidRPr="00BE2C1D">
        <w:rPr>
          <w:rFonts w:ascii="Calibri" w:hAnsi="Calibri" w:cs="Calibri"/>
          <w:bCs/>
        </w:rPr>
        <w:t xml:space="preserve">For the email interviews I provided the participants with the interview questions and I asked them to respond to them, giving an example where possible. For all three email interviews there was a follow up email with some questions for clarifications or for further elaboration on certain topics. One participant had sent me a visual story before getting involved in an email interview, which provided further elaboration on certain issues.   </w:t>
      </w:r>
    </w:p>
    <w:p w14:paraId="6ADA5A49" w14:textId="77777777" w:rsidR="00BE2C1D" w:rsidRPr="00BE2C1D" w:rsidRDefault="00BE2C1D" w:rsidP="00BE2C1D">
      <w:pPr>
        <w:spacing w:line="360" w:lineRule="auto"/>
        <w:jc w:val="both"/>
        <w:rPr>
          <w:rFonts w:ascii="Calibri" w:hAnsi="Calibri" w:cs="Calibri"/>
          <w:bCs/>
        </w:rPr>
      </w:pPr>
      <w:r w:rsidRPr="00BE2C1D">
        <w:rPr>
          <w:rFonts w:ascii="Calibri" w:hAnsi="Calibri" w:cs="Calibri"/>
          <w:bCs/>
        </w:rPr>
        <w:lastRenderedPageBreak/>
        <w:t xml:space="preserve">Regarding the public weblog of one participant, where she shared various stories about living with RG,  </w:t>
      </w:r>
      <w:r w:rsidRPr="00BE2C1D">
        <w:t xml:space="preserve">I initially contacted her through Messenger to ask for her consent to include some of these stories anonymously for the research. She responded positively to this request. Then, I contacted her again through the same means to ask her if she would be interested in contributing to the research with another mode of storytelling, such as an (Skype/email) interview. While she initially responded she would consider it, then the communication started fading off, with less frequent to no responses from that. Out of respect and adhering to the ethical procedures, where it is clear that the participation should be voluntary, I ceased any communication with this participant. </w:t>
      </w:r>
      <w:r w:rsidRPr="00BE2C1D">
        <w:rPr>
          <w:rFonts w:ascii="Calibri" w:hAnsi="Calibri" w:cs="Calibri"/>
          <w:bCs/>
        </w:rPr>
        <w:t>I read all her blogposts and treated them the same with the other stories in terms of the analysis. It was only after getting her consent that I decided to include these in this research.</w:t>
      </w:r>
    </w:p>
    <w:p w14:paraId="55C6A33F" w14:textId="77777777" w:rsidR="00BE2C1D" w:rsidRPr="00BE2C1D" w:rsidRDefault="00BE2C1D" w:rsidP="00BE2C1D">
      <w:pPr>
        <w:spacing w:line="360" w:lineRule="auto"/>
        <w:jc w:val="both"/>
        <w:rPr>
          <w:rFonts w:ascii="Calibri" w:hAnsi="Calibri" w:cs="Calibri"/>
          <w:bCs/>
        </w:rPr>
      </w:pPr>
      <w:r w:rsidRPr="00BE2C1D">
        <w:rPr>
          <w:rFonts w:ascii="Calibri" w:hAnsi="Calibri" w:cs="Calibri"/>
          <w:bCs/>
        </w:rPr>
        <w:t xml:space="preserve">To summarise, online interviewing (via email or Skype) was the preferred method for most young adult participants. All the interviews, except for the pair one, were one-to-one and some participants decided not to disclose their body during the Skype interview. Finally, the email interviews included more than a one-off communication, as there were follow-up emails for clarifications and/or further elaboration. Having discussed the methods of my research, in the next section I focus on the methodology that informed and shaped these methods. </w:t>
      </w:r>
    </w:p>
    <w:p w14:paraId="40718420" w14:textId="77777777" w:rsidR="00BE2C1D" w:rsidRPr="00BE2C1D" w:rsidRDefault="00BE2C1D" w:rsidP="00BE2C1D">
      <w:pPr>
        <w:keepNext/>
        <w:keepLines/>
        <w:spacing w:before="40" w:after="0" w:line="360" w:lineRule="auto"/>
        <w:outlineLvl w:val="1"/>
        <w:rPr>
          <w:rFonts w:asciiTheme="majorHAnsi" w:eastAsiaTheme="majorEastAsia" w:hAnsiTheme="majorHAnsi" w:cstheme="majorBidi"/>
          <w:color w:val="2F5496" w:themeColor="accent1" w:themeShade="BF"/>
          <w:sz w:val="26"/>
          <w:szCs w:val="26"/>
          <w:lang w:eastAsia="zh-CN"/>
        </w:rPr>
      </w:pPr>
      <w:bookmarkStart w:id="89" w:name="_Toc39585230"/>
      <w:r w:rsidRPr="00BE2C1D">
        <w:rPr>
          <w:rFonts w:asciiTheme="majorHAnsi" w:eastAsiaTheme="majorEastAsia" w:hAnsiTheme="majorHAnsi" w:cstheme="majorBidi"/>
          <w:color w:val="2F5496" w:themeColor="accent1" w:themeShade="BF"/>
          <w:sz w:val="26"/>
          <w:szCs w:val="26"/>
          <w:lang w:eastAsia="zh-CN"/>
        </w:rPr>
        <w:t>Methodology: Doing Narrative Research</w:t>
      </w:r>
      <w:bookmarkEnd w:id="89"/>
      <w:r w:rsidRPr="00BE2C1D">
        <w:rPr>
          <w:rFonts w:asciiTheme="majorHAnsi" w:eastAsiaTheme="majorEastAsia" w:hAnsiTheme="majorHAnsi" w:cstheme="majorBidi"/>
          <w:color w:val="2F5496" w:themeColor="accent1" w:themeShade="BF"/>
          <w:sz w:val="26"/>
          <w:szCs w:val="26"/>
          <w:lang w:eastAsia="zh-CN"/>
        </w:rPr>
        <w:t xml:space="preserve">  </w:t>
      </w:r>
    </w:p>
    <w:p w14:paraId="5DE68A1A" w14:textId="77777777" w:rsidR="00BE2C1D" w:rsidRPr="00BE2C1D" w:rsidRDefault="00BE2C1D" w:rsidP="00BE2C1D">
      <w:pPr>
        <w:spacing w:line="360" w:lineRule="auto"/>
        <w:ind w:left="720"/>
        <w:jc w:val="both"/>
        <w:rPr>
          <w:rFonts w:ascii="Calibri" w:hAnsi="Calibri" w:cs="Calibri"/>
          <w:sz w:val="20"/>
          <w:szCs w:val="20"/>
          <w:lang w:val="en-US"/>
        </w:rPr>
      </w:pPr>
      <w:r w:rsidRPr="00BE2C1D">
        <w:rPr>
          <w:rFonts w:ascii="Calibri" w:hAnsi="Calibri" w:cs="Calibri"/>
          <w:sz w:val="20"/>
          <w:szCs w:val="20"/>
          <w:lang w:val="en-US"/>
        </w:rPr>
        <w:t>Narrative research is a multilevel, interdisciplinary field and any attempt to simplify its complexity would not do justice to the richness of approaches, theoretical understandings and unexpected findings that it has offered (Squire et al. 2013: 13).</w:t>
      </w:r>
    </w:p>
    <w:p w14:paraId="704CF669" w14:textId="77777777" w:rsidR="00BE2C1D" w:rsidRPr="00BE2C1D" w:rsidRDefault="00BE2C1D" w:rsidP="00BE2C1D">
      <w:pPr>
        <w:spacing w:line="360" w:lineRule="auto"/>
        <w:jc w:val="both"/>
      </w:pPr>
      <w:r w:rsidRPr="00BE2C1D">
        <w:t xml:space="preserve">As noted by Squire et al. (2013), any attempts of simplification of narrative inquiry’s complexity and richness will ultimately prove futile, for they will not do justice to it. Moreover, they acknowledged that narrative inquiry was not one ‘thing’, but that multiple, interdisciplinary approaches to narrative inquiry have been developed and applied. The aim of this section then is to elaborate on my own approach to narrative inquiry, including the ontological and epistemological propositions of such inquiry. I start with the definition of two key terms within narrative research, stories and experience, whilst also acknowledging the epistemological and ontological underpinnings of such definitions.  Then, I discuss the theoretical frameworks that inform my narrative approach, namely feminist post-structuralism and Critical Disability Studies.  </w:t>
      </w:r>
    </w:p>
    <w:p w14:paraId="53961AB8" w14:textId="77777777" w:rsidR="00BE2C1D" w:rsidRPr="00BE2C1D" w:rsidRDefault="00BE2C1D" w:rsidP="00BE2C1D">
      <w:pPr>
        <w:keepNext/>
        <w:keepLines/>
        <w:spacing w:before="40" w:after="0" w:line="360" w:lineRule="auto"/>
        <w:outlineLvl w:val="2"/>
        <w:rPr>
          <w:rFonts w:asciiTheme="majorHAnsi" w:eastAsiaTheme="majorEastAsia" w:hAnsiTheme="majorHAnsi" w:cstheme="majorBidi"/>
          <w:color w:val="1F3763" w:themeColor="accent1" w:themeShade="7F"/>
          <w:sz w:val="24"/>
          <w:szCs w:val="24"/>
          <w:lang w:eastAsia="zh-CN"/>
        </w:rPr>
      </w:pPr>
      <w:bookmarkStart w:id="90" w:name="_Toc39585231"/>
      <w:r w:rsidRPr="00BE2C1D">
        <w:rPr>
          <w:rFonts w:asciiTheme="majorHAnsi" w:eastAsiaTheme="majorEastAsia" w:hAnsiTheme="majorHAnsi" w:cstheme="majorBidi"/>
          <w:color w:val="1F3763" w:themeColor="accent1" w:themeShade="7F"/>
          <w:sz w:val="24"/>
          <w:szCs w:val="24"/>
          <w:lang w:eastAsia="zh-CN"/>
        </w:rPr>
        <w:lastRenderedPageBreak/>
        <w:t>Defining Stories and Experience</w:t>
      </w:r>
      <w:bookmarkEnd w:id="90"/>
    </w:p>
    <w:p w14:paraId="408BF95C" w14:textId="339D3169" w:rsidR="00BE2C1D" w:rsidRPr="00BE2C1D" w:rsidRDefault="00BE2C1D" w:rsidP="00BE2C1D">
      <w:pPr>
        <w:spacing w:line="360" w:lineRule="auto"/>
        <w:jc w:val="both"/>
      </w:pPr>
      <w:r w:rsidRPr="00BE2C1D">
        <w:t>Defining what one means by ‘narrative’ or ‘story’</w:t>
      </w:r>
      <w:r w:rsidRPr="00BE2C1D">
        <w:rPr>
          <w:vertAlign w:val="superscript"/>
        </w:rPr>
        <w:footnoteReference w:id="62"/>
      </w:r>
      <w:r w:rsidRPr="00BE2C1D">
        <w:t xml:space="preserve"> is deemed essential and is expected by those who engage with a narrative inquiry methodology (Smith and Sparkes 2009; White and Drew 2011). The difficulty in providing a clear-cut definition of stories has been discussed in relation to the multiple discipline-specific definitions that are already available and because of the subjectivity of the concept, ‘that is, narrative can mean different things to different people’ (Smith and Sparkes 2009: 2). However, Smith and Sparkes insisted that defining narrative was significant, listing a number of reasons, such as the potential misuse by researchers (for a review of these reasons ibid: 2)</w:t>
      </w:r>
      <w:r w:rsidRPr="00BE2C1D">
        <w:rPr>
          <w:vertAlign w:val="superscript"/>
        </w:rPr>
        <w:footnoteReference w:id="63"/>
      </w:r>
      <w:r w:rsidRPr="00BE2C1D">
        <w:t>.  While I share such concerns about the potential effects of a lack of definition (and a relativi</w:t>
      </w:r>
      <w:r w:rsidR="001B67B4">
        <w:t>s</w:t>
      </w:r>
      <w:r w:rsidRPr="00BE2C1D">
        <w:t>ation) of the term in relation to how it could be appropriated by researchers who claimed to do narrative inquiry (Gannon 2009) I am equally, if not more, concerned about the discursive and material effects of defining</w:t>
      </w:r>
      <w:r w:rsidRPr="00BE2C1D">
        <w:rPr>
          <w:color w:val="FF0000"/>
        </w:rPr>
        <w:t xml:space="preserve"> </w:t>
      </w:r>
      <w:r w:rsidRPr="00BE2C1D">
        <w:t xml:space="preserve">narratives in narrow terms. Hence, I am in agreement with scholars who were sceptical about providing a fixed definition of narratives (Gee 1991; Harwood 2001; Lubiano 1991; McCormack 2014; Scheurich 1995), whose reasons for such scepticism are explained. </w:t>
      </w:r>
    </w:p>
    <w:p w14:paraId="54EA0335" w14:textId="77777777" w:rsidR="00BE2C1D" w:rsidRPr="00BE2C1D" w:rsidRDefault="00BE2C1D" w:rsidP="00BE2C1D">
      <w:pPr>
        <w:spacing w:line="360" w:lineRule="auto"/>
        <w:jc w:val="both"/>
      </w:pPr>
      <w:r w:rsidRPr="00BE2C1D">
        <w:t>Writing from a postcolonial perspective, Scheurich (1995), Lubiano (1991) and Gee (1991) were critical of the Eurocentric essentialisation of stories, which claimed, for instance, the temporal order (beginning, middle and end of story) as a universal feature of storytelling. They argued that such definitions of stories perpetuated colonial relationships of dominance, as those stories which did not identify with this normative narrative were deemed ‘non-stories’, resulting in the silencing of the (othered) storyteller.  Moreover, Harwood (2001) argued that by defining narratives narrowly it was assumed that the same ‘rule’ applied for all individuals. However, as McCormack (2014: 187) asserted, ‘</w:t>
      </w:r>
      <w:r w:rsidRPr="00BE2C1D">
        <w:rPr>
          <w:rFonts w:cstheme="minorHAnsi"/>
          <w:lang w:val="en-US"/>
        </w:rPr>
        <w:t>how we manage our queer, disabled, different, not so healthy, ill morphologically diverse, intellectually varied bodies cannot be reduced to or even fitted into a normative narrative’</w:t>
      </w:r>
      <w:r w:rsidRPr="00BE2C1D">
        <w:rPr>
          <w:rFonts w:cstheme="minorHAnsi"/>
          <w:i/>
          <w:lang w:val="en-US"/>
        </w:rPr>
        <w:t>.</w:t>
      </w:r>
      <w:r w:rsidRPr="00BE2C1D">
        <w:t xml:space="preserve"> </w:t>
      </w:r>
    </w:p>
    <w:p w14:paraId="3089D85B" w14:textId="77777777" w:rsidR="00BE2C1D" w:rsidRPr="00BE2C1D" w:rsidRDefault="00BE2C1D" w:rsidP="00BE2C1D">
      <w:pPr>
        <w:spacing w:line="360" w:lineRule="auto"/>
        <w:jc w:val="both"/>
      </w:pPr>
      <w:r w:rsidRPr="00BE2C1D">
        <w:t xml:space="preserve">A liminal space between these two positions - a fixed definition and no definition at all - was provided by the concept of ‘small stories’ (Bamberg and Georgakopoulou 2008; Georgakopoulou 2015), which is also the approach adopted in this research. According to Georgakopoulou (2015: 256), </w:t>
      </w:r>
    </w:p>
    <w:p w14:paraId="333DD534" w14:textId="77777777" w:rsidR="00BE2C1D" w:rsidRPr="00BE2C1D" w:rsidRDefault="00BE2C1D" w:rsidP="00BE2C1D">
      <w:pPr>
        <w:spacing w:line="360" w:lineRule="auto"/>
        <w:ind w:left="720"/>
        <w:jc w:val="both"/>
        <w:rPr>
          <w:sz w:val="20"/>
          <w:szCs w:val="20"/>
        </w:rPr>
      </w:pPr>
      <w:r w:rsidRPr="00BE2C1D">
        <w:rPr>
          <w:sz w:val="20"/>
          <w:szCs w:val="20"/>
        </w:rPr>
        <w:t xml:space="preserve">Small stories research was the need to escape the confines of watertight, all‐or-nothing  definitional criteria of narrative that automatically excluded a whole range of activities, we were also acutely aware that “anything goes” and “everything is a small story” was not a position we wished to adopt. There is a middle way between posing strict, etic (analytical) criteria and not posing any definitional criteria at </w:t>
      </w:r>
      <w:r w:rsidRPr="00BE2C1D">
        <w:rPr>
          <w:sz w:val="20"/>
          <w:szCs w:val="20"/>
        </w:rPr>
        <w:lastRenderedPageBreak/>
        <w:t xml:space="preserve">all: this middle way is about avoiding prescriptions and instead embracing flexibility and relativity in the definitions.  </w:t>
      </w:r>
    </w:p>
    <w:p w14:paraId="662903EE" w14:textId="77777777" w:rsidR="00BE2C1D" w:rsidRPr="00BE2C1D" w:rsidRDefault="00BE2C1D" w:rsidP="00BE2C1D">
      <w:pPr>
        <w:spacing w:line="360" w:lineRule="auto"/>
        <w:jc w:val="both"/>
      </w:pPr>
      <w:r w:rsidRPr="00BE2C1D">
        <w:t xml:space="preserve">The term ‘small stories’ was used both literally, in terms of the stories being ‘short’ length wise (hence the title of the thesis ‘Short Stories’), and figuratively, meaning that they focused on the mundane facets of lived experience (Bamberg and Georgakopoulou 2008). Their content could vary from recent or still in progress events to small incidents that took place or are taking place or might take place and mundane experiences (ibid).  Small stories also functioned as counter-stories for two reasons: firstly, they transgressed the narrative canon whose focus lied on ‘big’ stories (Bamberg 2006), as they constituted stories ‘that are not encouraged or allowed in specific environments, that do not fit expectations of who the tellers should be and what stories they tell’ (Georgakopoulou 2015: 263). Therefore, ‘small stories research has been effective in bringing to the fore silenced, untold, devalued, and discarded stories in numerous institutional or research‐regulated contexts (e.g., interviews)’ (ibid). Secondly, in opposition to big stories, through which identities (and selves) were understood as fixed and coherent, small stories ‘serve as an approach for uncovering the “messiness,” performativity, incompleteness, and fragmentation of people’s identities’  and ‘the ambivalent relationships with big issues such as race, gender, ethnicity, etc’ (ibid). The researcher doing small stories research has then to reflect on their role in the co-construction of small stories as well as to listen to them and ‘make them hearable’ (ibid: 263).  The adoption of small stories in this research then meant that participants could story their experiences in ways that they felt comfortable with, that is they did not have to adhere to the narrative canon, and that the performativity of their identities, including disability and gender, could be analysed (Riessman 2003). </w:t>
      </w:r>
    </w:p>
    <w:p w14:paraId="4E88ABB5" w14:textId="77777777" w:rsidR="00BE2C1D" w:rsidRPr="00BE2C1D" w:rsidRDefault="00BE2C1D" w:rsidP="00BE2C1D">
      <w:pPr>
        <w:spacing w:line="360" w:lineRule="auto"/>
        <w:jc w:val="both"/>
      </w:pPr>
      <w:r w:rsidRPr="00BE2C1D">
        <w:t xml:space="preserve">Experience has been another contested term within narrative inquiry, with different understandings and approaches to experience giving shape to different forms of narrative inquiry. For instance, Clandinin and Rosiek (2006: 38) identified a range of approaches to experience, such as </w:t>
      </w:r>
    </w:p>
    <w:p w14:paraId="6C302E52" w14:textId="77777777" w:rsidR="00BE2C1D" w:rsidRPr="00BE2C1D" w:rsidRDefault="00BE2C1D" w:rsidP="00BE2C1D">
      <w:pPr>
        <w:spacing w:line="360" w:lineRule="auto"/>
        <w:ind w:left="720"/>
        <w:jc w:val="both"/>
        <w:rPr>
          <w:sz w:val="20"/>
          <w:szCs w:val="20"/>
        </w:rPr>
      </w:pPr>
      <w:r w:rsidRPr="00BE2C1D">
        <w:rPr>
          <w:sz w:val="20"/>
          <w:szCs w:val="20"/>
        </w:rPr>
        <w:t>Aristotle's dualistic metaphysics in which knowledge of particulars and universals were considered separately, to early empiricist atomistic conceptions of experience, Marxist conceptions of experience distorted by ideology, behaviourist notions of stimulus and response, and post-structuralist assertions that state our experience is the product of discursive practices.</w:t>
      </w:r>
      <w:r w:rsidRPr="00BE2C1D">
        <w:rPr>
          <w:sz w:val="20"/>
          <w:szCs w:val="20"/>
          <w:vertAlign w:val="superscript"/>
        </w:rPr>
        <w:footnoteReference w:id="64"/>
      </w:r>
    </w:p>
    <w:p w14:paraId="0F6DEB64" w14:textId="77777777" w:rsidR="00BE2C1D" w:rsidRPr="00BE2C1D" w:rsidRDefault="00BE2C1D" w:rsidP="00BE2C1D">
      <w:pPr>
        <w:spacing w:line="360" w:lineRule="auto"/>
        <w:jc w:val="both"/>
      </w:pPr>
      <w:r w:rsidRPr="00BE2C1D">
        <w:t>Within certain approaches, experience became essentialised, meaning that stories were viewed as portals to unmediated, authentic experience</w:t>
      </w:r>
      <w:r w:rsidRPr="00BE2C1D">
        <w:rPr>
          <w:vertAlign w:val="superscript"/>
        </w:rPr>
        <w:footnoteReference w:id="65"/>
      </w:r>
      <w:r w:rsidRPr="00BE2C1D">
        <w:t xml:space="preserve"> (Alcoff and Gray 1993; Smith and Sparkes 2009). This occurred when experience was taken at face value through a realist stance to storytelling and an </w:t>
      </w:r>
      <w:r w:rsidRPr="00BE2C1D">
        <w:lastRenderedPageBreak/>
        <w:t xml:space="preserve">empiricist approach to experience, where experience was understood as pre-discursive or pre-theoretical (Alcoff and Gray 1993; Stone-Mediatore, 2016). Nevertheless, post-structuralist (Alcoff and Gray 1993; Scott 1991; Stone-Mediatore 2003, 2016) and post-colonial feminists (Mohanty 1982; hooks 1989) called for an interrogation of experience. I found Scott’s (1991: 779-780) definition of experience the most useful, when she maintained:      </w:t>
      </w:r>
    </w:p>
    <w:p w14:paraId="06EC0884" w14:textId="77777777" w:rsidR="00BE2C1D" w:rsidRPr="00BE2C1D" w:rsidRDefault="00BE2C1D" w:rsidP="00BE2C1D">
      <w:pPr>
        <w:spacing w:line="360" w:lineRule="auto"/>
        <w:ind w:left="720"/>
        <w:jc w:val="both"/>
        <w:rPr>
          <w:rFonts w:ascii="Calibri" w:eastAsia="Times New Roman" w:hAnsi="Calibri" w:cs="Calibri"/>
          <w:bCs/>
          <w:sz w:val="20"/>
          <w:szCs w:val="20"/>
          <w:lang w:eastAsia="en-GB"/>
        </w:rPr>
      </w:pPr>
      <w:r w:rsidRPr="00BE2C1D">
        <w:rPr>
          <w:sz w:val="16"/>
          <w:szCs w:val="16"/>
        </w:rPr>
        <w:t>i</w:t>
      </w:r>
      <w:r w:rsidRPr="00BE2C1D">
        <w:rPr>
          <w:rFonts w:ascii="Calibri" w:eastAsia="Times New Roman" w:hAnsi="Calibri" w:cs="Calibri"/>
          <w:bCs/>
          <w:sz w:val="20"/>
          <w:szCs w:val="20"/>
          <w:lang w:eastAsia="en-GB"/>
        </w:rPr>
        <w:t>t is not individuals who have experience, but subjects who are constituted through experience.  Experience in this definition then becomes not the origin of our explanation, not the authoritative (because seen or felt) evidence that grounds what is known, but rather that which we seek to explain, that about which knowledge is produced.</w:t>
      </w:r>
    </w:p>
    <w:p w14:paraId="280F515F" w14:textId="0B1C4F7E" w:rsidR="00BE2C1D" w:rsidRPr="00BE2C1D" w:rsidRDefault="00BE2C1D" w:rsidP="00BE2C1D">
      <w:pPr>
        <w:spacing w:line="360" w:lineRule="auto"/>
        <w:jc w:val="both"/>
      </w:pPr>
      <w:r w:rsidRPr="00BE2C1D">
        <w:t>Adopting such a definition of experience meant that experience needed to be politicised and theorised (Alcoff and Gray 1993; hooks 1989; Razzack 1998), that is the discursivity of experience - how it is shaped by social and cultural discourses (Stone-Mediatore 2016), was laid out. This was what Alcoff and Gray (1993: 284) referred to as ‘a non-bifurcating ontology of experience and theory’, which ‘requires relinquishing the idea that in reporting our experiences we are merely reporting merely internal events without interpretation’. This meant, then, that storytellers, including the researcher as a storyteller, were not ‘transmitters of authentic ‘human experience’, but their voices and/or texts were treated ‘as socially conditioned’ and as ‘interpretive constructions’ (Razzack 1998: 45; Atkinson, 2009). Such an approach to experience, though, did not equate to a relativi</w:t>
      </w:r>
      <w:r w:rsidR="00C518FE">
        <w:t>s</w:t>
      </w:r>
      <w:r w:rsidRPr="00BE2C1D">
        <w:t xml:space="preserve">ation of experience (Alcoff and Gray 1993) or to the invalidation of the storyteller’s experiences, a danger addressed by Stone-Mediatore (2003: 2): </w:t>
      </w:r>
    </w:p>
    <w:p w14:paraId="6EB183CC" w14:textId="77777777" w:rsidR="00BE2C1D" w:rsidRPr="00BE2C1D" w:rsidRDefault="00BE2C1D" w:rsidP="00BE2C1D">
      <w:pPr>
        <w:spacing w:after="0" w:line="360" w:lineRule="auto"/>
        <w:ind w:left="720"/>
        <w:jc w:val="both"/>
        <w:rPr>
          <w:rFonts w:ascii="Calibri" w:eastAsia="Times New Roman" w:hAnsi="Calibri" w:cs="Calibri"/>
          <w:sz w:val="20"/>
          <w:szCs w:val="20"/>
          <w:lang w:val="en-US" w:eastAsia="en-GB"/>
        </w:rPr>
      </w:pPr>
      <w:r w:rsidRPr="00BE2C1D">
        <w:rPr>
          <w:rFonts w:ascii="Calibri" w:eastAsia="Times New Roman" w:hAnsi="Calibri" w:cs="Calibri"/>
          <w:sz w:val="20"/>
          <w:szCs w:val="20"/>
          <w:lang w:val="en-US" w:eastAsia="en-GB"/>
        </w:rPr>
        <w:t xml:space="preserve">When experience-based narratives are treated as merely ideological artefacts, the disempowerment of people who have been excluded from official knowledge production is reinforced, for it denies the epistemic value from a central mean by which such people can take control over their own representation. </w:t>
      </w:r>
    </w:p>
    <w:p w14:paraId="2B1A2498" w14:textId="77777777" w:rsidR="00BE2C1D" w:rsidRPr="00BE2C1D" w:rsidRDefault="00BE2C1D" w:rsidP="00BE2C1D">
      <w:pPr>
        <w:spacing w:after="0" w:line="360" w:lineRule="auto"/>
        <w:jc w:val="both"/>
        <w:rPr>
          <w:rFonts w:ascii="Calibri" w:eastAsia="Times New Roman" w:hAnsi="Calibri" w:cs="Calibri"/>
          <w:lang w:val="en-US" w:eastAsia="en-GB"/>
        </w:rPr>
      </w:pPr>
      <w:r w:rsidRPr="00BE2C1D">
        <w:rPr>
          <w:rFonts w:ascii="Calibri" w:eastAsia="Times New Roman" w:hAnsi="Calibri" w:cs="Calibri"/>
          <w:lang w:val="en-US" w:eastAsia="en-GB"/>
        </w:rPr>
        <w:t xml:space="preserve">To tackle this danger, Stone-Mediatore (2003: 10) proposed the concept of marginalized experience, which referred to </w:t>
      </w:r>
    </w:p>
    <w:p w14:paraId="24FA9BE2" w14:textId="77777777" w:rsidR="00BE2C1D" w:rsidRPr="00BE2C1D" w:rsidRDefault="00BE2C1D" w:rsidP="00BE2C1D">
      <w:pPr>
        <w:spacing w:after="0" w:line="360" w:lineRule="auto"/>
        <w:ind w:left="720"/>
        <w:jc w:val="both"/>
        <w:rPr>
          <w:rFonts w:ascii="Calibri" w:eastAsia="Times New Roman" w:hAnsi="Calibri" w:cs="Calibri"/>
          <w:sz w:val="20"/>
          <w:szCs w:val="20"/>
          <w:lang w:val="en-US" w:eastAsia="en-GB"/>
        </w:rPr>
      </w:pPr>
      <w:r w:rsidRPr="00BE2C1D">
        <w:rPr>
          <w:rFonts w:ascii="Calibri" w:eastAsia="Times New Roman" w:hAnsi="Calibri" w:cs="Calibri"/>
          <w:sz w:val="20"/>
          <w:szCs w:val="20"/>
          <w:lang w:val="en-US" w:eastAsia="en-GB"/>
        </w:rPr>
        <w:t>Experience that is systematically obscured or omitted in culturally dominant representations of the world. Marginalized experiences are closely related to culturally, politically and economically marginalized positions, whilst marginalized experience is not restricted to pre-defined positions.</w:t>
      </w:r>
    </w:p>
    <w:p w14:paraId="3D3AFD93" w14:textId="77777777" w:rsidR="00BE2C1D" w:rsidRPr="00BE2C1D" w:rsidRDefault="00BE2C1D" w:rsidP="00BE2C1D">
      <w:pPr>
        <w:spacing w:after="0" w:line="360" w:lineRule="auto"/>
        <w:jc w:val="both"/>
        <w:rPr>
          <w:rFonts w:ascii="Calibri" w:eastAsia="Times New Roman" w:hAnsi="Calibri" w:cs="Calibri"/>
          <w:lang w:val="en-US" w:eastAsia="en-GB"/>
        </w:rPr>
      </w:pPr>
      <w:r w:rsidRPr="00BE2C1D">
        <w:rPr>
          <w:rFonts w:ascii="Calibri" w:eastAsia="Times New Roman" w:hAnsi="Calibri" w:cs="Calibri"/>
          <w:lang w:val="en-US" w:eastAsia="en-GB"/>
        </w:rPr>
        <w:t xml:space="preserve">Marginalised experience is a particularly useful concept to this research. On the one hand, it calls out the marginalisation and erasure of certain stories from the ‘official knowledge’ (Apple 2014). On the other hand, it did not interpellate the storyteller in a fixed position of marginality. Having defined the two central concepts stories and experience, in the next section I elaborate on the theoretical frameworks that inform my narrative approach, namely feminist poststructuralism and CDS. </w:t>
      </w:r>
    </w:p>
    <w:p w14:paraId="1B1ECD64" w14:textId="77777777" w:rsidR="00BE2C1D" w:rsidRPr="00BE2C1D" w:rsidRDefault="00BE2C1D" w:rsidP="00BE2C1D">
      <w:pPr>
        <w:keepNext/>
        <w:keepLines/>
        <w:spacing w:before="40" w:after="0" w:line="360" w:lineRule="auto"/>
        <w:outlineLvl w:val="2"/>
        <w:rPr>
          <w:rFonts w:asciiTheme="majorHAnsi" w:eastAsiaTheme="majorEastAsia" w:hAnsiTheme="majorHAnsi" w:cstheme="majorBidi"/>
          <w:color w:val="1F3763" w:themeColor="accent1" w:themeShade="7F"/>
          <w:sz w:val="24"/>
          <w:szCs w:val="24"/>
        </w:rPr>
      </w:pPr>
      <w:bookmarkStart w:id="91" w:name="_Toc39585232"/>
      <w:bookmarkStart w:id="92" w:name="_Hlk8572061"/>
      <w:r w:rsidRPr="00BE2C1D">
        <w:rPr>
          <w:rFonts w:asciiTheme="majorHAnsi" w:eastAsiaTheme="majorEastAsia" w:hAnsiTheme="majorHAnsi" w:cstheme="majorBidi"/>
          <w:color w:val="1F3763" w:themeColor="accent1" w:themeShade="7F"/>
          <w:sz w:val="24"/>
          <w:szCs w:val="24"/>
        </w:rPr>
        <w:lastRenderedPageBreak/>
        <w:t>Feminist Poststructuralist Narrative Inquiry</w:t>
      </w:r>
      <w:bookmarkEnd w:id="91"/>
      <w:r w:rsidRPr="00BE2C1D">
        <w:rPr>
          <w:rFonts w:asciiTheme="majorHAnsi" w:eastAsiaTheme="majorEastAsia" w:hAnsiTheme="majorHAnsi" w:cstheme="majorBidi"/>
          <w:color w:val="1F3763" w:themeColor="accent1" w:themeShade="7F"/>
          <w:sz w:val="24"/>
          <w:szCs w:val="24"/>
        </w:rPr>
        <w:t xml:space="preserve"> </w:t>
      </w:r>
      <w:bookmarkEnd w:id="92"/>
    </w:p>
    <w:p w14:paraId="07BA38C4" w14:textId="77777777" w:rsidR="00BE2C1D" w:rsidRPr="00BE2C1D" w:rsidRDefault="00BE2C1D" w:rsidP="00BE2C1D">
      <w:pPr>
        <w:spacing w:line="360" w:lineRule="auto"/>
        <w:jc w:val="both"/>
      </w:pPr>
      <w:r w:rsidRPr="00BE2C1D">
        <w:t xml:space="preserve">In the previous section I already introduced some of the feminist poststructuralist theorists (Scott, Alcoff and Gray, Stone-Mediatore) whose work has been particularly influential in my approach to and use of narrative inquiry. In this part, I introduce the work of two more feminist poststructuralist scholars, Valerie Harwood (2001) and Maria Tamboukou (2013), who brought Foucault’s work into their narrative approaches. This is pertinent to and in consistency with this research, as Foucault’s work and concepts (such as power, resistance) are widely drawn upon in this project.  </w:t>
      </w:r>
    </w:p>
    <w:p w14:paraId="0E207CF7" w14:textId="77777777" w:rsidR="00BE2C1D" w:rsidRPr="00BE2C1D" w:rsidRDefault="00BE2C1D" w:rsidP="00BE2C1D">
      <w:pPr>
        <w:spacing w:line="360" w:lineRule="auto"/>
        <w:jc w:val="both"/>
      </w:pPr>
      <w:r w:rsidRPr="00BE2C1D">
        <w:t xml:space="preserve">In her research with young people who had been diagnosed with a ‘mental disorder’, Harwood (2001: 142) sought for a methodology which ‘could collect the stories of the young people and not reinforce experiences of subjugation and disqualification’. This led her to utilise a narrative approach which built on Foucault’s distinction between two types of subjugated knowledge: ‘subjugated erudite knowledges’ and ‘subjugated disqualified knowledges’ (Foucault 1980). The former referred to the ‘expert of qualified knowledges that have been buried in the formulation of dominating systems of knowledge’ (Foucault, 1980, cited in Harwood 2001: 143) and the latter to: </w:t>
      </w:r>
    </w:p>
    <w:p w14:paraId="0F66C755" w14:textId="77777777" w:rsidR="00BE2C1D" w:rsidRPr="00BE2C1D" w:rsidRDefault="00BE2C1D" w:rsidP="00BE2C1D">
      <w:pPr>
        <w:spacing w:line="360" w:lineRule="auto"/>
        <w:ind w:left="720"/>
        <w:jc w:val="both"/>
        <w:rPr>
          <w:rFonts w:cstheme="minorHAnsi"/>
          <w:sz w:val="20"/>
          <w:szCs w:val="20"/>
          <w:lang w:val="en-US"/>
        </w:rPr>
      </w:pPr>
      <w:r w:rsidRPr="00BE2C1D">
        <w:rPr>
          <w:rFonts w:cstheme="minorHAnsi"/>
          <w:sz w:val="20"/>
          <w:szCs w:val="20"/>
          <w:lang w:val="en-US"/>
        </w:rPr>
        <w:t>A whole set of knowledges that have been disqualified as inadequate to their task or insufficiently elaborated; naïve knowledges located low down on the hierarchy, beneath the required level of cognition or scientificity (ibid).</w:t>
      </w:r>
    </w:p>
    <w:p w14:paraId="74F9B2CF" w14:textId="77777777" w:rsidR="00BE2C1D" w:rsidRPr="00BE2C1D" w:rsidRDefault="00BE2C1D" w:rsidP="00BE2C1D">
      <w:pPr>
        <w:spacing w:line="360" w:lineRule="auto"/>
        <w:jc w:val="both"/>
        <w:rPr>
          <w:rFonts w:cstheme="minorHAnsi"/>
          <w:lang w:val="en-US"/>
        </w:rPr>
      </w:pPr>
      <w:r w:rsidRPr="00BE2C1D">
        <w:rPr>
          <w:rFonts w:cstheme="minorHAnsi"/>
          <w:lang w:val="en-US"/>
        </w:rPr>
        <w:t xml:space="preserve">Harwood (2001) argued that narrative research was particularly useful for accessing and reclaiming the value of subjugated disqualified knowledges as well as for considering why these storytellers and their knowledges were subjugated and disqualified in the first place. However, for narrative research to achieve this goal, flexibility on behalf of the researcher in relation to the definition of stories was essential, which was why Harwood resisted to define stories and narrative research and why I chose the small stories approach (Georgakopoulou 2015). Moreover, subjugated disqualified knowledges also related to marginalised experience, because they shed light on what knowledges and experiences had been dismissed due to the dominance of master narratives. In relation to disability and disabled people’s stories, Be (2019: 16) noted </w:t>
      </w:r>
      <w:r w:rsidRPr="00BE2C1D">
        <w:rPr>
          <w:rFonts w:ascii="Calibri" w:hAnsi="Calibri" w:cs="Calibri"/>
          <w:bCs/>
        </w:rPr>
        <w:t xml:space="preserve">how ableism devalued and policed disabled and chronically ill people’s subjugated knowledges and how these knowledges were subject to a ‘massive epistemicide’, meaning that they had been silenced and erased. This epistemicide was (re)produced by and through the ‘epistemic invalidation’ (Wendell 1997) and ‘ontological invalidation’ (Hughes 2012) of disabled people, whose stories were silenced or invalidated.  </w:t>
      </w:r>
    </w:p>
    <w:p w14:paraId="2A4DB27A" w14:textId="77777777" w:rsidR="00BE2C1D" w:rsidRPr="00BE2C1D" w:rsidRDefault="00BE2C1D" w:rsidP="00BE2C1D">
      <w:pPr>
        <w:spacing w:line="360" w:lineRule="auto"/>
        <w:jc w:val="both"/>
        <w:rPr>
          <w:rFonts w:ascii="Calibri" w:hAnsi="Calibri" w:cs="Calibri"/>
          <w:bCs/>
        </w:rPr>
      </w:pPr>
      <w:r w:rsidRPr="00BE2C1D">
        <w:rPr>
          <w:rFonts w:ascii="Calibri" w:hAnsi="Calibri" w:cs="Calibri"/>
          <w:bCs/>
        </w:rPr>
        <w:t xml:space="preserve">Tamboukou’s (2013) Foucauldian approach to narrative research identified two types of narratives: narratives as ‘technologies of power’ and narratives as ‘technologies of the self’. The former had to do with how narratives ‘determine the conduct of individuals and submit them to a certain ends or </w:t>
      </w:r>
      <w:r w:rsidRPr="00BE2C1D">
        <w:rPr>
          <w:rFonts w:ascii="Calibri" w:hAnsi="Calibri" w:cs="Calibri"/>
          <w:bCs/>
        </w:rPr>
        <w:lastRenderedPageBreak/>
        <w:t xml:space="preserve">domination, an objectivizing of the subject’ (Foucault 1988: 18, cited in Tamboukou 2013: 93) and the latter theorised narratives as ‘active practices of self-formation’ (ibid). Narratives constituted then discursive regimes which objectified, that is how storytellers were turned into objects of discourses, and subjectified, that is how the storytellers actively turned themselves into subjects. </w:t>
      </w:r>
      <w:r w:rsidRPr="00BE2C1D">
        <w:t>This approach also paid attention to the unequal and power-laden distribution of narrative agency, that is whose stories were ‘legitimate’ and listened to and whose stories were disqualified and silenced (Harwood, 2001). This is pertinent to this research, considering how children and young people are constructed as ‘incapable of giving credible testimony’ (Alcoff and Gray 1993: 266), a case which is exacerbated for disabled children and young people (Liddiard et al. 2018), whose stories are excluded from (and because of) the dominant narratives of disability.</w:t>
      </w:r>
    </w:p>
    <w:p w14:paraId="01C4AECB" w14:textId="77777777" w:rsidR="00BE2C1D" w:rsidRPr="00BE2C1D" w:rsidRDefault="00BE2C1D" w:rsidP="00BE2C1D">
      <w:pPr>
        <w:spacing w:line="360" w:lineRule="auto"/>
        <w:jc w:val="both"/>
        <w:rPr>
          <w:rFonts w:ascii="Calibri" w:hAnsi="Calibri" w:cs="Calibri"/>
          <w:bCs/>
        </w:rPr>
      </w:pPr>
      <w:r w:rsidRPr="00BE2C1D">
        <w:rPr>
          <w:rFonts w:ascii="Calibri" w:hAnsi="Calibri" w:cs="Calibri"/>
          <w:bCs/>
        </w:rPr>
        <w:t>When it comes to how disability is storied, there are two self-proclaimed storytellers who objectify disabled people: Medicine (Michalko 2009) and ‘ableism’</w:t>
      </w:r>
      <w:r w:rsidRPr="00BE2C1D">
        <w:rPr>
          <w:rFonts w:ascii="Calibri" w:hAnsi="Calibri" w:cs="Calibri"/>
          <w:bCs/>
          <w:vertAlign w:val="superscript"/>
        </w:rPr>
        <w:footnoteReference w:id="66"/>
      </w:r>
      <w:r w:rsidRPr="00BE2C1D">
        <w:rPr>
          <w:rFonts w:ascii="Calibri" w:hAnsi="Calibri" w:cs="Calibri"/>
          <w:bCs/>
        </w:rPr>
        <w:t xml:space="preserve"> (Campbell 2009). The medical narrative stories the disabled body as ‘a body gone wrong’ (Michalko 2009), as a ‘damaged’ body in need of fixing (McLaughlin and Coleman-Fountain 2014). It obtains a ‘master’ status - meaning that they become ‘master narratives’ (Smith and Sparkes 2008), as ‘the story told by the physician becomes the one against which others are ultimately judged true or false, useful or not’ (Frank 1995: 5). In relation to ableism, Campbell (2009: 197) asserted:</w:t>
      </w:r>
    </w:p>
    <w:p w14:paraId="71724542" w14:textId="77777777" w:rsidR="00BE2C1D" w:rsidRPr="00BE2C1D" w:rsidRDefault="00BE2C1D" w:rsidP="00BE2C1D">
      <w:pPr>
        <w:spacing w:line="360" w:lineRule="auto"/>
        <w:ind w:left="720"/>
        <w:jc w:val="both"/>
        <w:rPr>
          <w:rFonts w:ascii="Calibri" w:hAnsi="Calibri" w:cs="Calibri"/>
          <w:bCs/>
        </w:rPr>
      </w:pPr>
      <w:r w:rsidRPr="00BE2C1D">
        <w:rPr>
          <w:rFonts w:ascii="Calibri" w:eastAsia="Times New Roman" w:hAnsi="Calibri" w:cs="Calibri"/>
          <w:bCs/>
          <w:sz w:val="20"/>
          <w:szCs w:val="20"/>
          <w:lang w:eastAsia="en-GB"/>
        </w:rPr>
        <w:t>The ‘real’ story being told is about ableism - the ways our bodies should be or at least strive to become.  The ableist story unfolds as a comportment of living from our early years as a child and into adulthood, creating a code that helps each of us to make sense of the contingencies and exigencies of living.</w:t>
      </w:r>
    </w:p>
    <w:p w14:paraId="47D7F8ED" w14:textId="77777777" w:rsidR="00BE2C1D" w:rsidRPr="00BE2C1D" w:rsidRDefault="00BE2C1D" w:rsidP="00BE2C1D">
      <w:pPr>
        <w:spacing w:before="100" w:beforeAutospacing="1" w:after="0" w:afterAutospacing="1" w:line="360" w:lineRule="auto"/>
        <w:jc w:val="both"/>
        <w:rPr>
          <w:rFonts w:ascii="Calibri" w:eastAsia="Times New Roman" w:hAnsi="Calibri" w:cs="Calibri"/>
          <w:bCs/>
          <w:sz w:val="20"/>
          <w:szCs w:val="20"/>
          <w:lang w:eastAsia="en-GB"/>
        </w:rPr>
      </w:pPr>
      <w:r w:rsidRPr="00BE2C1D">
        <w:rPr>
          <w:rFonts w:ascii="Calibri" w:eastAsia="Times New Roman" w:hAnsi="Calibri" w:cs="Calibri"/>
          <w:bCs/>
          <w:lang w:eastAsia="en-GB"/>
        </w:rPr>
        <w:t>Ableism stalks and haunts the disabled body (Campbell 2009), as it is constantly measured and assessed against and expected to conform to its standards.</w:t>
      </w:r>
      <w:r w:rsidRPr="00BE2C1D">
        <w:rPr>
          <w:rFonts w:ascii="Calibri" w:eastAsia="Times New Roman" w:hAnsi="Calibri" w:cs="Calibri"/>
          <w:bCs/>
          <w:sz w:val="20"/>
          <w:szCs w:val="20"/>
          <w:lang w:eastAsia="en-GB"/>
        </w:rPr>
        <w:t xml:space="preserve"> </w:t>
      </w:r>
    </w:p>
    <w:p w14:paraId="437587EB" w14:textId="77777777" w:rsidR="00BE2C1D" w:rsidRPr="00BE2C1D" w:rsidRDefault="00BE2C1D" w:rsidP="00BE2C1D">
      <w:pPr>
        <w:spacing w:before="100" w:beforeAutospacing="1" w:after="100" w:afterAutospacing="1" w:line="360" w:lineRule="auto"/>
        <w:jc w:val="both"/>
        <w:rPr>
          <w:rFonts w:eastAsia="Times New Roman" w:cstheme="minorHAnsi"/>
          <w:lang w:val="en-US" w:eastAsia="en-GB"/>
        </w:rPr>
      </w:pPr>
      <w:r w:rsidRPr="00BE2C1D">
        <w:rPr>
          <w:rFonts w:eastAsia="Times New Roman" w:cstheme="minorHAnsi"/>
          <w:lang w:val="en-US" w:eastAsia="en-GB"/>
        </w:rPr>
        <w:t xml:space="preserve">Tamboukou’s (2013) and Harwood’s (2001) work then drew the attention on the power relations that permitted certain stories to be listened to and others to be disqualified (Squire et al. 2013). This is relevant to this research, considering how the subjugated knowledges of young people with RG have been silenced, as they were already disqualified from making any (meaningful) contributions for their own experiences. Therefore, one of the aims of this research is to acknowledge and reclaim the epistemological value of such subjugated knowledges. Moreover, Tamboukou’s and Harwood’s narrative approach was in line with the interrogation of the experience, as they invited the researcher to consider how such experience was storied within the existent power relations and theorise it </w:t>
      </w:r>
      <w:r w:rsidRPr="00BE2C1D">
        <w:rPr>
          <w:rFonts w:eastAsia="Times New Roman" w:cstheme="minorHAnsi"/>
          <w:lang w:val="en-US" w:eastAsia="en-GB"/>
        </w:rPr>
        <w:lastRenderedPageBreak/>
        <w:t xml:space="preserve">accordingly. Furthermore, this research explores how dominant narratives of RG shaped the experiences of young people with RG and how young people with RG used narratives as technologies of the self to story their experiences. </w:t>
      </w:r>
    </w:p>
    <w:p w14:paraId="0EEC2AD3" w14:textId="77777777" w:rsidR="00BE2C1D" w:rsidRPr="00BE2C1D" w:rsidRDefault="00BE2C1D" w:rsidP="00BE2C1D">
      <w:pPr>
        <w:spacing w:before="100" w:beforeAutospacing="1" w:after="100" w:afterAutospacing="1" w:line="360" w:lineRule="auto"/>
        <w:jc w:val="both"/>
        <w:rPr>
          <w:rFonts w:eastAsia="Times New Roman" w:cstheme="minorHAnsi"/>
          <w:lang w:val="en-US" w:eastAsia="en-GB"/>
        </w:rPr>
      </w:pPr>
      <w:r w:rsidRPr="00BE2C1D">
        <w:rPr>
          <w:rFonts w:eastAsia="Times New Roman" w:cstheme="minorHAnsi"/>
          <w:lang w:val="en-US" w:eastAsia="en-GB"/>
        </w:rPr>
        <w:t xml:space="preserve">In a nutshell, extending the discussion of small stories and marginalised experience, in this section I examined how a feminist poststructuralist approach to narrative research, which engaged with Foucault’s work, also informed my narrative approach. In particular, it paid attention to the power relations within which narratives were positioned and to how (small) stories could be productive of subjugated disqualified knowledge. In the next section I consider the role and place of narrative inquiry in CDS and DCCS.  </w:t>
      </w:r>
    </w:p>
    <w:p w14:paraId="15339C13" w14:textId="77777777" w:rsidR="00BE2C1D" w:rsidRPr="00BE2C1D" w:rsidRDefault="00BE2C1D" w:rsidP="00BE2C1D">
      <w:pPr>
        <w:keepNext/>
        <w:keepLines/>
        <w:spacing w:before="40" w:after="0"/>
        <w:outlineLvl w:val="2"/>
        <w:rPr>
          <w:rFonts w:asciiTheme="majorHAnsi" w:eastAsia="Times New Roman" w:hAnsiTheme="majorHAnsi" w:cstheme="minorHAnsi"/>
          <w:color w:val="1F3763" w:themeColor="accent1" w:themeShade="7F"/>
          <w:sz w:val="24"/>
          <w:szCs w:val="24"/>
          <w:lang w:val="en-US" w:eastAsia="en-GB"/>
        </w:rPr>
      </w:pPr>
      <w:bookmarkStart w:id="93" w:name="_Toc39585233"/>
      <w:r w:rsidRPr="00BE2C1D">
        <w:rPr>
          <w:rFonts w:asciiTheme="majorHAnsi" w:eastAsiaTheme="majorEastAsia" w:hAnsiTheme="majorHAnsi" w:cstheme="majorBidi"/>
          <w:color w:val="1F3763" w:themeColor="accent1" w:themeShade="7F"/>
          <w:sz w:val="24"/>
          <w:szCs w:val="24"/>
          <w:lang w:val="en-US" w:eastAsia="zh-CN"/>
        </w:rPr>
        <w:t>Narrative Inquiry</w:t>
      </w:r>
      <w:r w:rsidRPr="00BE2C1D">
        <w:rPr>
          <w:rFonts w:asciiTheme="majorHAnsi" w:eastAsiaTheme="majorEastAsia" w:hAnsiTheme="majorHAnsi" w:cstheme="majorBidi"/>
          <w:color w:val="1F3763" w:themeColor="accent1" w:themeShade="7F"/>
          <w:sz w:val="24"/>
          <w:szCs w:val="24"/>
          <w:lang w:eastAsia="zh-CN"/>
        </w:rPr>
        <w:t xml:space="preserve"> in Critical Disability Studies (CDS) and Disabled Children’s Childhood Studies (DCCS)</w:t>
      </w:r>
      <w:bookmarkEnd w:id="93"/>
      <w:r w:rsidRPr="00BE2C1D">
        <w:rPr>
          <w:rFonts w:asciiTheme="majorHAnsi" w:eastAsiaTheme="majorEastAsia" w:hAnsiTheme="majorHAnsi" w:cstheme="majorBidi"/>
          <w:color w:val="1F3763" w:themeColor="accent1" w:themeShade="7F"/>
          <w:sz w:val="24"/>
          <w:szCs w:val="24"/>
          <w:lang w:eastAsia="zh-CN"/>
        </w:rPr>
        <w:t xml:space="preserve">   </w:t>
      </w:r>
    </w:p>
    <w:p w14:paraId="77F739F3" w14:textId="77777777" w:rsidR="00BE2C1D" w:rsidRPr="00BE2C1D" w:rsidRDefault="00BE2C1D" w:rsidP="00BE2C1D">
      <w:pPr>
        <w:spacing w:before="100" w:beforeAutospacing="1" w:after="100" w:afterAutospacing="1" w:line="360" w:lineRule="auto"/>
        <w:ind w:left="720"/>
        <w:jc w:val="both"/>
        <w:rPr>
          <w:rFonts w:eastAsia="Times New Roman" w:cstheme="minorHAnsi"/>
          <w:lang w:eastAsia="en-GB"/>
        </w:rPr>
      </w:pPr>
      <w:r w:rsidRPr="00BE2C1D">
        <w:rPr>
          <w:rFonts w:ascii="Calibri" w:eastAsia="Times New Roman" w:hAnsi="Calibri" w:cs="Calibri"/>
          <w:bCs/>
          <w:sz w:val="20"/>
          <w:szCs w:val="20"/>
          <w:lang w:eastAsia="en-GB"/>
        </w:rPr>
        <w:t xml:space="preserve">To say anything about disability is to tell something of the life of disability - its meaning - and ‘to tell’ is the Latin root-meaning of ‘narrative’. Disability, then, always has a narrative form; insofar as we say, do, or imagine something about disability, it is a storied life (Titchkosky and Michalko 2014: 101). </w:t>
      </w:r>
    </w:p>
    <w:p w14:paraId="62771031" w14:textId="77777777" w:rsidR="00BE2C1D" w:rsidRPr="00BE2C1D" w:rsidRDefault="00BE2C1D" w:rsidP="00BE2C1D">
      <w:pPr>
        <w:spacing w:before="100" w:beforeAutospacing="1" w:after="100" w:afterAutospacing="1" w:line="360" w:lineRule="auto"/>
        <w:jc w:val="both"/>
        <w:rPr>
          <w:rFonts w:eastAsia="Times New Roman" w:cstheme="minorHAnsi"/>
          <w:lang w:val="en-US" w:eastAsia="en-GB"/>
        </w:rPr>
      </w:pPr>
      <w:r w:rsidRPr="00BE2C1D">
        <w:t xml:space="preserve">I have already discussed how disability is storied through the master narratives of medicine and ableism and how such narratives make disabled bodies intelligible.  In this section I focus on how these stories are resisted and disrupted through the counter-narratives (Fisher and Goodley 2007) of disabled people, when their epistemic agency and value are recognised, a space which I argue is provided by and in CDS.  </w:t>
      </w:r>
    </w:p>
    <w:p w14:paraId="0CB51DD1" w14:textId="77777777" w:rsidR="00BE2C1D" w:rsidRPr="00BE2C1D" w:rsidRDefault="00BE2C1D" w:rsidP="00BE2C1D">
      <w:pPr>
        <w:spacing w:line="360" w:lineRule="auto"/>
        <w:jc w:val="both"/>
      </w:pPr>
      <w:r w:rsidRPr="00BE2C1D">
        <w:t>CDS and DCCS have engaged with narrative inquiry to re-story disability (Alhvik-Harju 2016; Campbell 2008a; Douglas et al. 2019; Fisher and Goodley, 2007; Goodley and Runswick-Cole, 2012a; Goodley and Runswick-Cole 2013; Liddiard 2018; Rice and Mundel 2018; Rice et al. 2016; Smith 2016; Smith and Sparkes 2008). Stories of disability and disabled childhoods as a deficit and as a tragedy are disrupted, since disability is reclaimed ‘out of its normative shadows’ (Overboe 2007; Curran and Runswick-Cole 2014). Affirmative (Swain and French 2000) and crip</w:t>
      </w:r>
      <w:r w:rsidRPr="00BE2C1D">
        <w:rPr>
          <w:vertAlign w:val="superscript"/>
        </w:rPr>
        <w:footnoteReference w:id="67"/>
      </w:r>
      <w:r w:rsidRPr="00BE2C1D">
        <w:t xml:space="preserve"> (McRuer 2006) stories of disability depict disability as desirable, without undermining the realities of disablism and ableism though. Moreover, storytelling in CDS honours and legitimates the subjugated knowledges produced in the first-hand accounts of disabled people (Be 2019).</w:t>
      </w:r>
    </w:p>
    <w:p w14:paraId="1B4591A0" w14:textId="77777777" w:rsidR="00BE2C1D" w:rsidRPr="00BE2C1D" w:rsidRDefault="00BE2C1D" w:rsidP="00BE2C1D">
      <w:pPr>
        <w:spacing w:line="360" w:lineRule="auto"/>
        <w:jc w:val="both"/>
      </w:pPr>
      <w:r w:rsidRPr="00BE2C1D">
        <w:lastRenderedPageBreak/>
        <w:t>Nevertheless, two important aspects of counter-storytelling are raised by McLaughlin and Coleman-Fountain (2019): firstly, counter-storytelling does not escape from the hierarchical power relations that position certain stories as counter-narratives in the first place and, therefore, their potential effect should not be romanticised. Secondly, counter narratives can also draw on the same narrative resources reproduced by the master narratives of disability. Regarding the first issue, in their research with disabled young people, McLaughlin and Coleman-Fountain (2019) referred to how the participants made certain narrative choices that enabled them to represent themselves and their disabled body affirmatively in their visual narratives. However, the participants were also aware of the possibility of their visual stories being misread due to the dominant visual narratives of disability:</w:t>
      </w:r>
    </w:p>
    <w:p w14:paraId="56F07187" w14:textId="77777777" w:rsidR="00BE2C1D" w:rsidRPr="00BE2C1D" w:rsidRDefault="00BE2C1D" w:rsidP="00BE2C1D">
      <w:pPr>
        <w:spacing w:after="0" w:line="360" w:lineRule="auto"/>
        <w:ind w:left="720"/>
        <w:jc w:val="both"/>
        <w:rPr>
          <w:rFonts w:ascii="Calibri" w:eastAsia="Times New Roman" w:hAnsi="Calibri" w:cs="Calibri"/>
          <w:bCs/>
          <w:sz w:val="20"/>
          <w:szCs w:val="20"/>
          <w:lang w:eastAsia="en-GB"/>
        </w:rPr>
      </w:pPr>
      <w:r w:rsidRPr="00BE2C1D">
        <w:rPr>
          <w:rFonts w:ascii="Calibri" w:eastAsia="Times New Roman" w:hAnsi="Calibri" w:cs="Calibri"/>
          <w:bCs/>
          <w:sz w:val="20"/>
          <w:szCs w:val="20"/>
          <w:lang w:eastAsia="en-GB"/>
        </w:rPr>
        <w:t>The young people are knowledgeable subjects, aware that various aspects of their subject position and broader dynamics of what and how people see, mean that what they request is not something they can control. The regimes of seeing they are embedded within remain significant barriers to the counter narratives they produce for others to</w:t>
      </w:r>
      <w:r w:rsidRPr="00BE2C1D">
        <w:rPr>
          <w:rFonts w:ascii="Calibri" w:eastAsia="Times New Roman" w:hAnsi="Calibri" w:cs="Calibri"/>
          <w:sz w:val="20"/>
          <w:szCs w:val="20"/>
          <w:lang w:eastAsia="en-GB"/>
        </w:rPr>
        <w:t xml:space="preserve"> </w:t>
      </w:r>
      <w:r w:rsidRPr="00BE2C1D">
        <w:rPr>
          <w:rFonts w:ascii="Calibri" w:eastAsia="Times New Roman" w:hAnsi="Calibri" w:cs="Calibri"/>
          <w:bCs/>
          <w:sz w:val="20"/>
          <w:szCs w:val="20"/>
          <w:lang w:eastAsia="en-GB"/>
        </w:rPr>
        <w:t>recognise them through. They also do not fully escape dominant visual regimes that produce hierarchies of acceptable and unacceptable bodies in the echoes of such regimes found in their narratives (McLaughlin and Coleman-Fountain 2019: 378).</w:t>
      </w:r>
    </w:p>
    <w:p w14:paraId="6140300B" w14:textId="77777777" w:rsidR="00BE2C1D" w:rsidRPr="00BE2C1D" w:rsidRDefault="00BE2C1D" w:rsidP="00BE2C1D">
      <w:pPr>
        <w:spacing w:after="0" w:line="360" w:lineRule="auto"/>
        <w:jc w:val="both"/>
        <w:rPr>
          <w:rFonts w:eastAsia="Times New Roman" w:cstheme="minorHAnsi"/>
          <w:lang w:eastAsia="en-GB"/>
        </w:rPr>
      </w:pPr>
      <w:r w:rsidRPr="00BE2C1D">
        <w:rPr>
          <w:rFonts w:ascii="Calibri" w:eastAsia="Times New Roman" w:hAnsi="Calibri" w:cs="Calibri"/>
          <w:bCs/>
          <w:lang w:eastAsia="en-GB"/>
        </w:rPr>
        <w:t xml:space="preserve">The last sentence in the above quote relates to the second issue: counter narratives are not always antithetical to the hierarchical discourses that the master narratives of disability built on, as they can also constitute part of them. </w:t>
      </w:r>
      <w:r w:rsidRPr="00BE2C1D">
        <w:rPr>
          <w:rFonts w:eastAsia="Times New Roman" w:cstheme="minorHAnsi"/>
          <w:lang w:eastAsia="en-GB"/>
        </w:rPr>
        <w:t>As Smith and Sparkes (2009) argue, narratives are not ‘natural constructs’, but are embedded in a culture with available narratives to be drawn upon (McLaughlin and Coleman-Fountain, 2019). Murray (1999), McAdams (2006) and Smith and Sparkes (2008) discuss the notion of a ‘narrative menu’ or a ‘stock of narratives’ that are already available in culture, which storytellers strategically draw on to story their experiences (Gubrium and Holstein 2009). While recognition of narrative agency in relation to picking resources (Sparkes and Smith 2011) is significant, considering how disabled people’s stories have been silenced (Be 2019), these stories are still power-laden and need to be understood within the contexts that they are produced.</w:t>
      </w:r>
    </w:p>
    <w:p w14:paraId="767FF454" w14:textId="77777777" w:rsidR="00BE2C1D" w:rsidRPr="00BE2C1D" w:rsidRDefault="00BE2C1D" w:rsidP="00BE2C1D">
      <w:pPr>
        <w:spacing w:after="0" w:line="360" w:lineRule="auto"/>
        <w:jc w:val="both"/>
        <w:rPr>
          <w:rFonts w:eastAsia="Times New Roman" w:cstheme="minorHAnsi"/>
          <w:lang w:eastAsia="en-GB"/>
        </w:rPr>
      </w:pPr>
    </w:p>
    <w:p w14:paraId="25CD2EA8" w14:textId="77777777" w:rsidR="00BE2C1D" w:rsidRPr="00BE2C1D" w:rsidRDefault="00BE2C1D" w:rsidP="00BE2C1D">
      <w:pPr>
        <w:spacing w:line="360" w:lineRule="auto"/>
        <w:jc w:val="both"/>
        <w:rPr>
          <w:sz w:val="20"/>
          <w:szCs w:val="20"/>
        </w:rPr>
      </w:pPr>
      <w:r w:rsidRPr="00BE2C1D">
        <w:t xml:space="preserve">Research with young disabled people reflecting on how they experience their disabled bodies showed how medical and ableist discourses are part of their narratives (Abbott and Carpenter 2014; 2015; Gibson et al. 2014; McLaughlin and Coleman Fountain 2014, 2018; Skyrme 2017a, 2017b). In their research with young men with Duchenne Syndrome, Gibson et al. (2014) referred to the ‘narratives of non-difference’, through which these young men claimed ‘gendered identities of normality’, identities which were denied to them because of their impairment. Similarly, McLaughlin and Coleman-Fountain (2018, 2019) in their research with young people with Cerebral Palsy also discussed how the participants’ desire to be understood as ‘normal’ was materialised in their narratives when they claimed ‘sameness’ to their non-disabled peers through discourses of independency and so on. Gibson </w:t>
      </w:r>
      <w:r w:rsidRPr="00BE2C1D">
        <w:lastRenderedPageBreak/>
        <w:t xml:space="preserve">et al. (2014) and McLaughlin and Coleman-Fountain (2018) related these narratives to the pursuit of ‘normality’ and ‘ordinariness’ respectively, which either left such discourses unquestioned or they aimed at broadening their meaning. As Tamboukou (2013: 92) reminds us, ‘narratives always emerge in contexts, saturated by power/knowledge relations that keep destabilizing their meanings and characters’. However, as Abbott and Carpenter (2014) noted, incorporating medical and ableist discourses in their narratives does not make the young people ‘bad’ social model actors. McLaughlin and Coleman-Fountain (2019) argued that the young people’s stories drew on the ‘grammar of individualism’ (Gill, 2005, cited in McLaughlin and Coleman-Fountain, 2019: 378) as a means to be recognised as good citizens and, although their narratives </w:t>
      </w:r>
    </w:p>
    <w:p w14:paraId="4B83AB7D" w14:textId="77777777" w:rsidR="00BE2C1D" w:rsidRPr="00BE2C1D" w:rsidRDefault="00BE2C1D" w:rsidP="00BE2C1D">
      <w:pPr>
        <w:spacing w:line="360" w:lineRule="auto"/>
        <w:ind w:left="720"/>
        <w:jc w:val="both"/>
        <w:rPr>
          <w:rFonts w:ascii="Calibri" w:hAnsi="Calibri" w:cs="Calibri"/>
          <w:sz w:val="20"/>
          <w:szCs w:val="20"/>
        </w:rPr>
      </w:pPr>
      <w:r w:rsidRPr="00BE2C1D">
        <w:rPr>
          <w:rFonts w:ascii="Calibri" w:hAnsi="Calibri" w:cs="Calibri"/>
          <w:sz w:val="20"/>
          <w:szCs w:val="20"/>
        </w:rPr>
        <w:t xml:space="preserve">can be thought of as compromised by being embedded in contemporary celebrations of individual independence, there is still a political expansion in the imaginaries they opened up. Disability was present in their displays and how they wanted to be seen (ibid: 378). </w:t>
      </w:r>
    </w:p>
    <w:p w14:paraId="1556A6B1" w14:textId="77777777" w:rsidR="00BE2C1D" w:rsidRPr="00BE2C1D" w:rsidRDefault="00BE2C1D" w:rsidP="00BE2C1D">
      <w:pPr>
        <w:spacing w:line="360" w:lineRule="auto"/>
        <w:jc w:val="both"/>
      </w:pPr>
      <w:r w:rsidRPr="00BE2C1D">
        <w:t xml:space="preserve">In a summary, counter-storytelling has occupied a central space in CDS and DCCS in terms of representing disability affirmatively and reclaiming it from its normative shadows and as desirable. Nevertheless, CDS and DCCS has also called for attention to how much disruption such counter-stories could trigger to the master narratives considering the existing power relations. Moreover, counter-narratives could also draw on the same narrative resources with the master narratives, risking the perpetuation of the same hierarchical discourses that feed into them. All these considerations were crucial in this research, as I did not want to reproduce an idealised version of the binary between master and counter-narratives, which treated them as antithetical. What I explore is how the stories of the young people with RG could be disruptive of the master narratives of RG, but they could also draw on the same hierarchical discourses with them. This was in line with Goodley et al.’s (2004: viii-x) perspective of narratives: </w:t>
      </w:r>
      <w:r w:rsidRPr="00BE2C1D">
        <w:rPr>
          <w:rFonts w:cstheme="minorHAnsi"/>
          <w:lang w:val="en-US"/>
        </w:rPr>
        <w:t>“narratives are always politicized, structured, culturised and socialized. Narratives may be our best hope of capturing structures that continue to shape, divide and separate human beings’.</w:t>
      </w:r>
      <w:r w:rsidRPr="00BE2C1D">
        <w:t xml:space="preserve"> </w:t>
      </w:r>
      <w:r w:rsidRPr="00BE2C1D">
        <w:rPr>
          <w:rFonts w:cstheme="minorHAnsi"/>
          <w:lang w:val="en-US"/>
        </w:rPr>
        <w:t xml:space="preserve">Having provided an overview of the theoretical frameworks that shaped my narrative approach, I now turn to how I analysed participants’ stories. </w:t>
      </w:r>
    </w:p>
    <w:p w14:paraId="38458455" w14:textId="77777777" w:rsidR="00BE2C1D" w:rsidRPr="00BE2C1D" w:rsidRDefault="00BE2C1D" w:rsidP="00BE2C1D">
      <w:pPr>
        <w:keepNext/>
        <w:keepLines/>
        <w:spacing w:before="40" w:after="0" w:line="360" w:lineRule="auto"/>
        <w:outlineLvl w:val="1"/>
        <w:rPr>
          <w:rFonts w:asciiTheme="majorHAnsi" w:eastAsiaTheme="majorEastAsia" w:hAnsiTheme="majorHAnsi" w:cstheme="majorBidi"/>
          <w:color w:val="2F5496" w:themeColor="accent1" w:themeShade="BF"/>
          <w:sz w:val="26"/>
          <w:szCs w:val="26"/>
          <w:lang w:eastAsia="zh-CN"/>
        </w:rPr>
      </w:pPr>
      <w:bookmarkStart w:id="94" w:name="_Toc39585234"/>
      <w:r w:rsidRPr="00BE2C1D">
        <w:rPr>
          <w:rFonts w:asciiTheme="majorHAnsi" w:eastAsiaTheme="majorEastAsia" w:hAnsiTheme="majorHAnsi" w:cstheme="majorBidi"/>
          <w:color w:val="2F5496" w:themeColor="accent1" w:themeShade="BF"/>
          <w:sz w:val="26"/>
          <w:szCs w:val="26"/>
          <w:lang w:eastAsia="zh-CN"/>
        </w:rPr>
        <w:t>Method of Analysis</w:t>
      </w:r>
      <w:bookmarkEnd w:id="94"/>
    </w:p>
    <w:p w14:paraId="5DF274EA" w14:textId="77777777" w:rsidR="00BE2C1D" w:rsidRPr="00BE2C1D" w:rsidRDefault="00BE2C1D" w:rsidP="00BE2C1D">
      <w:pPr>
        <w:spacing w:line="360" w:lineRule="auto"/>
        <w:jc w:val="both"/>
      </w:pPr>
      <w:r w:rsidRPr="00BE2C1D">
        <w:t xml:space="preserve">The focus in this part is the method of analysis of the stories. All the interviews (in person and Skype) were transcribed verbatim and the email interviews, the digital stories shared on the ‘private’ weblog and the stories from a participants’ ‘public’ weblog were copied and pasted on a Word document. I then proceeded with a narrative thematic analysis (Braun and Clarke 2006; Riessman 2005; Smith et al. 2016). As Riessman (2005: 3) argued, ‘The thematic approach is useful for theorising across a </w:t>
      </w:r>
      <w:r w:rsidRPr="00BE2C1D">
        <w:lastRenderedPageBreak/>
        <w:t xml:space="preserve">number of cases - finding common thematic elements across research participants and the events they report.’ The analysis included the following stages: </w:t>
      </w:r>
    </w:p>
    <w:p w14:paraId="397C0C26" w14:textId="77777777" w:rsidR="00BE2C1D" w:rsidRPr="00BE2C1D" w:rsidRDefault="00BE2C1D" w:rsidP="00BE2C1D">
      <w:pPr>
        <w:numPr>
          <w:ilvl w:val="0"/>
          <w:numId w:val="2"/>
        </w:numPr>
        <w:spacing w:line="360" w:lineRule="auto"/>
        <w:contextualSpacing/>
        <w:jc w:val="both"/>
      </w:pPr>
      <w:r w:rsidRPr="00BE2C1D">
        <w:t xml:space="preserve">I started with reading and re-reading the stories multiple times to achieve what is referred as ‘familiarisation’ with the data (Braun and Clarke 2006). Such familiarisation had already started during the transcribing process (Kvale 2007).  </w:t>
      </w:r>
    </w:p>
    <w:p w14:paraId="66EAF128" w14:textId="77777777" w:rsidR="00BE2C1D" w:rsidRPr="00BE2C1D" w:rsidRDefault="00BE2C1D" w:rsidP="00BE2C1D">
      <w:pPr>
        <w:numPr>
          <w:ilvl w:val="0"/>
          <w:numId w:val="2"/>
        </w:numPr>
        <w:spacing w:line="360" w:lineRule="auto"/>
        <w:contextualSpacing/>
        <w:jc w:val="both"/>
      </w:pPr>
      <w:r w:rsidRPr="00BE2C1D">
        <w:t xml:space="preserve">The familiarisation process was followed by colour-coding, that is searching codes within the stories and across the stories (e.g. teachers, teaching assistants), which were highlighted with different colours (e.g. yellow for teachers, green for teaching assistants etc).  </w:t>
      </w:r>
    </w:p>
    <w:p w14:paraId="5E328630" w14:textId="77777777" w:rsidR="00BE2C1D" w:rsidRPr="00BE2C1D" w:rsidRDefault="00BE2C1D" w:rsidP="00BE2C1D">
      <w:pPr>
        <w:numPr>
          <w:ilvl w:val="0"/>
          <w:numId w:val="2"/>
        </w:numPr>
        <w:spacing w:line="360" w:lineRule="auto"/>
        <w:contextualSpacing/>
        <w:jc w:val="both"/>
      </w:pPr>
      <w:r w:rsidRPr="00BE2C1D">
        <w:t>Colour-coding was succeeded by the identification of themes and sub-themes, which I then organised into four analysis chapters.</w:t>
      </w:r>
    </w:p>
    <w:p w14:paraId="5352C68A" w14:textId="77777777" w:rsidR="00BE2C1D" w:rsidRPr="00BE2C1D" w:rsidRDefault="00BE2C1D" w:rsidP="00BE2C1D">
      <w:pPr>
        <w:spacing w:line="360" w:lineRule="auto"/>
        <w:contextualSpacing/>
        <w:jc w:val="both"/>
      </w:pPr>
      <w:r w:rsidRPr="00BE2C1D">
        <w:t>For instance, using the term ‘teaching assistant’ as a code, I went through the participants’ stories and highlighted it (with yellow colour) whenever I came across it. Then, I read the full sentences (or paragraphs) within which this code had been encountered and started identifying common patterns in relation to when this code was used. For instance, teaching assistants were commonly discussed across the stories in relation to the support they provided participants with. Teaching assistants’ support then became one of the themes. Within the theme of support, different sub-themes came up, such as the different types of support teaching assistants offered (physical support, learning support) or the benefits and the drawbacks of support participants had identified, such as sorting out accommodations and the stigma of support respectively.</w:t>
      </w:r>
    </w:p>
    <w:p w14:paraId="29977393" w14:textId="77777777" w:rsidR="00BE2C1D" w:rsidRPr="00BE2C1D" w:rsidRDefault="00BE2C1D" w:rsidP="00BE2C1D">
      <w:pPr>
        <w:spacing w:line="360" w:lineRule="auto"/>
        <w:contextualSpacing/>
        <w:jc w:val="both"/>
      </w:pPr>
      <w:r w:rsidRPr="00BE2C1D">
        <w:t xml:space="preserve">  </w:t>
      </w:r>
    </w:p>
    <w:p w14:paraId="3239A745" w14:textId="77777777" w:rsidR="00BE2C1D" w:rsidRPr="00BE2C1D" w:rsidRDefault="00BE2C1D" w:rsidP="00BE2C1D">
      <w:pPr>
        <w:spacing w:line="360" w:lineRule="auto"/>
        <w:jc w:val="both"/>
      </w:pPr>
      <w:r w:rsidRPr="00BE2C1D">
        <w:t xml:space="preserve">Regarding the theoretical frameworks that I brought into the analysis and which shaped my interpretations of the stories, these were in line with my feminist epistemological and ontological approach to narratives of experience, where the theorisation and politicisation of narrated experience was an integral part. As Goodley (2000: 58, cited in Goodley et al. 2004: 149-150) argued,  </w:t>
      </w:r>
    </w:p>
    <w:p w14:paraId="68D2C5E0" w14:textId="77777777" w:rsidR="00BE2C1D" w:rsidRPr="00BE2C1D" w:rsidRDefault="00BE2C1D" w:rsidP="00BE2C1D">
      <w:pPr>
        <w:spacing w:after="0" w:line="360" w:lineRule="auto"/>
        <w:ind w:left="720"/>
        <w:jc w:val="both"/>
        <w:rPr>
          <w:rFonts w:ascii="Calibri" w:eastAsia="Times New Roman" w:hAnsi="Calibri" w:cs="Calibri"/>
          <w:lang w:eastAsia="en-GB"/>
        </w:rPr>
      </w:pPr>
      <w:r w:rsidRPr="00BE2C1D">
        <w:rPr>
          <w:rFonts w:ascii="Calibri" w:eastAsia="Times New Roman" w:hAnsi="Calibri" w:cs="Calibri"/>
          <w:sz w:val="20"/>
          <w:szCs w:val="20"/>
          <w:lang w:eastAsia="en-GB"/>
        </w:rPr>
        <w:t xml:space="preserve">The emic ['insider'] view of the narrator and the analytical and repertorial skills of the researcher are combined to draw our broader socio-structural, cultural, political and theoretical points..Drawing out points of convergence in a number of stories shows the relevance of a few accounts to many similar others...Stories cannot stand alone. </w:t>
      </w:r>
      <w:r w:rsidRPr="00BE2C1D">
        <w:rPr>
          <w:rFonts w:ascii="Calibri" w:eastAsia="Times New Roman" w:hAnsi="Calibri" w:cs="Calibri"/>
          <w:lang w:eastAsia="en-GB"/>
        </w:rPr>
        <w:t xml:space="preserve">  </w:t>
      </w:r>
    </w:p>
    <w:p w14:paraId="78FE0AF9" w14:textId="77777777" w:rsidR="00BE2C1D" w:rsidRPr="00BE2C1D" w:rsidRDefault="00BE2C1D" w:rsidP="00BE2C1D">
      <w:pPr>
        <w:spacing w:line="360" w:lineRule="auto"/>
        <w:jc w:val="both"/>
      </w:pPr>
      <w:r w:rsidRPr="00BE2C1D">
        <w:t>Moreover, adopting ‘plunder as a method’</w:t>
      </w:r>
      <w:r w:rsidRPr="00BE2C1D">
        <w:rPr>
          <w:vertAlign w:val="superscript"/>
        </w:rPr>
        <w:footnoteReference w:id="68"/>
      </w:r>
      <w:r w:rsidRPr="00BE2C1D">
        <w:t xml:space="preserve"> (Hughes et al 2012: 315) enabled me to </w:t>
      </w:r>
      <w:r w:rsidRPr="00BE2C1D">
        <w:rPr>
          <w:rFonts w:ascii="Calibri" w:eastAsia="Times New Roman" w:hAnsi="Calibri" w:cs="Calibri"/>
          <w:bCs/>
          <w:lang w:eastAsia="en-GB"/>
        </w:rPr>
        <w:t xml:space="preserve">draw on various theoretical frameworks to make sense and interpret the stories, including the CDS approaches discussed in the literature review (e.g. phenomenological and poststructuralist disability studies) as well as concepts and arguments from DCCS, such as centring disabled young people’s experiences and </w:t>
      </w:r>
      <w:r w:rsidRPr="00BE2C1D">
        <w:rPr>
          <w:rFonts w:ascii="Calibri" w:eastAsia="Times New Roman" w:hAnsi="Calibri" w:cs="Calibri"/>
          <w:bCs/>
          <w:lang w:eastAsia="en-GB"/>
        </w:rPr>
        <w:lastRenderedPageBreak/>
        <w:t xml:space="preserve">acknowledging their agency (Curran and Runswick-Cole 2014). </w:t>
      </w:r>
      <w:r w:rsidRPr="00BE2C1D">
        <w:rPr>
          <w:lang w:eastAsia="en-GB"/>
        </w:rPr>
        <w:t xml:space="preserve">The rationale for providing different theoretical readings of the stories, as put forward by Goodley and Runswick-Cole (2012: 63-64), was that: </w:t>
      </w:r>
    </w:p>
    <w:p w14:paraId="44F7E22D" w14:textId="77777777" w:rsidR="00BE2C1D" w:rsidRPr="00BE2C1D" w:rsidRDefault="00BE2C1D" w:rsidP="00BE2C1D">
      <w:pPr>
        <w:spacing w:line="360" w:lineRule="auto"/>
        <w:ind w:left="720"/>
        <w:jc w:val="both"/>
        <w:rPr>
          <w:sz w:val="20"/>
          <w:szCs w:val="20"/>
          <w:lang w:eastAsia="en-GB"/>
        </w:rPr>
      </w:pPr>
      <w:r w:rsidRPr="00BE2C1D">
        <w:rPr>
          <w:sz w:val="20"/>
          <w:szCs w:val="20"/>
          <w:lang w:eastAsia="en-GB"/>
        </w:rPr>
        <w:t xml:space="preserve">In promoting a multiplicity of readings, we seek to accept uncertainty and to promote potential. By accepting uncertainty we seek to challenge the tendency of certain grand narratives to masquerade as truths as they weave themselves in and out of children’s bodies and minds with potentially dangerous effects. </w:t>
      </w:r>
    </w:p>
    <w:p w14:paraId="74ACAB97" w14:textId="77777777" w:rsidR="00BE2C1D" w:rsidRPr="00BE2C1D" w:rsidRDefault="00BE2C1D" w:rsidP="00BE2C1D">
      <w:pPr>
        <w:spacing w:line="360" w:lineRule="auto"/>
        <w:jc w:val="both"/>
        <w:rPr>
          <w:rFonts w:ascii="Calibri" w:eastAsia="Times New Roman" w:hAnsi="Calibri" w:cs="Calibri"/>
          <w:bCs/>
          <w:lang w:eastAsia="en-GB"/>
        </w:rPr>
      </w:pPr>
      <w:r w:rsidRPr="00BE2C1D">
        <w:rPr>
          <w:rFonts w:ascii="Calibri" w:eastAsia="Times New Roman" w:hAnsi="Calibri" w:cs="Calibri"/>
          <w:bCs/>
          <w:lang w:eastAsia="en-GB"/>
        </w:rPr>
        <w:t xml:space="preserve">Against the grand narratives of medicalisation and psychologisation, Goodley and Runswick-Cole (2013: 9) provided readings of ‘intimate accounts of the bodies of disabled children that evoke wider considerations of the politics of disability’. Similarly, the analysis of the participants’ stories aimed to disrupt the grand narratives that interpellated them and their experiences whilst also examining the narrative resources that participants drew on to story their experiences.   </w:t>
      </w:r>
    </w:p>
    <w:p w14:paraId="1F3FB87E" w14:textId="77777777" w:rsidR="00BE2C1D" w:rsidRPr="00BE2C1D" w:rsidRDefault="00BE2C1D" w:rsidP="00BE2C1D">
      <w:pPr>
        <w:keepNext/>
        <w:keepLines/>
        <w:spacing w:before="40" w:after="0" w:line="360" w:lineRule="auto"/>
        <w:outlineLvl w:val="1"/>
        <w:rPr>
          <w:rFonts w:asciiTheme="majorHAnsi" w:eastAsiaTheme="majorEastAsia" w:hAnsiTheme="majorHAnsi" w:cstheme="majorBidi"/>
          <w:color w:val="2F5496" w:themeColor="accent1" w:themeShade="BF"/>
          <w:sz w:val="26"/>
          <w:szCs w:val="26"/>
          <w:lang w:eastAsia="zh-CN"/>
        </w:rPr>
      </w:pPr>
      <w:bookmarkStart w:id="95" w:name="_Toc39585235"/>
      <w:r w:rsidRPr="00BE2C1D">
        <w:rPr>
          <w:rFonts w:asciiTheme="majorHAnsi" w:eastAsiaTheme="majorEastAsia" w:hAnsiTheme="majorHAnsi" w:cstheme="majorBidi"/>
          <w:color w:val="2F5496" w:themeColor="accent1" w:themeShade="BF"/>
          <w:sz w:val="26"/>
          <w:szCs w:val="26"/>
          <w:lang w:eastAsia="zh-CN"/>
        </w:rPr>
        <w:t>Ethical Considerations</w:t>
      </w:r>
      <w:bookmarkEnd w:id="95"/>
    </w:p>
    <w:p w14:paraId="6A957E55" w14:textId="77777777" w:rsidR="00BE2C1D" w:rsidRPr="00BE2C1D" w:rsidRDefault="00BE2C1D" w:rsidP="00BE2C1D">
      <w:pPr>
        <w:spacing w:line="360" w:lineRule="auto"/>
        <w:jc w:val="both"/>
      </w:pPr>
      <w:r w:rsidRPr="00BE2C1D">
        <w:t>This section outlines the ethical procedures that I adhered to before starting the fieldwork and whilst doing the fieldwork</w:t>
      </w:r>
      <w:r w:rsidRPr="00BE2C1D">
        <w:rPr>
          <w:vertAlign w:val="superscript"/>
        </w:rPr>
        <w:footnoteReference w:id="69"/>
      </w:r>
      <w:r w:rsidRPr="00BE2C1D">
        <w:t>. Prior to starting my fieldwork, I had to get the approval of my university that my research was ethically sound, or, simply put, that it met the ethical standards set by various institutional bodies, which in my case were the University of Sheffield and its Ethical Research Code of Conduct (2017) and the Economic and Social Research Centre’s Framework for research ethics (2015). Such ethical regulations are described by Halse and Honey (2007) as the ‘institutional discourse of ethics’, also referred to as ‘procedural ethics’ (</w:t>
      </w:r>
      <w:r w:rsidRPr="00BE2C1D">
        <w:rPr>
          <w:rFonts w:ascii="Calibri" w:eastAsia="Times New Roman" w:hAnsi="Calibri" w:cs="Calibri"/>
          <w:bCs/>
          <w:lang w:eastAsia="en-GB"/>
        </w:rPr>
        <w:t xml:space="preserve">Guillemin and Gillam 2004: 263) or ‘Ethics’ (Blackburn 2001). These regulations focus, among others, on the issues of voluntary, informed consent, the right of the participants to withdraw at any time without having to provide any reasons for doing so, anonymity and confidentiality, the minimalization of any form of harm to participants and considerations about leaving the fieldwork. All these regulations were followed thoroughly, as explained next. </w:t>
      </w:r>
    </w:p>
    <w:p w14:paraId="041C6471" w14:textId="77777777" w:rsidR="00BE2C1D" w:rsidRPr="00BE2C1D" w:rsidRDefault="00BE2C1D" w:rsidP="00BE2C1D">
      <w:pPr>
        <w:spacing w:line="360" w:lineRule="auto"/>
        <w:jc w:val="both"/>
        <w:rPr>
          <w:rFonts w:ascii="Calibri" w:eastAsia="Times New Roman" w:hAnsi="Calibri" w:cs="Calibri"/>
          <w:bCs/>
          <w:lang w:eastAsia="en-GB"/>
        </w:rPr>
      </w:pPr>
      <w:r w:rsidRPr="00BE2C1D">
        <w:rPr>
          <w:rFonts w:ascii="Calibri" w:eastAsia="Times New Roman" w:hAnsi="Calibri" w:cs="Calibri"/>
          <w:bCs/>
          <w:lang w:eastAsia="en-GB"/>
        </w:rPr>
        <w:t>What made my ethics application more complicated was that my research was considered to be of ‘high risk’ by institutional ethics for two reasons: firstly, due to the classification of potential participants (disabled young people) as ‘vulnerable’ because of their disability and their age (in the case of those who were not adults). Secondly, the topics that might be discussed during the interviews could be ‘sensitive’</w:t>
      </w:r>
      <w:r w:rsidRPr="00BE2C1D">
        <w:rPr>
          <w:rFonts w:ascii="Calibri" w:eastAsia="Times New Roman" w:hAnsi="Calibri" w:cs="Calibri"/>
          <w:bCs/>
          <w:vertAlign w:val="superscript"/>
          <w:lang w:eastAsia="en-GB"/>
        </w:rPr>
        <w:footnoteReference w:id="70"/>
      </w:r>
      <w:r w:rsidRPr="00BE2C1D">
        <w:rPr>
          <w:rFonts w:ascii="Calibri" w:eastAsia="Times New Roman" w:hAnsi="Calibri" w:cs="Calibri"/>
          <w:bCs/>
          <w:lang w:eastAsia="en-GB"/>
        </w:rPr>
        <w:t xml:space="preserve">, triggering distress and/or discomfort to participants. Therefore, I had to be even </w:t>
      </w:r>
      <w:r w:rsidRPr="00BE2C1D">
        <w:rPr>
          <w:rFonts w:ascii="Calibri" w:eastAsia="Times New Roman" w:hAnsi="Calibri" w:cs="Calibri"/>
          <w:bCs/>
          <w:lang w:eastAsia="en-GB"/>
        </w:rPr>
        <w:lastRenderedPageBreak/>
        <w:t xml:space="preserve">more thorough and specific with how I would meet the ethical standards when doing research with this population and on this topic. </w:t>
      </w:r>
    </w:p>
    <w:p w14:paraId="5045E332" w14:textId="77777777" w:rsidR="00BE2C1D" w:rsidRPr="00BE2C1D" w:rsidRDefault="00BE2C1D" w:rsidP="00BE2C1D">
      <w:pPr>
        <w:spacing w:line="360" w:lineRule="auto"/>
        <w:jc w:val="both"/>
        <w:rPr>
          <w:rFonts w:ascii="Calibri" w:eastAsia="Times New Roman" w:hAnsi="Calibri" w:cs="Calibri"/>
          <w:bCs/>
          <w:color w:val="FF0000"/>
          <w:lang w:eastAsia="en-GB"/>
        </w:rPr>
      </w:pPr>
      <w:r w:rsidRPr="00BE2C1D">
        <w:rPr>
          <w:rFonts w:ascii="Calibri" w:eastAsia="Times New Roman" w:hAnsi="Calibri" w:cs="Calibri"/>
          <w:bCs/>
          <w:lang w:eastAsia="en-GB"/>
        </w:rPr>
        <w:t>The ethics application was successful (in terms of being approved by the university ethics committee</w:t>
      </w:r>
      <w:r w:rsidRPr="00BE2C1D">
        <w:rPr>
          <w:rFonts w:ascii="Calibri" w:eastAsia="Times New Roman" w:hAnsi="Calibri" w:cs="Calibri"/>
          <w:bCs/>
          <w:vertAlign w:val="superscript"/>
          <w:lang w:eastAsia="en-GB"/>
        </w:rPr>
        <w:footnoteReference w:id="71"/>
      </w:r>
      <w:r w:rsidRPr="00BE2C1D">
        <w:rPr>
          <w:rFonts w:ascii="Calibri" w:eastAsia="Times New Roman" w:hAnsi="Calibri" w:cs="Calibri"/>
          <w:bCs/>
          <w:lang w:eastAsia="en-GB"/>
        </w:rPr>
        <w:t>) and my ethical conduct during my fieldwork was shaped by the ethical regulations outlined above. For instance, all the participants were provided with an information sheet about the scope of the research and what their involvement would be like and then they were given a voluntary informed consent form, which they were asked to sign if they agreed with it. In the case of the teenage participants, their parents acted as gatekeepers, meaning that they were the ones to read the information sheet first and sign an informed consent form. I then shared the information sheet and the voluntary consent form</w:t>
      </w:r>
      <w:r w:rsidRPr="00BE2C1D">
        <w:rPr>
          <w:rFonts w:ascii="Calibri" w:eastAsia="Times New Roman" w:hAnsi="Calibri" w:cs="Calibri"/>
          <w:bCs/>
          <w:vertAlign w:val="superscript"/>
          <w:lang w:eastAsia="en-GB"/>
        </w:rPr>
        <w:footnoteReference w:id="72"/>
      </w:r>
      <w:r w:rsidRPr="00BE2C1D">
        <w:rPr>
          <w:rFonts w:ascii="Calibri" w:eastAsia="Times New Roman" w:hAnsi="Calibri" w:cs="Calibri"/>
          <w:bCs/>
          <w:lang w:eastAsia="en-GB"/>
        </w:rPr>
        <w:t xml:space="preserve"> with the teenagers, whom I reminded that it should be their own decision if they wanted to be involved or not and not their parents’ decision (Skelton 2008). Moreover, in the case of teenage participants, a chaperone - their mother - was always present during the one-to-one Skype interviews, with the exception of the focus group with the three teenage participants and the pair interview, where the chaperones were not present, but could access the open spaces where the interviews took place (the living room in a participants’ house and an open space in a library) at any time. Moreover, all participants were reminded of their right to withdraw (ESRC, 2015) from the research at any time (prior, during or after) and anonymity was compulsory for the teenage participants and optional for the adult participants. It was optional for the adult participants, because some of them had already published their stories in other platforms (weblogs, newspapers, associations’ webpages). It was compulsory for teenage participants, because of the danger of narrative foreclosure (Freeman, 2011), that is, how they represented themselves as teenagers during the interview might not be the same in the future, so I thought it was ethically sound to anonymise their stories. I also informed the participants that I would strive to secure confidentiality, although confidentiality could not be promised, considering that this is a specific impairment group where many people know each other due to the common spaces that they share (associations, hospitals) (Shakespeare et al. 2010).  </w:t>
      </w:r>
      <w:r w:rsidRPr="00BE2C1D">
        <w:rPr>
          <w:rFonts w:ascii="Calibri" w:eastAsia="Times New Roman" w:hAnsi="Calibri" w:cs="Calibri"/>
          <w:bCs/>
          <w:color w:val="FF0000"/>
          <w:lang w:eastAsia="en-GB"/>
        </w:rPr>
        <w:t xml:space="preserve"> </w:t>
      </w:r>
    </w:p>
    <w:p w14:paraId="2429CC15" w14:textId="77777777" w:rsidR="00BE2C1D" w:rsidRPr="00BE2C1D" w:rsidRDefault="00BE2C1D" w:rsidP="00BE2C1D">
      <w:pPr>
        <w:spacing w:line="360" w:lineRule="auto"/>
        <w:jc w:val="both"/>
        <w:rPr>
          <w:rFonts w:ascii="Calibri" w:eastAsia="Times New Roman" w:hAnsi="Calibri" w:cs="Calibri"/>
          <w:bCs/>
          <w:lang w:eastAsia="en-GB"/>
        </w:rPr>
      </w:pPr>
      <w:r w:rsidRPr="00BE2C1D">
        <w:rPr>
          <w:rFonts w:ascii="Calibri" w:eastAsia="Times New Roman" w:hAnsi="Calibri" w:cs="Calibri"/>
          <w:bCs/>
          <w:lang w:eastAsia="en-GB"/>
        </w:rPr>
        <w:t>Nevertheless, despite the success of the application, I was concerned about the issues arising from applying fixed notions of ‘vulnerability’ and ‘sensitivity’ to certain populations and topics respectively. For instance, the issue of ‘vulnerability’</w:t>
      </w:r>
      <w:r w:rsidRPr="00BE2C1D">
        <w:rPr>
          <w:rFonts w:ascii="Calibri" w:eastAsia="Times New Roman" w:hAnsi="Calibri" w:cs="Calibri"/>
          <w:lang w:eastAsia="en-GB"/>
        </w:rPr>
        <w:t xml:space="preserve"> is exacerbated in the research with disabled children and young people, as Ethics are characterised by ‘the lingering legacy of the medical model which contributes to the discursive construction of the disabled child as vulnerable, difficult to communicate </w:t>
      </w:r>
      <w:r w:rsidRPr="00BE2C1D">
        <w:rPr>
          <w:rFonts w:ascii="Calibri" w:eastAsia="Times New Roman" w:hAnsi="Calibri" w:cs="Calibri"/>
          <w:lang w:eastAsia="en-GB"/>
        </w:rPr>
        <w:lastRenderedPageBreak/>
        <w:t>with, dependent and unknowing’ (Richards and Clark 2018: 201). As Skyrme and Woods (2018: 356) noted,</w:t>
      </w:r>
    </w:p>
    <w:p w14:paraId="72871013" w14:textId="77777777" w:rsidR="00BE2C1D" w:rsidRPr="00BE2C1D" w:rsidRDefault="00BE2C1D" w:rsidP="00BE2C1D">
      <w:pPr>
        <w:spacing w:after="0" w:line="360" w:lineRule="auto"/>
        <w:ind w:left="720"/>
        <w:jc w:val="both"/>
        <w:rPr>
          <w:rFonts w:ascii="Calibri" w:eastAsia="Times New Roman" w:hAnsi="Calibri" w:cs="Calibri"/>
          <w:sz w:val="20"/>
          <w:szCs w:val="20"/>
          <w:lang w:eastAsia="en-GB"/>
        </w:rPr>
      </w:pPr>
      <w:r w:rsidRPr="00BE2C1D">
        <w:rPr>
          <w:rFonts w:ascii="Calibri" w:eastAsia="Times New Roman" w:hAnsi="Calibri" w:cs="Calibri"/>
          <w:sz w:val="20"/>
          <w:szCs w:val="20"/>
          <w:lang w:eastAsia="en-GB"/>
        </w:rPr>
        <w:t xml:space="preserve">The concept of ‘vulnerability’, while contested, may more readily be applied to children and particularly disabled children who are invited to take part in qualitative research. However, vulnerability, is often regarded as interchangeable with the notion of lacking competence (Carter, 2009), and this has the potential to overlook disabled children’s abilities and participatory rights. The systematic positioning of severely disabled children as vulnerable and the discursive tropes the term invokes can impact disabled children’s involvement in elements of their health care, decision-making and their lives more generally. </w:t>
      </w:r>
    </w:p>
    <w:p w14:paraId="4280AFEC" w14:textId="77777777" w:rsidR="00BE2C1D" w:rsidRPr="00BE2C1D" w:rsidRDefault="00BE2C1D" w:rsidP="00BE2C1D">
      <w:pPr>
        <w:spacing w:after="0" w:line="360" w:lineRule="auto"/>
        <w:jc w:val="both"/>
        <w:rPr>
          <w:rFonts w:ascii="Calibri" w:eastAsia="Times New Roman" w:hAnsi="Calibri" w:cs="Calibri"/>
          <w:lang w:eastAsia="en-GB"/>
        </w:rPr>
      </w:pPr>
      <w:r w:rsidRPr="00BE2C1D">
        <w:rPr>
          <w:rFonts w:ascii="Calibri" w:eastAsia="Times New Roman" w:hAnsi="Calibri" w:cs="Calibri"/>
          <w:lang w:eastAsia="en-GB"/>
        </w:rPr>
        <w:t xml:space="preserve">This classification perpetuates the othering and silencing of dis/abled children in research (Liddiard et al. 2019) and reflects the discursivity of the labels ‘disability’ and ‘child’ within society, its inherent power dynamics and its manifestations (Clark et al. 2015; Goodley and Runswick-Cole 2011b). Nevertheless, one of the main objectives of this research was that the stories of young people with RG were listened to rather than being silenced and this was achieved through the recruitment of nine teenage participants.  </w:t>
      </w:r>
    </w:p>
    <w:p w14:paraId="5DE9D6DC" w14:textId="77777777" w:rsidR="00BE2C1D" w:rsidRPr="00BE2C1D" w:rsidRDefault="00BE2C1D" w:rsidP="00BE2C1D">
      <w:pPr>
        <w:spacing w:after="0" w:line="360" w:lineRule="auto"/>
        <w:jc w:val="both"/>
        <w:rPr>
          <w:rFonts w:ascii="Calibri" w:eastAsia="Times New Roman" w:hAnsi="Calibri" w:cs="Calibri"/>
          <w:lang w:eastAsia="en-GB"/>
        </w:rPr>
      </w:pPr>
    </w:p>
    <w:p w14:paraId="6EE4A5DD" w14:textId="77777777" w:rsidR="00BE2C1D" w:rsidRPr="00BE2C1D" w:rsidRDefault="00BE2C1D" w:rsidP="00BE2C1D">
      <w:pPr>
        <w:spacing w:after="0" w:line="360" w:lineRule="auto"/>
        <w:jc w:val="both"/>
        <w:rPr>
          <w:rFonts w:ascii="Calibri" w:eastAsia="Times New Roman" w:hAnsi="Calibri" w:cs="Calibri"/>
          <w:bCs/>
          <w:lang w:eastAsia="en-GB"/>
        </w:rPr>
      </w:pPr>
      <w:r w:rsidRPr="00BE2C1D">
        <w:rPr>
          <w:rFonts w:ascii="Calibri" w:eastAsia="Times New Roman" w:hAnsi="Calibri" w:cs="Calibri"/>
          <w:lang w:eastAsia="en-GB"/>
        </w:rPr>
        <w:t xml:space="preserve">Regarding the discourse of sensitive issues, </w:t>
      </w:r>
      <w:r w:rsidRPr="00BE2C1D">
        <w:rPr>
          <w:rFonts w:ascii="Calibri" w:eastAsia="Times New Roman" w:hAnsi="Calibri" w:cs="Calibri"/>
          <w:bCs/>
          <w:lang w:eastAsia="en-GB"/>
        </w:rPr>
        <w:t>I was already aware of the possibility that what is framed and listed as ‘sensitive topics’ in Ethics could emerge during the narrative interviews with the young people</w:t>
      </w:r>
      <w:r w:rsidRPr="00BE2C1D">
        <w:rPr>
          <w:rFonts w:ascii="Calibri" w:eastAsia="Times New Roman" w:hAnsi="Calibri" w:cs="Calibri"/>
          <w:bCs/>
          <w:vertAlign w:val="superscript"/>
          <w:lang w:eastAsia="en-GB"/>
        </w:rPr>
        <w:footnoteReference w:id="73"/>
      </w:r>
      <w:r w:rsidRPr="00BE2C1D">
        <w:rPr>
          <w:rFonts w:ascii="Calibri" w:eastAsia="Times New Roman" w:hAnsi="Calibri" w:cs="Calibri"/>
          <w:bCs/>
          <w:lang w:eastAsia="en-GB"/>
        </w:rPr>
        <w:t xml:space="preserve">. </w:t>
      </w:r>
      <w:r w:rsidRPr="00BE2C1D">
        <w:rPr>
          <w:rFonts w:ascii="Calibri" w:eastAsia="Times New Roman" w:hAnsi="Calibri" w:cs="Calibri"/>
          <w:lang w:eastAsia="en-GB"/>
        </w:rPr>
        <w:t xml:space="preserve"> </w:t>
      </w:r>
      <w:r w:rsidRPr="00BE2C1D">
        <w:rPr>
          <w:rFonts w:ascii="Calibri" w:eastAsia="Times New Roman" w:hAnsi="Calibri" w:cs="Calibri"/>
          <w:bCs/>
          <w:lang w:eastAsia="en-GB"/>
        </w:rPr>
        <w:t xml:space="preserve">However, when stories that fitted into the discourse of sensitive topics came up e.g. stories of bullying, participants did not look like they were experiencing discomfort neither did they avoid holding such discussion. They actually wanted these stories to be listened to and action to be taken, so they would not be repeated. For instance, in Liddiard et al’s (2019: 160) co-produced research with disabled young people, the co-researchers expressed their excitement for </w:t>
      </w:r>
      <w:r w:rsidRPr="00BE2C1D">
        <w:rPr>
          <w:rFonts w:ascii="Calibri" w:eastAsia="Times New Roman" w:hAnsi="Calibri" w:cs="Calibri"/>
          <w:lang w:eastAsia="en-GB"/>
        </w:rPr>
        <w:t>‘a project that focuses on those unasked questions’.</w:t>
      </w:r>
      <w:r w:rsidRPr="00BE2C1D">
        <w:rPr>
          <w:rFonts w:ascii="Calibri" w:eastAsia="Times New Roman" w:hAnsi="Calibri" w:cs="Calibri"/>
          <w:bCs/>
          <w:lang w:eastAsia="en-GB"/>
        </w:rPr>
        <w:t xml:space="preserve"> </w:t>
      </w:r>
      <w:r w:rsidRPr="00BE2C1D">
        <w:rPr>
          <w:rFonts w:eastAsia="Times New Roman" w:cstheme="minorHAnsi"/>
          <w:bCs/>
          <w:lang w:eastAsia="en-GB"/>
        </w:rPr>
        <w:t>The above led me to reflect on Clark et al.’s (2015: 27) questions: ‘for whom is this a sensitive topic, and what role do such assumptions play in preventing children talking about their lived experiences when they are termed ‘sensitive’?’ Powel et al. (2018: 658), interviewing different stakeholders, including children and their families, noted ‘</w:t>
      </w:r>
      <w:r w:rsidRPr="00BE2C1D">
        <w:rPr>
          <w:rFonts w:cstheme="minorHAnsi"/>
        </w:rPr>
        <w:t xml:space="preserve">the need for more nuanced understandings, rather than attempting to generate an exhaustive list of sensitive topics’. </w:t>
      </w:r>
      <w:r w:rsidRPr="00BE2C1D">
        <w:rPr>
          <w:rFonts w:ascii="Calibri" w:eastAsia="Times New Roman" w:hAnsi="Calibri" w:cs="Calibri"/>
          <w:bCs/>
          <w:lang w:eastAsia="en-GB"/>
        </w:rPr>
        <w:t>Hyden (2013) proposed a relational understanding of sensitive topics, meaning that what is deemed sensitive and what is not depends on the relationship between the teller and the listener as well as the cultural and contextual circumstances. Moreover, Hyden (ibid: 225, italics in the original) noted ‘</w:t>
      </w:r>
      <w:r w:rsidRPr="00BE2C1D">
        <w:rPr>
          <w:rFonts w:ascii="Calibri" w:hAnsi="Calibri" w:cs="Calibri"/>
          <w:bCs/>
        </w:rPr>
        <w:t xml:space="preserve">the importance of making physical and </w:t>
      </w:r>
      <w:r w:rsidRPr="00BE2C1D">
        <w:rPr>
          <w:rFonts w:ascii="Calibri" w:hAnsi="Calibri" w:cs="Calibri"/>
          <w:bCs/>
          <w:i/>
          <w:iCs/>
        </w:rPr>
        <w:t xml:space="preserve">discursive space </w:t>
      </w:r>
      <w:r w:rsidRPr="00BE2C1D">
        <w:rPr>
          <w:rFonts w:ascii="Calibri" w:hAnsi="Calibri" w:cs="Calibri"/>
          <w:bCs/>
        </w:rPr>
        <w:t xml:space="preserve">for sensitive topics to evolve in narrative research.’ It was important both to the participants to tell these stories and to me as a researcher to </w:t>
      </w:r>
      <w:r w:rsidRPr="00BE2C1D">
        <w:rPr>
          <w:rFonts w:ascii="Calibri" w:hAnsi="Calibri" w:cs="Calibri"/>
          <w:bCs/>
        </w:rPr>
        <w:lastRenderedPageBreak/>
        <w:t xml:space="preserve">listen to them. Providing this space for these stories to be told and listened was in line with an ethic of care as proposed by McLaughlin (1997: 21): </w:t>
      </w:r>
    </w:p>
    <w:p w14:paraId="54BBF75C" w14:textId="77777777" w:rsidR="00BE2C1D" w:rsidRPr="00BE2C1D" w:rsidRDefault="00BE2C1D" w:rsidP="00BE2C1D">
      <w:pPr>
        <w:spacing w:line="360" w:lineRule="auto"/>
        <w:ind w:left="720"/>
        <w:jc w:val="both"/>
        <w:rPr>
          <w:rFonts w:cstheme="minorHAnsi"/>
          <w:sz w:val="20"/>
          <w:szCs w:val="20"/>
        </w:rPr>
      </w:pPr>
      <w:r w:rsidRPr="00BE2C1D">
        <w:rPr>
          <w:rFonts w:cstheme="minorHAnsi"/>
          <w:sz w:val="20"/>
          <w:szCs w:val="20"/>
        </w:rPr>
        <w:t xml:space="preserve">If an ethic of care is to be available to groups who are marked out as different or deviant by society then it needs to be forged with an appreciation - rather than a denial - of politics and material reality. It needs to be an expression of resistance and anger which is inclusive in the context of the exclusion practiced by the rest of society. </w:t>
      </w:r>
    </w:p>
    <w:p w14:paraId="4A0D69CD" w14:textId="77777777" w:rsidR="00BE2C1D" w:rsidRPr="00BE2C1D" w:rsidRDefault="00BE2C1D" w:rsidP="00BE2C1D">
      <w:pPr>
        <w:spacing w:after="0" w:line="360" w:lineRule="auto"/>
        <w:jc w:val="both"/>
        <w:rPr>
          <w:rFonts w:ascii="Calibri" w:eastAsia="Times New Roman" w:hAnsi="Calibri" w:cs="Calibri"/>
          <w:bCs/>
          <w:lang w:eastAsia="en-GB"/>
        </w:rPr>
      </w:pPr>
      <w:r w:rsidRPr="00BE2C1D">
        <w:rPr>
          <w:rFonts w:ascii="Calibri" w:eastAsia="Times New Roman" w:hAnsi="Calibri" w:cs="Calibri"/>
          <w:bCs/>
          <w:lang w:eastAsia="en-GB"/>
        </w:rPr>
        <w:t>The above issues made me re-think about how</w:t>
      </w:r>
    </w:p>
    <w:p w14:paraId="7FA0AE18" w14:textId="77777777" w:rsidR="00BE2C1D" w:rsidRPr="00BE2C1D" w:rsidRDefault="00BE2C1D" w:rsidP="00BE2C1D">
      <w:pPr>
        <w:spacing w:after="0" w:line="360" w:lineRule="auto"/>
        <w:ind w:left="720"/>
        <w:jc w:val="both"/>
        <w:rPr>
          <w:rFonts w:ascii="Calibri" w:eastAsia="Times New Roman" w:hAnsi="Calibri" w:cs="Calibri"/>
          <w:bCs/>
          <w:sz w:val="20"/>
          <w:szCs w:val="20"/>
          <w:lang w:eastAsia="en-GB"/>
        </w:rPr>
      </w:pPr>
      <w:r w:rsidRPr="00BE2C1D">
        <w:rPr>
          <w:rFonts w:ascii="Calibri" w:eastAsia="Times New Roman" w:hAnsi="Calibri" w:cs="Calibri"/>
          <w:bCs/>
          <w:sz w:val="20"/>
          <w:szCs w:val="20"/>
          <w:lang w:eastAsia="en-GB"/>
        </w:rPr>
        <w:t>particular groups perceived as ‘vulnerable’, particular situations or contexts thought of as ‘inappropriate’ and particular topics constructed as taboo or sensitive, risk becoming marginalised by both researchers and the groups and committees that govern research for the very risks to the social order that they pose (Clark et al. 2015: 28).</w:t>
      </w:r>
    </w:p>
    <w:p w14:paraId="5243B9A4" w14:textId="77777777" w:rsidR="00BE2C1D" w:rsidRPr="00BE2C1D" w:rsidRDefault="00BE2C1D" w:rsidP="00BE2C1D">
      <w:pPr>
        <w:spacing w:after="0" w:line="360" w:lineRule="auto"/>
        <w:jc w:val="both"/>
        <w:rPr>
          <w:rFonts w:ascii="Calibri" w:eastAsia="Times New Roman" w:hAnsi="Calibri" w:cs="Calibri"/>
          <w:lang w:eastAsia="en-GB"/>
        </w:rPr>
      </w:pPr>
      <w:r w:rsidRPr="00BE2C1D">
        <w:rPr>
          <w:rFonts w:ascii="Calibri" w:eastAsia="Times New Roman" w:hAnsi="Calibri" w:cs="Calibri"/>
          <w:bCs/>
          <w:lang w:eastAsia="en-GB"/>
        </w:rPr>
        <w:t>Nevertheless, I decided as a researcher that I should adhere to my initial research design, which included teenagers with RG, and I was also prepared for listening to any ‘sensitive’ stories that the participants would be willing to share.  What I was also reminded during the fieldwork is that,</w:t>
      </w:r>
    </w:p>
    <w:p w14:paraId="0B35AA37" w14:textId="77777777" w:rsidR="00BE2C1D" w:rsidRPr="00BE2C1D" w:rsidRDefault="00BE2C1D" w:rsidP="00BE2C1D">
      <w:pPr>
        <w:spacing w:line="360" w:lineRule="auto"/>
        <w:ind w:left="720"/>
        <w:jc w:val="both"/>
        <w:rPr>
          <w:rFonts w:ascii="Calibri" w:eastAsia="Times New Roman" w:hAnsi="Calibri" w:cs="Calibri"/>
          <w:bCs/>
          <w:sz w:val="20"/>
          <w:szCs w:val="20"/>
          <w:lang w:eastAsia="en-GB"/>
        </w:rPr>
      </w:pPr>
      <w:r w:rsidRPr="00BE2C1D">
        <w:rPr>
          <w:rFonts w:ascii="Calibri" w:eastAsia="Times New Roman" w:hAnsi="Calibri" w:cs="Calibri"/>
          <w:bCs/>
          <w:sz w:val="20"/>
          <w:szCs w:val="20"/>
          <w:lang w:eastAsia="en-GB"/>
        </w:rPr>
        <w:t>In the “real world” of research, identities are more fluid, mutable, and difficult to pin down. In the situatedness of qualitative research, the subjectivities and identities of all research participants are repeatedly (re)configured and (re)formed in ways that repeatedly (re)align and renew the ethical terrain (Halse and Honey 2007: 345).</w:t>
      </w:r>
    </w:p>
    <w:p w14:paraId="24CFA718" w14:textId="77777777" w:rsidR="00BE2C1D" w:rsidRPr="00BE2C1D" w:rsidRDefault="00BE2C1D" w:rsidP="00BE2C1D">
      <w:pPr>
        <w:spacing w:line="360" w:lineRule="auto"/>
        <w:jc w:val="both"/>
        <w:rPr>
          <w:rFonts w:ascii="Calibri" w:eastAsia="Times New Roman" w:hAnsi="Calibri" w:cs="Calibri"/>
          <w:bCs/>
          <w:lang w:eastAsia="en-GB"/>
        </w:rPr>
      </w:pPr>
      <w:r w:rsidRPr="00BE2C1D">
        <w:rPr>
          <w:rFonts w:ascii="Calibri" w:eastAsia="Times New Roman" w:hAnsi="Calibri" w:cs="Calibri"/>
          <w:bCs/>
          <w:lang w:eastAsia="en-GB"/>
        </w:rPr>
        <w:t xml:space="preserve">Such ethical considerations around the situatedness of the research and how the subjectivities played out during the fieldwork follow in the next section.   </w:t>
      </w:r>
      <w:r w:rsidRPr="00BE2C1D">
        <w:rPr>
          <w:rFonts w:ascii="Calibri" w:eastAsia="Times New Roman" w:hAnsi="Calibri" w:cs="Calibri"/>
          <w:lang w:eastAsia="en-GB"/>
        </w:rPr>
        <w:t> </w:t>
      </w:r>
    </w:p>
    <w:p w14:paraId="4D4A1684" w14:textId="77777777" w:rsidR="00BE2C1D" w:rsidRPr="00BE2C1D" w:rsidRDefault="00BE2C1D" w:rsidP="00BE2C1D">
      <w:pPr>
        <w:keepNext/>
        <w:keepLines/>
        <w:spacing w:before="40" w:after="0" w:line="360" w:lineRule="auto"/>
        <w:outlineLvl w:val="1"/>
        <w:rPr>
          <w:rFonts w:asciiTheme="majorHAnsi" w:eastAsiaTheme="majorEastAsia" w:hAnsiTheme="majorHAnsi" w:cstheme="majorBidi"/>
          <w:color w:val="2F5496" w:themeColor="accent1" w:themeShade="BF"/>
          <w:sz w:val="26"/>
          <w:szCs w:val="26"/>
          <w:lang w:eastAsia="zh-CN"/>
        </w:rPr>
      </w:pPr>
      <w:bookmarkStart w:id="96" w:name="_Toc39585236"/>
      <w:r w:rsidRPr="00BE2C1D">
        <w:rPr>
          <w:rFonts w:asciiTheme="majorHAnsi" w:eastAsiaTheme="majorEastAsia" w:hAnsiTheme="majorHAnsi" w:cstheme="majorBidi"/>
          <w:color w:val="2F5496" w:themeColor="accent1" w:themeShade="BF"/>
          <w:sz w:val="26"/>
          <w:szCs w:val="26"/>
          <w:lang w:eastAsia="zh-CN"/>
        </w:rPr>
        <w:t>Reflexivities of Discomfort: The Messy Stories</w:t>
      </w:r>
      <w:bookmarkEnd w:id="96"/>
    </w:p>
    <w:p w14:paraId="2E4E94C7" w14:textId="77777777" w:rsidR="00BE2C1D" w:rsidRPr="00BE2C1D" w:rsidRDefault="00BE2C1D" w:rsidP="00BE2C1D">
      <w:pPr>
        <w:spacing w:line="360" w:lineRule="auto"/>
        <w:ind w:left="720"/>
        <w:jc w:val="both"/>
        <w:rPr>
          <w:rFonts w:ascii="Calibri" w:eastAsia="Times New Roman" w:hAnsi="Calibri" w:cs="Calibri"/>
          <w:bCs/>
          <w:sz w:val="20"/>
          <w:szCs w:val="20"/>
          <w:lang w:eastAsia="en-GB"/>
        </w:rPr>
      </w:pPr>
      <w:r w:rsidRPr="00BE2C1D">
        <w:rPr>
          <w:rFonts w:ascii="Calibri" w:eastAsia="Times New Roman" w:hAnsi="Calibri" w:cs="Calibri"/>
          <w:bCs/>
          <w:sz w:val="20"/>
          <w:szCs w:val="20"/>
          <w:lang w:eastAsia="en-GB"/>
        </w:rPr>
        <w:t xml:space="preserve">We neaten up our stories of "what happened" to sound credible and get published. The rejection of the messy details of research is a legacy of positivism (Ellingson 2017: 31). </w:t>
      </w:r>
    </w:p>
    <w:p w14:paraId="17AE736E" w14:textId="77777777" w:rsidR="00BE2C1D" w:rsidRPr="00BE2C1D" w:rsidRDefault="00BE2C1D" w:rsidP="00BE2C1D">
      <w:pPr>
        <w:spacing w:line="360" w:lineRule="auto"/>
        <w:jc w:val="both"/>
      </w:pPr>
      <w:r w:rsidRPr="00BE2C1D">
        <w:rPr>
          <w:rFonts w:ascii="Calibri" w:eastAsia="Times New Roman" w:hAnsi="Calibri" w:cs="Calibri"/>
          <w:bCs/>
          <w:lang w:eastAsia="en-GB"/>
        </w:rPr>
        <w:t>In this section I engage with what Pillow (2003: 187-188) refers to as ‘reflexivities of discomfort’</w:t>
      </w:r>
      <w:r w:rsidRPr="00BE2C1D">
        <w:rPr>
          <w:rFonts w:ascii="Calibri" w:eastAsia="Times New Roman" w:hAnsi="Calibri" w:cs="Calibri"/>
          <w:bCs/>
          <w:vertAlign w:val="superscript"/>
          <w:lang w:eastAsia="en-GB"/>
        </w:rPr>
        <w:footnoteReference w:id="74"/>
      </w:r>
      <w:r w:rsidRPr="00BE2C1D">
        <w:rPr>
          <w:rFonts w:ascii="Calibri" w:eastAsia="Times New Roman" w:hAnsi="Calibri" w:cs="Calibri"/>
          <w:bCs/>
          <w:lang w:eastAsia="en-GB"/>
        </w:rPr>
        <w:t xml:space="preserve"> or ‘uncomfortable reflexivity’ </w:t>
      </w:r>
      <w:r w:rsidRPr="00BE2C1D">
        <w:t>to provide some critical reflections/messy details of this research. The areas that are discussed are gatekeeping as a discursive practice, the role of my positionality during the face-to-face interactions for recruitment purposes and the ethics of analysis. Discussing and critiquing four different types/uses of reflexivity</w:t>
      </w:r>
      <w:r w:rsidRPr="00BE2C1D">
        <w:rPr>
          <w:vertAlign w:val="superscript"/>
        </w:rPr>
        <w:footnoteReference w:id="75"/>
      </w:r>
      <w:r w:rsidRPr="00BE2C1D">
        <w:t xml:space="preserve">, which relied on an essentialist understanding of </w:t>
      </w:r>
      <w:r w:rsidRPr="00BE2C1D">
        <w:lastRenderedPageBreak/>
        <w:t xml:space="preserve">identity and act as ‘confessional tales’ (ibid: 187), Pillow (ibid: 193) proposed instead uncomfortable reflexivity, which </w:t>
      </w:r>
    </w:p>
    <w:p w14:paraId="1A8F1456" w14:textId="77777777" w:rsidR="00BE2C1D" w:rsidRPr="00BE2C1D" w:rsidRDefault="00BE2C1D" w:rsidP="00BE2C1D">
      <w:pPr>
        <w:spacing w:line="360" w:lineRule="auto"/>
        <w:ind w:left="720"/>
        <w:jc w:val="both"/>
      </w:pPr>
      <w:r w:rsidRPr="00BE2C1D">
        <w:rPr>
          <w:rFonts w:ascii="Calibri" w:hAnsi="Calibri" w:cs="Calibri"/>
          <w:sz w:val="20"/>
          <w:szCs w:val="20"/>
        </w:rPr>
        <w:t xml:space="preserve">is not about better methods, or about whether we can represent people better but, as Visweswaran states, “whether we can be accountable to people’s struggles for self-representation and self-determination” (p. 32) - including our own selves. </w:t>
      </w:r>
    </w:p>
    <w:p w14:paraId="7E0BE4C1" w14:textId="77777777" w:rsidR="00BE2C1D" w:rsidRPr="00BE2C1D" w:rsidRDefault="00BE2C1D" w:rsidP="00BE2C1D">
      <w:pPr>
        <w:spacing w:line="360" w:lineRule="auto"/>
        <w:jc w:val="both"/>
      </w:pPr>
      <w:r w:rsidRPr="00BE2C1D">
        <w:t xml:space="preserve">Uncomfortable reflexivity then aimed to embrace and reflect rather than simplify the complexity of the research subjects - both the researcher and the researched - whose identities are multiple and intersecting (Pillow, 2003). Uncomfortable reflexivity, Pillow argued, should ‘go beyond being a methodological exercise…it is rendering the knowing of the self or the research subjects as uncomfortable and uncontainable’ (ibid: 187). The next section constitutes the first application of uncomfortable reflexivity, focusing on the issue of gatekeeping. </w:t>
      </w:r>
    </w:p>
    <w:p w14:paraId="2953C530" w14:textId="77777777" w:rsidR="00BE2C1D" w:rsidRPr="00BE2C1D" w:rsidRDefault="00BE2C1D" w:rsidP="00BE2C1D">
      <w:pPr>
        <w:keepNext/>
        <w:keepLines/>
        <w:spacing w:before="40" w:after="0" w:line="360" w:lineRule="auto"/>
        <w:outlineLvl w:val="2"/>
        <w:rPr>
          <w:rFonts w:asciiTheme="majorHAnsi" w:eastAsiaTheme="majorEastAsia" w:hAnsiTheme="majorHAnsi" w:cstheme="majorBidi"/>
          <w:color w:val="1F3763" w:themeColor="accent1" w:themeShade="7F"/>
          <w:sz w:val="24"/>
          <w:szCs w:val="24"/>
          <w:lang w:eastAsia="zh-CN"/>
        </w:rPr>
      </w:pPr>
      <w:bookmarkStart w:id="97" w:name="_Toc39585237"/>
      <w:r w:rsidRPr="00BE2C1D">
        <w:rPr>
          <w:rFonts w:asciiTheme="majorHAnsi" w:eastAsiaTheme="majorEastAsia" w:hAnsiTheme="majorHAnsi" w:cstheme="majorBidi"/>
          <w:color w:val="1F3763" w:themeColor="accent1" w:themeShade="7F"/>
          <w:sz w:val="24"/>
          <w:szCs w:val="24"/>
          <w:lang w:eastAsia="zh-CN"/>
        </w:rPr>
        <w:t>Gatekeeping as a Discursive Practice</w:t>
      </w:r>
      <w:bookmarkEnd w:id="97"/>
      <w:r w:rsidRPr="00BE2C1D">
        <w:rPr>
          <w:rFonts w:asciiTheme="majorHAnsi" w:eastAsiaTheme="majorEastAsia" w:hAnsiTheme="majorHAnsi" w:cstheme="majorBidi"/>
          <w:color w:val="1F3763" w:themeColor="accent1" w:themeShade="7F"/>
          <w:sz w:val="24"/>
          <w:szCs w:val="24"/>
          <w:lang w:eastAsia="zh-CN"/>
        </w:rPr>
        <w:t xml:space="preserve"> </w:t>
      </w:r>
    </w:p>
    <w:p w14:paraId="0DC08CB2" w14:textId="77777777" w:rsidR="00BE2C1D" w:rsidRPr="00BE2C1D" w:rsidRDefault="00BE2C1D" w:rsidP="00BE2C1D">
      <w:pPr>
        <w:spacing w:line="360" w:lineRule="auto"/>
        <w:jc w:val="both"/>
        <w:rPr>
          <w:rFonts w:ascii="Calibri" w:hAnsi="Calibri" w:cs="Calibri"/>
          <w:bCs/>
          <w:color w:val="FF0000"/>
        </w:rPr>
      </w:pPr>
      <w:r w:rsidRPr="00BE2C1D">
        <w:rPr>
          <w:rFonts w:ascii="Calibri" w:hAnsi="Calibri" w:cs="Calibri"/>
          <w:bCs/>
        </w:rPr>
        <w:t xml:space="preserve">In this section I employ uncomfortable reflexivity to discuss my encounters with the associations (mostly online), which acted as gatekeepers during the process of identifying and recruiting potential participants. While I have already referred partly to their involvement in my research, in this section I go into further detail to discuss the power dynamics that shaped our encounters and interactions (or lack of). I start first with the theoretical framework, poststructuralism, that informs my approach to gatekeeping and then critically and uncomfortably reflect on such interactions.  </w:t>
      </w:r>
    </w:p>
    <w:p w14:paraId="2EE23C5E" w14:textId="77777777" w:rsidR="00BE2C1D" w:rsidRPr="00BE2C1D" w:rsidRDefault="00BE2C1D" w:rsidP="00BE2C1D">
      <w:pPr>
        <w:spacing w:line="360" w:lineRule="auto"/>
        <w:jc w:val="both"/>
        <w:rPr>
          <w:rFonts w:ascii="Calibri" w:hAnsi="Calibri" w:cs="Calibri"/>
          <w:bCs/>
        </w:rPr>
      </w:pPr>
      <w:r w:rsidRPr="00BE2C1D">
        <w:rPr>
          <w:rFonts w:ascii="Calibri" w:hAnsi="Calibri" w:cs="Calibri"/>
          <w:bCs/>
        </w:rPr>
        <w:t>Reviewing the existent literature on gatekeepers, Crowhurst (2013) and Shangera &amp; Thapar-Bjokert (2008) argued that there was a gap in reflexive accounts on the ever-evolving gatekeeper-researcher relationship, particularly on issues around trust and power. Crowhurst (2013: 464) attributed this gap to a ‘mechanistic model that reduces the gatekeeper to an instrument in the field and the ‘passing through the gate’ as a matter of course’. Such a model is frequently found in mainstream social research textbooks, reducing gatekeepers to a disembodied, neutral and objective figure whose role and functions are confided to a specific, discrete stage of the research process (Crowhurst 2013: 473), and concealing the ‘complex dynamics in which gatekeeping is operationalized in the field, and the multiple ways in which gatekeepers impact upon the research’ (Crowhurst &amp; kennedy-macfoy 2013: 457). In contrast to this mechanistic model, Crowhurst (2013: 471) proposed a poststructuralist approach to gatekeeping, where</w:t>
      </w:r>
    </w:p>
    <w:p w14:paraId="3832A25D" w14:textId="77777777" w:rsidR="00BE2C1D" w:rsidRPr="00BE2C1D" w:rsidRDefault="00BE2C1D" w:rsidP="00BE2C1D">
      <w:pPr>
        <w:spacing w:line="360" w:lineRule="auto"/>
        <w:ind w:left="720"/>
        <w:jc w:val="both"/>
        <w:rPr>
          <w:rFonts w:ascii="Calibri" w:hAnsi="Calibri" w:cs="Calibri"/>
          <w:bCs/>
          <w:sz w:val="20"/>
          <w:szCs w:val="20"/>
        </w:rPr>
      </w:pPr>
      <w:r w:rsidRPr="00BE2C1D">
        <w:rPr>
          <w:rFonts w:ascii="Calibri" w:hAnsi="Calibri" w:cs="Calibri"/>
          <w:bCs/>
          <w:sz w:val="20"/>
          <w:szCs w:val="20"/>
        </w:rPr>
        <w:t xml:space="preserve">‘the gate’ itself ceases to be viewed as a purely mechanistic instrument, guarded by a neutral figure, but rather can be seen as a discursive construction, giving meaning and making sense of the research encounters between socially embedded actors in the field. </w:t>
      </w:r>
    </w:p>
    <w:p w14:paraId="098B96D1" w14:textId="77777777" w:rsidR="00BE2C1D" w:rsidRPr="00BE2C1D" w:rsidRDefault="00BE2C1D" w:rsidP="00BE2C1D">
      <w:pPr>
        <w:spacing w:line="360" w:lineRule="auto"/>
        <w:jc w:val="both"/>
      </w:pPr>
      <w:r w:rsidRPr="00BE2C1D">
        <w:rPr>
          <w:rFonts w:ascii="Calibri" w:hAnsi="Calibri" w:cs="Calibri"/>
          <w:bCs/>
        </w:rPr>
        <w:lastRenderedPageBreak/>
        <w:t xml:space="preserve">Gatekeeping, Crowhust and kennedy-macfoy (2013: 458) suggested, is ‘a historically situated, social and cultural process that embodies the power relations of the contexts in which it takes place’. Within this approach gatekeepers are viewed ‘as social actors embedded, participating in and influencing relations of power’ (Crowhurst 2013: 464). Gatekeepers cease to be understood as static figures, but they are seen ‘as a cluster of institutional practices, truths, funding regimes, disciplinary conventions, power relations and discourses’ (Eldridge 2013: 483). Rather than demonizing (or celebrating) gatekeepers as individuals who hinder (or facilitate) access to potential participants, this approach seeks to understand gatekeepers (and the researcher themselves) as discursive subjects who draw on the contextual power relations that produce and inform their encounters with the researcher (Crowhurst and kennedy-macfoy 2013; Crowhurst 2013; Eldridge 2013; Shangera and Thapar-Bjokert 2008). </w:t>
      </w:r>
    </w:p>
    <w:p w14:paraId="4B2578E9" w14:textId="77777777" w:rsidR="00BE2C1D" w:rsidRPr="00BE2C1D" w:rsidRDefault="00BE2C1D" w:rsidP="00BE2C1D">
      <w:pPr>
        <w:spacing w:line="360" w:lineRule="auto"/>
        <w:jc w:val="both"/>
        <w:rPr>
          <w:rFonts w:ascii="Calibri" w:hAnsi="Calibri" w:cs="Calibri"/>
          <w:bCs/>
          <w:sz w:val="20"/>
          <w:szCs w:val="20"/>
        </w:rPr>
      </w:pPr>
      <w:r w:rsidRPr="00BE2C1D">
        <w:rPr>
          <w:rFonts w:ascii="Calibri" w:hAnsi="Calibri" w:cs="Calibri"/>
          <w:bCs/>
        </w:rPr>
        <w:t xml:space="preserve">Power within this approach is understood through a Foucauldian lens as productive (power produces the researcher and the gatekeeper as subjects) and diffuse (power is everywhere and is not possessed by individual subjects). Power is used relationally by gatekeepers and researchers to position each other (Crowhurst and kennedy-macfoy 2013; Eldridge, 2013) e.g. as the ‘good’ researcher who is worth of being provided with access or the ‘evil’ gatekeeper who blocked the researcher’s access. </w:t>
      </w:r>
    </w:p>
    <w:p w14:paraId="779C6A31" w14:textId="77777777" w:rsidR="00BE2C1D" w:rsidRPr="00BE2C1D" w:rsidRDefault="00BE2C1D" w:rsidP="00BE2C1D">
      <w:pPr>
        <w:spacing w:line="360" w:lineRule="auto"/>
        <w:jc w:val="both"/>
        <w:rPr>
          <w:rFonts w:ascii="Calibri" w:hAnsi="Calibri" w:cs="Calibri"/>
          <w:bCs/>
        </w:rPr>
      </w:pPr>
      <w:r w:rsidRPr="00BE2C1D">
        <w:rPr>
          <w:rFonts w:ascii="Calibri" w:hAnsi="Calibri" w:cs="Calibri"/>
          <w:bCs/>
        </w:rPr>
        <w:t>The aim of the rest of this section is to respond to the</w:t>
      </w:r>
    </w:p>
    <w:p w14:paraId="46A2DB0D" w14:textId="77777777" w:rsidR="00BE2C1D" w:rsidRPr="00BE2C1D" w:rsidRDefault="00BE2C1D" w:rsidP="00BE2C1D">
      <w:pPr>
        <w:spacing w:after="0" w:line="360" w:lineRule="auto"/>
        <w:ind w:left="720"/>
        <w:jc w:val="both"/>
        <w:rPr>
          <w:rFonts w:ascii="Calibri" w:eastAsia="Times New Roman" w:hAnsi="Calibri" w:cs="Calibri"/>
          <w:sz w:val="20"/>
          <w:szCs w:val="20"/>
          <w:lang w:eastAsia="en-GB"/>
        </w:rPr>
      </w:pPr>
      <w:r w:rsidRPr="00BE2C1D">
        <w:rPr>
          <w:rFonts w:ascii="Calibri" w:eastAsia="Times New Roman" w:hAnsi="Calibri" w:cs="Calibri"/>
          <w:sz w:val="20"/>
          <w:szCs w:val="20"/>
          <w:lang w:eastAsia="en-GB"/>
        </w:rPr>
        <w:t xml:space="preserve">need for a reflexive approach on the part of the researcher to consider the social relationships, identities and discourses which inform the encounters with gatekeepers in the field and the effects these have on the research process (Crowhurst 2013: 472). </w:t>
      </w:r>
    </w:p>
    <w:p w14:paraId="70BA684C" w14:textId="77777777" w:rsidR="00BE2C1D" w:rsidRPr="00BE2C1D" w:rsidRDefault="00BE2C1D" w:rsidP="00BE2C1D">
      <w:pPr>
        <w:spacing w:line="360" w:lineRule="auto"/>
        <w:jc w:val="both"/>
        <w:rPr>
          <w:rFonts w:ascii="Calibri" w:hAnsi="Calibri" w:cs="Calibri"/>
          <w:bCs/>
          <w:color w:val="FF0000"/>
        </w:rPr>
      </w:pPr>
      <w:r w:rsidRPr="00BE2C1D">
        <w:rPr>
          <w:rFonts w:ascii="Calibri" w:eastAsia="Times New Roman" w:hAnsi="Calibri" w:cs="Calibri"/>
          <w:bCs/>
          <w:lang w:eastAsia="en-GB"/>
        </w:rPr>
        <w:t>Among the six associations that functioned as gatekeepers, I was eligible for membership only in two of them. Except for two associations, the rule was that membership was granted only to those with an RG condition or those with a family member with an RG condition.</w:t>
      </w:r>
      <w:r w:rsidRPr="00BE2C1D">
        <w:t xml:space="preserve"> The associations with such membership criteria could be described as ‘biosocial associations’</w:t>
      </w:r>
      <w:r w:rsidRPr="00BE2C1D">
        <w:rPr>
          <w:vertAlign w:val="superscript"/>
        </w:rPr>
        <w:footnoteReference w:id="76"/>
      </w:r>
      <w:r w:rsidRPr="00BE2C1D">
        <w:t xml:space="preserve"> (Hughes 2009: 679), since they ‘</w:t>
      </w:r>
      <w:r w:rsidRPr="00BE2C1D">
        <w:rPr>
          <w:rFonts w:ascii="Calibri" w:hAnsi="Calibri" w:cs="Calibri"/>
          <w:bCs/>
        </w:rPr>
        <w:t>use impairment, genetic status and biomedical diagnosis and classification as a calling card that is central to their claims to identity’. However, this also meant that those who did share such a ‘lived experience’’</w:t>
      </w:r>
      <w:r w:rsidRPr="00BE2C1D">
        <w:rPr>
          <w:rFonts w:ascii="Calibri" w:hAnsi="Calibri" w:cs="Calibri"/>
          <w:bCs/>
          <w:vertAlign w:val="superscript"/>
        </w:rPr>
        <w:footnoteReference w:id="77"/>
      </w:r>
      <w:r w:rsidRPr="00BE2C1D">
        <w:rPr>
          <w:rFonts w:ascii="Calibri" w:hAnsi="Calibri" w:cs="Calibri"/>
          <w:bCs/>
        </w:rPr>
        <w:t xml:space="preserve"> were constructed as ‘outsiders’ and were excluded from such membership. Nevertheless, such membership was crucial in opening the gate to the events hosted by the associations, where potential participants could be identified and recruited.  </w:t>
      </w:r>
    </w:p>
    <w:p w14:paraId="3A401F00" w14:textId="77777777" w:rsidR="00BE2C1D" w:rsidRPr="00BE2C1D" w:rsidRDefault="00BE2C1D" w:rsidP="00BE2C1D">
      <w:pPr>
        <w:spacing w:line="360" w:lineRule="auto"/>
        <w:jc w:val="both"/>
        <w:rPr>
          <w:rFonts w:ascii="Calibri" w:eastAsia="Times New Roman" w:hAnsi="Calibri" w:cs="Calibri"/>
          <w:bCs/>
          <w:lang w:eastAsia="en-GB"/>
        </w:rPr>
      </w:pPr>
      <w:r w:rsidRPr="00BE2C1D">
        <w:rPr>
          <w:rFonts w:ascii="Calibri" w:eastAsia="Times New Roman" w:hAnsi="Calibri" w:cs="Calibri"/>
          <w:bCs/>
          <w:lang w:eastAsia="en-GB"/>
        </w:rPr>
        <w:lastRenderedPageBreak/>
        <w:t xml:space="preserve">Nevertheless, the process of gaining access is not static, but dynamic, ‘shaped by </w:t>
      </w:r>
      <w:r w:rsidRPr="00BE2C1D">
        <w:rPr>
          <w:rFonts w:ascii="Calibri" w:hAnsi="Calibri" w:cs="Calibri"/>
          <w:bCs/>
        </w:rPr>
        <w:t xml:space="preserve">transformative encounters between researchers, gatekeepers and participants’ (Crowhurst and kennedy-macfoy 2013: 364). Despite the strict membership criteria, some of the associations that I could not be member of still allowed me to advertise my research on their Facebook pages, giving me online access to potential participants. This was not a straight process of course, as there had been many messages in between with me explaining the purposes, the rationale and the importance of my research and distancing myself from the depiction of the researcher as a mere ‘collector of stories’ who after the completion of the fieldwork is nowhere to be seen (Kitchin 2001). However, </w:t>
      </w:r>
      <w:r w:rsidRPr="00BE2C1D">
        <w:rPr>
          <w:rFonts w:ascii="Calibri" w:eastAsia="Times New Roman" w:hAnsi="Calibri" w:cs="Calibri"/>
          <w:bCs/>
          <w:lang w:eastAsia="en-GB"/>
        </w:rPr>
        <w:t xml:space="preserve">as Crowhurst (2013: 472) noted,  </w:t>
      </w:r>
    </w:p>
    <w:p w14:paraId="48F21259" w14:textId="77777777" w:rsidR="00BE2C1D" w:rsidRPr="00BE2C1D" w:rsidRDefault="00BE2C1D" w:rsidP="00BE2C1D">
      <w:pPr>
        <w:spacing w:line="360" w:lineRule="auto"/>
        <w:ind w:left="720"/>
        <w:jc w:val="both"/>
        <w:rPr>
          <w:rFonts w:ascii="Calibri" w:hAnsi="Calibri" w:cs="Calibri"/>
          <w:bCs/>
          <w:sz w:val="20"/>
          <w:szCs w:val="20"/>
        </w:rPr>
      </w:pPr>
      <w:r w:rsidRPr="00BE2C1D">
        <w:rPr>
          <w:rFonts w:ascii="Calibri" w:hAnsi="Calibri" w:cs="Calibri"/>
          <w:bCs/>
          <w:sz w:val="20"/>
          <w:szCs w:val="20"/>
        </w:rPr>
        <w:t>The fact that gatekeepers grant access should not necessarily unleash the researcher to un- problematically carry out her/his research - ultimately, it is the potential respondent who should be able to decide whether he/she wants to take part in the research, and the researcher has the responsibility of understanding and ensuring that this is the case.</w:t>
      </w:r>
    </w:p>
    <w:p w14:paraId="09B6C7E3" w14:textId="77777777" w:rsidR="00BE2C1D" w:rsidRPr="00BE2C1D" w:rsidRDefault="00BE2C1D" w:rsidP="00BE2C1D">
      <w:pPr>
        <w:spacing w:line="360" w:lineRule="auto"/>
        <w:jc w:val="both"/>
        <w:rPr>
          <w:rFonts w:ascii="Calibri" w:hAnsi="Calibri" w:cs="Calibri"/>
          <w:bCs/>
        </w:rPr>
      </w:pPr>
      <w:r w:rsidRPr="00BE2C1D">
        <w:rPr>
          <w:rFonts w:ascii="Calibri" w:hAnsi="Calibri" w:cs="Calibri"/>
          <w:bCs/>
        </w:rPr>
        <w:t xml:space="preserve">As discussed earlier, online advertisement came with issues around authenticity and trust, which could have been resolved in face-to-face encounters. Not being a member of the associations, which meant no access to the events where trust could be developed, as well as lacking the credentials of being a member due to not being a person with RG could potentially explain the very small number of participants that contacted me after advertising the research on the associations’ Facebook pages. </w:t>
      </w:r>
    </w:p>
    <w:p w14:paraId="441F03FD" w14:textId="77777777" w:rsidR="00BE2C1D" w:rsidRPr="00BE2C1D" w:rsidRDefault="00BE2C1D" w:rsidP="00BE2C1D">
      <w:pPr>
        <w:spacing w:line="360" w:lineRule="auto"/>
        <w:jc w:val="both"/>
        <w:rPr>
          <w:rFonts w:ascii="Calibri" w:hAnsi="Calibri" w:cs="Calibri"/>
          <w:bCs/>
        </w:rPr>
      </w:pPr>
      <w:r w:rsidRPr="00BE2C1D">
        <w:rPr>
          <w:rFonts w:ascii="Calibri" w:hAnsi="Calibri" w:cs="Calibri"/>
          <w:bCs/>
        </w:rPr>
        <w:t xml:space="preserve">To summarise, rather than demonising or celebrating those associations that hindered or provided me with access to potential participants, I engaged with a post-structuralist approach to gatekeeping to explore the power relations and the discourses that shaped our (I as a researcher and associations as gatekeepers) encounters. The biological essentialism upon which some associations draw upon prohibited me from becoming a member and attending their events, where relationships of rapport could potentially be developed between myself and potential participants. Nevertheless, the lack of membership did not automatically mean that I was forbidden to advertise my research on their Facebook pages. However, this did not prove to be an effective means of recruitment due to issues of authenticity and mis/trust, resulting out of my positionality, which is discussed in the next section.   </w:t>
      </w:r>
    </w:p>
    <w:p w14:paraId="74E8E769" w14:textId="77777777" w:rsidR="00BE2C1D" w:rsidRPr="00BE2C1D" w:rsidRDefault="00BE2C1D" w:rsidP="00BE2C1D">
      <w:pPr>
        <w:keepNext/>
        <w:keepLines/>
        <w:spacing w:before="40" w:after="0" w:line="360" w:lineRule="auto"/>
        <w:outlineLvl w:val="2"/>
        <w:rPr>
          <w:rFonts w:asciiTheme="majorHAnsi" w:eastAsiaTheme="majorEastAsia" w:hAnsiTheme="majorHAnsi" w:cstheme="majorBidi"/>
          <w:color w:val="1F3763" w:themeColor="accent1" w:themeShade="7F"/>
          <w:sz w:val="24"/>
          <w:szCs w:val="24"/>
        </w:rPr>
      </w:pPr>
      <w:bookmarkStart w:id="98" w:name="_Toc39585238"/>
      <w:r w:rsidRPr="00BE2C1D">
        <w:rPr>
          <w:rFonts w:asciiTheme="majorHAnsi" w:eastAsiaTheme="majorEastAsia" w:hAnsiTheme="majorHAnsi" w:cstheme="majorBidi"/>
          <w:color w:val="1F3763" w:themeColor="accent1" w:themeShade="7F"/>
          <w:sz w:val="24"/>
          <w:szCs w:val="24"/>
        </w:rPr>
        <w:t>Embodied Reflexivity and The Politics of The Field Encounters</w:t>
      </w:r>
      <w:bookmarkEnd w:id="98"/>
      <w:r w:rsidRPr="00BE2C1D">
        <w:rPr>
          <w:rFonts w:asciiTheme="majorHAnsi" w:eastAsiaTheme="majorEastAsia" w:hAnsiTheme="majorHAnsi" w:cstheme="majorBidi"/>
          <w:color w:val="1F3763" w:themeColor="accent1" w:themeShade="7F"/>
          <w:sz w:val="24"/>
          <w:szCs w:val="24"/>
        </w:rPr>
        <w:t xml:space="preserve"> </w:t>
      </w:r>
    </w:p>
    <w:p w14:paraId="26029391" w14:textId="77777777" w:rsidR="00BE2C1D" w:rsidRPr="00BE2C1D" w:rsidRDefault="00BE2C1D" w:rsidP="00BE2C1D">
      <w:pPr>
        <w:spacing w:line="360" w:lineRule="auto"/>
        <w:jc w:val="both"/>
      </w:pPr>
      <w:r w:rsidRPr="00BE2C1D">
        <w:t xml:space="preserve">My critical reflections above already touched on my embodied identities and how these played out in the online encounters with gatekeepers. In this section I bring together the concepts of ‘uncomfortable reflexivity’ (Pillow 2003: 187) and ‘embodied reflexivity’ (Burns 2003: 230) to critically reflect on my face-to-face embodied interactions with potential participants during the events of the </w:t>
      </w:r>
      <w:r w:rsidRPr="00BE2C1D">
        <w:lastRenderedPageBreak/>
        <w:t xml:space="preserve">associations that I had access to and, in particular, on the interrogation of my short, but not with RG body and my research identity. </w:t>
      </w:r>
    </w:p>
    <w:p w14:paraId="4BE3F538" w14:textId="77777777" w:rsidR="00BE2C1D" w:rsidRPr="00BE2C1D" w:rsidRDefault="00BE2C1D" w:rsidP="00BE2C1D">
      <w:pPr>
        <w:spacing w:line="360" w:lineRule="auto"/>
        <w:jc w:val="both"/>
        <w:rPr>
          <w:rFonts w:cstheme="minorHAnsi"/>
          <w:lang w:val="en-US"/>
        </w:rPr>
      </w:pPr>
      <w:r w:rsidRPr="00BE2C1D">
        <w:rPr>
          <w:rFonts w:cstheme="minorHAnsi"/>
          <w:lang w:val="en-US"/>
        </w:rPr>
        <w:t>Rather than treating the bodies (both the researcher’s and the participants’) involved in the research as the ‘elephants in the room’ or as an ‘absent presence’ (Davis 1997; Leder 1990), feminists (Burns 2003, 2006; Rice 2009; Del Busso 2007; Ellingson 2006) and phenomenologists (Engelsrud 2005; Finlay 2006) called for ‘embodied reflexivity’ (Burns, 2003: 230) as a means</w:t>
      </w:r>
      <w:r w:rsidRPr="00BE2C1D">
        <w:rPr>
          <w:rFonts w:cstheme="minorHAnsi"/>
          <w:color w:val="FF0000"/>
          <w:lang w:val="en-US"/>
        </w:rPr>
        <w:t xml:space="preserve"> </w:t>
      </w:r>
      <w:r w:rsidRPr="00BE2C1D">
        <w:rPr>
          <w:rFonts w:cstheme="minorHAnsi"/>
          <w:lang w:val="en-US"/>
        </w:rPr>
        <w:t xml:space="preserve">for the researcher’s and the participants’ bodies to be acknowledged. Opposed to ‘cognitive reflexivity’ (Burns 2006: 5), as captured in definitions of reflexivity, where there is no reference to the body (see Finlay and Gough, 2003), embodied reflexivity requires researchers to critically reflect on their embodied subjectivities and to consider how these affect the research process (Burns 2006; Turner and Norwood 2013), with the aim of demystifying the research activity (Liddiard 2013). Embodied reflexivity brings into consideration the researcher’s positionality not as something fixed (Tinker and Armstrong 2008), as in the case of the outsider/insider binary for instance (Thomspon and Gunter 2011), but as something dynamic, performative and context dependent (Norris 2015). As </w:t>
      </w:r>
      <w:r w:rsidRPr="00BE2C1D">
        <w:rPr>
          <w:rFonts w:ascii="Calibri" w:eastAsia="Times New Roman" w:hAnsi="Calibri" w:cs="Calibri"/>
          <w:bCs/>
          <w:lang w:eastAsia="en-GB"/>
        </w:rPr>
        <w:t xml:space="preserve">Turner and Norwood (2013: 698) argued: </w:t>
      </w:r>
      <w:bookmarkStart w:id="99" w:name="_Hlk529874859"/>
    </w:p>
    <w:p w14:paraId="0343537E" w14:textId="77777777" w:rsidR="00BE2C1D" w:rsidRPr="00BE2C1D" w:rsidRDefault="00BE2C1D" w:rsidP="00BE2C1D">
      <w:pPr>
        <w:spacing w:line="360" w:lineRule="auto"/>
        <w:ind w:left="720"/>
        <w:jc w:val="both"/>
        <w:rPr>
          <w:rFonts w:ascii="Calibri" w:hAnsi="Calibri" w:cs="Calibri"/>
          <w:bCs/>
          <w:sz w:val="20"/>
          <w:szCs w:val="20"/>
        </w:rPr>
      </w:pPr>
      <w:r w:rsidRPr="00BE2C1D">
        <w:rPr>
          <w:rFonts w:ascii="Calibri" w:hAnsi="Calibri" w:cs="Calibri"/>
          <w:bCs/>
          <w:sz w:val="20"/>
          <w:szCs w:val="20"/>
        </w:rPr>
        <w:t xml:space="preserve">A researcher’s insider/outsiderness is not necessarily a fact of demographics or experiences, but rather is constructed in the moment and therefore is not predetermined or static. Furthermore, insider/outsider identities are not usually clean and simple, as parts of our identities may overlap with participants and others may not. </w:t>
      </w:r>
      <w:bookmarkEnd w:id="99"/>
    </w:p>
    <w:p w14:paraId="48E6BCB3" w14:textId="77777777" w:rsidR="00BE2C1D" w:rsidRPr="00BE2C1D" w:rsidRDefault="00BE2C1D" w:rsidP="00BE2C1D">
      <w:pPr>
        <w:spacing w:line="360" w:lineRule="auto"/>
        <w:jc w:val="both"/>
        <w:rPr>
          <w:rFonts w:eastAsia="Times New Roman" w:cstheme="minorHAnsi"/>
          <w:bCs/>
          <w:lang w:eastAsia="en-GB"/>
        </w:rPr>
      </w:pPr>
      <w:r w:rsidRPr="00BE2C1D">
        <w:rPr>
          <w:rFonts w:ascii="Calibri" w:eastAsia="Times New Roman" w:hAnsi="Calibri" w:cs="Calibri"/>
          <w:bCs/>
          <w:lang w:eastAsia="en-GB"/>
        </w:rPr>
        <w:t>Similarly, Mullings (1999) was critical of the insider/outsider binary for overlooking positionality’s dynamism, that is how it changes in time and through space. As Norris (2015: 1002) asserted, ‘</w:t>
      </w:r>
      <w:r w:rsidRPr="00BE2C1D">
        <w:rPr>
          <w:rFonts w:ascii="Calibri" w:eastAsia="Times New Roman" w:hAnsi="Calibri" w:cs="Calibri"/>
          <w:lang w:eastAsia="en-GB"/>
        </w:rPr>
        <w:t>an individual’s embodied, performed and social identities, including those of the researcher, are multiple, specific in time and place, and evolve and fluctuate through interaction’ and ‘who and what I am at a specific time and place is lived through and performed by my body, which is itself culturally and historically influenced’ (ibid: 989). For instance, Liddiard (2018) and Scott (2013) discussed how their ‘insider’ status - being disabled and doing disability research - was interrogated by their participants, who did not experience their impairment in the same ways as them. This leads to a view of with positionality as relational (Crossa 2012: 115),</w:t>
      </w:r>
      <w:r w:rsidRPr="00BE2C1D">
        <w:rPr>
          <w:rFonts w:eastAsia="Times New Roman" w:cstheme="minorHAnsi"/>
          <w:bCs/>
          <w:lang w:eastAsia="en-GB"/>
        </w:rPr>
        <w:t xml:space="preserve"> which ‘considers how researchers’ identities are shaped by multiple mobile and flexible relations’. However, thinking of positionality relationally (and not as something fixed) does not leave positionality devoid of power relations, but, on the contrary, power relations shape such relational understandings (Hoffman 2007; </w:t>
      </w:r>
      <w:r w:rsidRPr="00BE2C1D">
        <w:rPr>
          <w:rFonts w:ascii="Calibri" w:hAnsi="Calibri" w:cs="Calibri"/>
          <w:bCs/>
        </w:rPr>
        <w:t>Shangera &amp; Thapar-Bjokert 2008</w:t>
      </w:r>
      <w:r w:rsidRPr="00BE2C1D">
        <w:rPr>
          <w:rFonts w:eastAsia="Times New Roman" w:cstheme="minorHAnsi"/>
          <w:bCs/>
          <w:lang w:eastAsia="en-GB"/>
        </w:rPr>
        <w:t xml:space="preserve">). The embodied reflections that follow draw on relational positionality to explore how the participants’ and my embodied identities affected our face-to-face encounters during the recruitment process. </w:t>
      </w:r>
    </w:p>
    <w:p w14:paraId="56E1F426" w14:textId="77777777" w:rsidR="00BE2C1D" w:rsidRPr="00BE2C1D" w:rsidRDefault="00BE2C1D" w:rsidP="00BE2C1D">
      <w:pPr>
        <w:spacing w:line="360" w:lineRule="auto"/>
        <w:jc w:val="both"/>
        <w:rPr>
          <w:rFonts w:eastAsia="Times New Roman" w:cstheme="minorHAnsi"/>
          <w:bCs/>
          <w:color w:val="FF0000"/>
          <w:lang w:eastAsia="en-GB"/>
        </w:rPr>
      </w:pPr>
      <w:r w:rsidRPr="00BE2C1D">
        <w:rPr>
          <w:rFonts w:cstheme="minorHAnsi"/>
          <w:lang w:val="en-US"/>
        </w:rPr>
        <w:lastRenderedPageBreak/>
        <w:t xml:space="preserve">As discussed earlier, venue-based sampling took place through attending two events that one association held. These events are constitute a ‘safe’ space (Campbell 2008b; Hogde and Runswick-Cole 2013), a get away from ableism’s omnipresence materialized in the hostile attitudes and disabling structures that people with RG encounter in their everyday lives (Shakespeare et al. 2010; Pritchard 2016). During these events I felt at certain occasions that my body (short, but not with RG) was interrogated and the disclosure of my identity as a researcher brought about even more scepticism about my presence in the events and about my intentions. The following reflection from my research diary illustrates this point: </w:t>
      </w:r>
    </w:p>
    <w:p w14:paraId="35602D79" w14:textId="77777777" w:rsidR="00BE2C1D" w:rsidRPr="00BE2C1D" w:rsidRDefault="00BE2C1D" w:rsidP="00BE2C1D">
      <w:pPr>
        <w:spacing w:line="360" w:lineRule="auto"/>
        <w:ind w:left="720"/>
        <w:jc w:val="both"/>
        <w:rPr>
          <w:rFonts w:cstheme="minorHAnsi"/>
          <w:sz w:val="20"/>
          <w:szCs w:val="20"/>
          <w:lang w:val="en-US"/>
        </w:rPr>
      </w:pPr>
      <w:r w:rsidRPr="00BE2C1D">
        <w:rPr>
          <w:rFonts w:cstheme="minorHAnsi"/>
          <w:sz w:val="20"/>
          <w:szCs w:val="20"/>
          <w:lang w:val="en-US"/>
        </w:rPr>
        <w:t xml:space="preserve">Once I entered this room with only two people inside, my presence (or my right to be there) was immediately interrogated. ‘What are you doing here?’ I was asked by the one person in the room. I introduced myself and explained that I was a member of the association and I was also attending the event to talk with people for my project. The other person rushed to explain ‘He’s not one of them; he’s not here for the weekend and then never hear back from him again’ (Research Diary, October, 2018). </w:t>
      </w:r>
    </w:p>
    <w:p w14:paraId="45BD425D" w14:textId="77777777" w:rsidR="00BE2C1D" w:rsidRPr="00BE2C1D" w:rsidRDefault="00BE2C1D" w:rsidP="00BE2C1D">
      <w:pPr>
        <w:spacing w:line="360" w:lineRule="auto"/>
        <w:jc w:val="both"/>
        <w:rPr>
          <w:rFonts w:cstheme="minorHAnsi"/>
          <w:sz w:val="20"/>
          <w:szCs w:val="20"/>
          <w:lang w:val="en-US"/>
        </w:rPr>
      </w:pPr>
      <w:r w:rsidRPr="00BE2C1D">
        <w:rPr>
          <w:rFonts w:cstheme="minorHAnsi"/>
          <w:lang w:val="en-US"/>
        </w:rPr>
        <w:t xml:space="preserve">Both people had RG and were members of the associations. It was the first time to meet the person who immediately asked me what I was doing there (in the event of one association). I had already met the other person in a past event, so he was both aware of my membership and my project. Although these questions made me feel discomfort initially, upon reflection and in hindsight I believe they were absolutely justified and legitimate, considering the levels of mistrust towards research and researchers (with and without RG) which and who made members of the association feel that their experiences and stories had been appropriated and misrepresented (Kitchin 2001) (what the second person referred to as ‘one of them’ referring to researchers who engaged in such practices). In order to mitigate such feelings, </w:t>
      </w:r>
      <w:r w:rsidRPr="00BE2C1D">
        <w:rPr>
          <w:rFonts w:ascii="Calibri" w:eastAsia="Times New Roman" w:hAnsi="Calibri" w:cs="Calibri"/>
          <w:lang w:eastAsia="en-GB"/>
        </w:rPr>
        <w:t xml:space="preserve">during my face to-face interactions with potential participants I claimed what Mulling (1999: 340) referred to as ‘positional space’ </w:t>
      </w:r>
    </w:p>
    <w:p w14:paraId="08A7C799" w14:textId="77777777" w:rsidR="00BE2C1D" w:rsidRPr="00BE2C1D" w:rsidRDefault="00BE2C1D" w:rsidP="00BE2C1D">
      <w:pPr>
        <w:spacing w:after="0" w:line="360" w:lineRule="auto"/>
        <w:ind w:left="720"/>
        <w:jc w:val="both"/>
        <w:rPr>
          <w:rFonts w:eastAsia="Times New Roman" w:cstheme="minorHAnsi"/>
          <w:sz w:val="20"/>
          <w:szCs w:val="20"/>
          <w:lang w:eastAsia="en-GB"/>
        </w:rPr>
      </w:pPr>
      <w:r w:rsidRPr="00BE2C1D">
        <w:rPr>
          <w:rFonts w:eastAsia="Times New Roman" w:cstheme="minorHAnsi"/>
          <w:sz w:val="20"/>
          <w:szCs w:val="20"/>
          <w:lang w:eastAsia="en-GB"/>
        </w:rPr>
        <w:t>that is, areas where the situated knowledges of both parties in the interview encounter, engender a level of trust and co-operation. These positional spaces, however, are often transitory and cannot be reduced to the familiar boundaries of insider/outsider privilege based on visible attributes such as race, gender, ethnicity or class.</w:t>
      </w:r>
    </w:p>
    <w:p w14:paraId="27A0FBF2" w14:textId="77777777" w:rsidR="00BE2C1D" w:rsidRPr="00BE2C1D" w:rsidRDefault="00BE2C1D" w:rsidP="00BE2C1D">
      <w:pPr>
        <w:spacing w:after="0" w:line="360" w:lineRule="auto"/>
        <w:jc w:val="both"/>
        <w:rPr>
          <w:rFonts w:eastAsia="Times New Roman" w:cstheme="minorHAnsi"/>
          <w:lang w:eastAsia="en-GB"/>
        </w:rPr>
      </w:pPr>
      <w:r w:rsidRPr="00BE2C1D">
        <w:rPr>
          <w:rFonts w:eastAsia="Times New Roman" w:cstheme="minorHAnsi"/>
          <w:lang w:eastAsia="en-GB"/>
        </w:rPr>
        <w:t xml:space="preserve">For instance, when I was asked by potential participants about the rationale of the research, I was open and honest about my personal drives, including my own experiences of heightism during schooling, a form of discrimination that we both shared experiences of. Moreover, by taking part in the different activities that the associations had planned, such as dinners and disco events, I got to know potential participants better in informal settings - and so did they - and develop a relationship of trust. Both I and the potential participants had the opportunity to come to know each other not only as ‘the researcher’ and ‘the participant’, but as members of the same association who spend time </w:t>
      </w:r>
      <w:r w:rsidRPr="00BE2C1D">
        <w:rPr>
          <w:rFonts w:eastAsia="Times New Roman" w:cstheme="minorHAnsi"/>
          <w:lang w:eastAsia="en-GB"/>
        </w:rPr>
        <w:lastRenderedPageBreak/>
        <w:t xml:space="preserve">together.  At these moments our embodied differences ceased to matter, as we both focused on what brings us together rather than what differentiates us from each other. </w:t>
      </w:r>
      <w:r w:rsidRPr="00BE2C1D">
        <w:rPr>
          <w:rFonts w:eastAsia="Times New Roman" w:cstheme="minorHAnsi"/>
          <w:lang w:val="el-GR" w:eastAsia="en-GB"/>
        </w:rPr>
        <w:t>Τ</w:t>
      </w:r>
      <w:r w:rsidRPr="00BE2C1D">
        <w:rPr>
          <w:rFonts w:eastAsia="Times New Roman" w:cstheme="minorHAnsi"/>
          <w:lang w:eastAsia="en-GB"/>
        </w:rPr>
        <w:t xml:space="preserve">his was the big difference that the face-to-face encounters made compared to the online encounters. Being able to claim such positional space was crucial in mitigating feelings of mistrust towards my embodied identities and my identity as a researcher and in recruiting participants who felt safe to share their stories with me. </w:t>
      </w:r>
    </w:p>
    <w:p w14:paraId="65EE31B4" w14:textId="77777777" w:rsidR="00BE2C1D" w:rsidRPr="00BE2C1D" w:rsidRDefault="00BE2C1D" w:rsidP="00BE2C1D">
      <w:pPr>
        <w:spacing w:after="0" w:line="360" w:lineRule="auto"/>
        <w:jc w:val="both"/>
        <w:rPr>
          <w:rFonts w:eastAsia="Times New Roman" w:cstheme="minorHAnsi"/>
          <w:lang w:eastAsia="en-GB"/>
        </w:rPr>
      </w:pPr>
    </w:p>
    <w:p w14:paraId="7DF5A878" w14:textId="77777777" w:rsidR="00BE2C1D" w:rsidRPr="00BE2C1D" w:rsidRDefault="00BE2C1D" w:rsidP="00BE2C1D">
      <w:pPr>
        <w:spacing w:after="0" w:line="360" w:lineRule="auto"/>
        <w:jc w:val="both"/>
        <w:rPr>
          <w:rFonts w:eastAsia="Times New Roman" w:cstheme="minorHAnsi"/>
          <w:lang w:eastAsia="en-GB"/>
        </w:rPr>
      </w:pPr>
      <w:r w:rsidRPr="00BE2C1D">
        <w:rPr>
          <w:rFonts w:eastAsia="Times New Roman" w:cstheme="minorHAnsi"/>
          <w:lang w:eastAsia="en-GB"/>
        </w:rPr>
        <w:t xml:space="preserve">All in all, in this section I engaged with embodied reflexivity to reflect on my research encounters with potential participants during the events of one association. While in some initial interactions I experienced my body and my researcher identity as an impediment (Turner and Norwood 2013) during recruitment due to the legitimate mistrust towards an ‘outsider’ researcher, I overcame this barrier by claiming positional space e.g. by referring to the shared experiences of heightism we both encounter in different contexts and forms, and by developing a rapport of trust with potential participants. Unlike online encounters, where I did not have the chance to engage with potential participants in more detailed dialogues about my research (explaining what motivated me to do it and what I aspire to achieve with it) and spend time together to get to know each other, the face-to-face interactions proved to be essential in the development of meaningful relationships with potential participants, who felt more comfortable after that to share their stories. Sharing their stories with me though was a huge ethical responsibility for me: How do I re-tell these stories in such a way that does justice to what was said (and not said), especially when positioned as an ‘outsider’? This is the topic on which I reflect in the next section.   </w:t>
      </w:r>
    </w:p>
    <w:p w14:paraId="544CFAE1" w14:textId="77777777" w:rsidR="00BE2C1D" w:rsidRPr="00BE2C1D" w:rsidRDefault="00BE2C1D" w:rsidP="00BE2C1D">
      <w:pPr>
        <w:keepNext/>
        <w:keepLines/>
        <w:spacing w:before="40" w:after="0" w:line="360" w:lineRule="auto"/>
        <w:outlineLvl w:val="2"/>
        <w:rPr>
          <w:rFonts w:asciiTheme="majorHAnsi" w:eastAsiaTheme="majorEastAsia" w:hAnsiTheme="majorHAnsi" w:cstheme="majorBidi"/>
          <w:color w:val="1F3763" w:themeColor="accent1" w:themeShade="7F"/>
          <w:sz w:val="24"/>
          <w:szCs w:val="24"/>
        </w:rPr>
      </w:pPr>
      <w:bookmarkStart w:id="100" w:name="_Toc39585239"/>
      <w:r w:rsidRPr="00BE2C1D">
        <w:rPr>
          <w:rFonts w:asciiTheme="majorHAnsi" w:eastAsiaTheme="majorEastAsia" w:hAnsiTheme="majorHAnsi" w:cstheme="majorBidi"/>
          <w:color w:val="1F3763" w:themeColor="accent1" w:themeShade="7F"/>
          <w:sz w:val="24"/>
          <w:szCs w:val="24"/>
        </w:rPr>
        <w:t>Feminist Ethics, Positionality and Analysis</w:t>
      </w:r>
      <w:bookmarkEnd w:id="100"/>
      <w:r w:rsidRPr="00BE2C1D">
        <w:rPr>
          <w:rFonts w:asciiTheme="majorHAnsi" w:eastAsiaTheme="majorEastAsia" w:hAnsiTheme="majorHAnsi" w:cstheme="majorBidi"/>
          <w:color w:val="1F3763" w:themeColor="accent1" w:themeShade="7F"/>
          <w:sz w:val="24"/>
          <w:szCs w:val="24"/>
        </w:rPr>
        <w:t xml:space="preserve"> </w:t>
      </w:r>
    </w:p>
    <w:p w14:paraId="28416A2C" w14:textId="77777777" w:rsidR="00BE2C1D" w:rsidRPr="00BE2C1D" w:rsidRDefault="00BE2C1D" w:rsidP="00BE2C1D">
      <w:pPr>
        <w:spacing w:after="0" w:line="360" w:lineRule="auto"/>
        <w:ind w:left="720"/>
        <w:jc w:val="both"/>
        <w:rPr>
          <w:rFonts w:ascii="Calibri" w:eastAsia="Times New Roman" w:hAnsi="Calibri" w:cs="Calibri"/>
          <w:sz w:val="20"/>
          <w:szCs w:val="20"/>
          <w:lang w:eastAsia="en-GB"/>
        </w:rPr>
      </w:pPr>
      <w:r w:rsidRPr="00BE2C1D">
        <w:rPr>
          <w:rFonts w:ascii="Calibri" w:eastAsia="Times New Roman" w:hAnsi="Calibri" w:cs="Calibri"/>
          <w:sz w:val="20"/>
          <w:szCs w:val="20"/>
          <w:lang w:eastAsia="en-GB"/>
        </w:rPr>
        <w:t>Often this speech about the “Other” annihilates, erases: “no need to hear your voice when I can talk about you better than you can speak about yourself. No need to hear your voice. Only tell me about your pain. I want to know your story. And then I will tell it back to you in a new way. Tell it back to you in such a way that it has become mine, my own. Re-writing you, I write myself anew. I am still author, authority. I am still the colonizer, the speaking subject, and you are now at the centre of my talk (hooks 1990: 151–152).</w:t>
      </w:r>
    </w:p>
    <w:p w14:paraId="7092EB0E" w14:textId="77777777" w:rsidR="00BE2C1D" w:rsidRPr="00BE2C1D" w:rsidRDefault="00BE2C1D" w:rsidP="00BE2C1D">
      <w:pPr>
        <w:spacing w:after="0" w:line="360" w:lineRule="auto"/>
        <w:jc w:val="both"/>
        <w:rPr>
          <w:rFonts w:ascii="Calibri" w:eastAsia="Times New Roman" w:hAnsi="Calibri" w:cs="Calibri"/>
          <w:lang w:eastAsia="en-GB"/>
        </w:rPr>
      </w:pPr>
      <w:r w:rsidRPr="00BE2C1D">
        <w:rPr>
          <w:rFonts w:ascii="Calibri" w:eastAsia="Times New Roman" w:hAnsi="Calibri" w:cs="Calibri"/>
          <w:lang w:eastAsia="en-GB"/>
        </w:rPr>
        <w:t xml:space="preserve">In this part the focus is on the analysis of the stories and on what Hoffman (2007: 321) refers to as the ‘third dimensional power’, which has to do with the authorial/authoritative power of the researcher to re-tell the participants’ stories, including the researcher’s theoretical frameworks (the lenses through which the stories are discussed) and analytical choices (which stories and/or which parts of the selected stories are listened to and which ones are silenced). As the author of this thesis, I was the one to choose which stories to include e.g. participants’ experiences with their TAs, and which ones to leave out e.g. participants’ stories of the primary schooling experiences, a choice which had to do with the narrative thematic analysis and the research questions. Moreover, I chose the theoretical </w:t>
      </w:r>
      <w:r w:rsidRPr="00BE2C1D">
        <w:rPr>
          <w:rFonts w:ascii="Calibri" w:eastAsia="Times New Roman" w:hAnsi="Calibri" w:cs="Calibri"/>
          <w:lang w:eastAsia="en-GB"/>
        </w:rPr>
        <w:lastRenderedPageBreak/>
        <w:t xml:space="preserve">and analytical frameworks through which these stories were discussed. For instance, I drew on Goodley’s and Runswick-Cole’s (2011a) analytical distinction of the different forms of violence (real, cultural, psycho-emotional and systemic) to examine participants’ encounters with such violence at school. </w:t>
      </w:r>
      <w:r w:rsidRPr="00BE2C1D">
        <w:rPr>
          <w:rFonts w:ascii="Calibri" w:hAnsi="Calibri" w:cs="Calibri"/>
          <w:bCs/>
        </w:rPr>
        <w:t>Here, I critically reflect on my authorial/authoritative power by engaging with Alcoff’s (1991) interrogative practices</w:t>
      </w:r>
      <w:r w:rsidRPr="00BE2C1D">
        <w:rPr>
          <w:rFonts w:ascii="Calibri" w:hAnsi="Calibri" w:cs="Calibri"/>
          <w:bCs/>
          <w:vertAlign w:val="superscript"/>
        </w:rPr>
        <w:footnoteReference w:id="78"/>
      </w:r>
      <w:r w:rsidRPr="00BE2C1D">
        <w:rPr>
          <w:rFonts w:ascii="Calibri" w:hAnsi="Calibri" w:cs="Calibri"/>
          <w:bCs/>
        </w:rPr>
        <w:t xml:space="preserve"> and Bridge’s (2001) deconstruction of the exclusion of outsider researchers from doing research with disempowered/marginalised communities. Rather than overlooking and silencing these issues, what I try to propose here is an ethically sound way of analysing and re-telling stories of marginalised communities, which builds on feminist ethics. </w:t>
      </w:r>
    </w:p>
    <w:p w14:paraId="4F506674" w14:textId="77777777" w:rsidR="00BE2C1D" w:rsidRPr="00BE2C1D" w:rsidRDefault="00BE2C1D" w:rsidP="00BE2C1D">
      <w:pPr>
        <w:spacing w:after="0" w:line="360" w:lineRule="auto"/>
        <w:jc w:val="both"/>
        <w:rPr>
          <w:rFonts w:ascii="Calibri" w:eastAsia="Times New Roman" w:hAnsi="Calibri" w:cs="Calibri"/>
          <w:lang w:eastAsia="en-GB"/>
        </w:rPr>
      </w:pPr>
    </w:p>
    <w:p w14:paraId="5A775F68" w14:textId="77777777" w:rsidR="00BE2C1D" w:rsidRPr="00BE2C1D" w:rsidRDefault="00BE2C1D" w:rsidP="00BE2C1D">
      <w:pPr>
        <w:spacing w:after="0" w:line="360" w:lineRule="auto"/>
        <w:jc w:val="both"/>
        <w:rPr>
          <w:rFonts w:ascii="Calibri" w:hAnsi="Calibri" w:cs="Calibri"/>
          <w:bCs/>
        </w:rPr>
      </w:pPr>
      <w:r w:rsidRPr="00BE2C1D">
        <w:rPr>
          <w:rFonts w:ascii="Calibri" w:hAnsi="Calibri" w:cs="Calibri"/>
          <w:bCs/>
        </w:rPr>
        <w:t>The issue of authorial power is highly pertinent to my research, considering my positionality as a non-disabled researcher. Both in the USA (Charlton 1998)</w:t>
      </w:r>
      <w:r w:rsidRPr="00BE2C1D">
        <w:rPr>
          <w:rFonts w:ascii="Calibri" w:hAnsi="Calibri" w:cs="Calibri"/>
          <w:bCs/>
          <w:vertAlign w:val="superscript"/>
        </w:rPr>
        <w:footnoteReference w:id="79"/>
      </w:r>
      <w:r w:rsidRPr="00BE2C1D">
        <w:rPr>
          <w:rFonts w:ascii="Calibri" w:hAnsi="Calibri" w:cs="Calibri"/>
          <w:bCs/>
        </w:rPr>
        <w:t xml:space="preserve"> and in the UK (</w:t>
      </w:r>
      <w:r w:rsidRPr="00BE2C1D">
        <w:rPr>
          <w:rFonts w:eastAsia="Times New Roman" w:cstheme="minorHAnsi"/>
          <w:bCs/>
          <w:lang w:eastAsia="en-GB"/>
        </w:rPr>
        <w:t>Stone and Priestley 1996; Branfield 1998</w:t>
      </w:r>
      <w:r w:rsidRPr="00BE2C1D">
        <w:rPr>
          <w:rFonts w:ascii="Calibri" w:hAnsi="Calibri" w:cs="Calibri"/>
          <w:bCs/>
        </w:rPr>
        <w:t>) it has been suggested that disability research should be conducted by disabled people, who have a direct experience of it. Richards and Clark (2018: 200) discussed how the researcher’s dis/ability own status - which must be ‘confessed’ - is related to their ‘expertise’</w:t>
      </w:r>
      <w:r w:rsidRPr="00BE2C1D">
        <w:rPr>
          <w:rFonts w:ascii="Calibri" w:hAnsi="Calibri" w:cs="Calibri"/>
          <w:bCs/>
          <w:vertAlign w:val="superscript"/>
        </w:rPr>
        <w:footnoteReference w:id="80"/>
      </w:r>
      <w:r w:rsidRPr="00BE2C1D">
        <w:rPr>
          <w:rFonts w:ascii="Calibri" w:hAnsi="Calibri" w:cs="Calibri"/>
          <w:bCs/>
        </w:rPr>
        <w:t xml:space="preserve"> and the authenticity of the knowledge they produce ‘about and for the disability community’. To discuss these issues, then, I engage with Alcoff’s (1991) interrogative practices for those who speak for others. Alcoff starts quite provocatively, stating that</w:t>
      </w:r>
    </w:p>
    <w:p w14:paraId="30940EDF" w14:textId="77777777" w:rsidR="00BE2C1D" w:rsidRPr="00BE2C1D" w:rsidRDefault="00BE2C1D" w:rsidP="00BE2C1D">
      <w:pPr>
        <w:spacing w:after="0" w:line="360" w:lineRule="auto"/>
        <w:ind w:left="720"/>
        <w:jc w:val="both"/>
        <w:rPr>
          <w:rFonts w:ascii="Calibri" w:eastAsia="Times New Roman" w:hAnsi="Calibri" w:cs="Times New Roman"/>
          <w:bCs/>
          <w:sz w:val="20"/>
          <w:szCs w:val="20"/>
          <w:lang w:eastAsia="en-GB"/>
        </w:rPr>
      </w:pPr>
      <w:r w:rsidRPr="00BE2C1D">
        <w:rPr>
          <w:rFonts w:ascii="Calibri" w:eastAsia="Times New Roman" w:hAnsi="Calibri" w:cs="Times New Roman"/>
          <w:bCs/>
          <w:sz w:val="20"/>
          <w:szCs w:val="20"/>
          <w:lang w:eastAsia="en-GB"/>
        </w:rPr>
        <w:t>The impetus to speak must be carefully analyzed and, in many cases (certainly for academics!), fought against. This seem an odd way to begin discussing how to speak for, but the point is that the impetus to always be the speaker and to speak all situations must be seen for what it is: a desire for mastery domination (ibid: 24).</w:t>
      </w:r>
    </w:p>
    <w:p w14:paraId="3B0B3EAE" w14:textId="77777777" w:rsidR="00BE2C1D" w:rsidRPr="00BE2C1D" w:rsidRDefault="00BE2C1D" w:rsidP="00BE2C1D">
      <w:pPr>
        <w:spacing w:after="0" w:line="360" w:lineRule="auto"/>
        <w:jc w:val="both"/>
        <w:rPr>
          <w:rFonts w:ascii="Calibri" w:eastAsia="Times New Roman" w:hAnsi="Calibri" w:cs="Times New Roman"/>
          <w:bCs/>
          <w:lang w:eastAsia="en-GB"/>
        </w:rPr>
      </w:pPr>
      <w:r w:rsidRPr="00BE2C1D">
        <w:rPr>
          <w:rFonts w:ascii="Calibri" w:eastAsia="Times New Roman" w:hAnsi="Calibri" w:cs="Times New Roman"/>
          <w:bCs/>
          <w:lang w:eastAsia="en-GB"/>
        </w:rPr>
        <w:t>This desire for mastery is also captured by hook’s quote used at the start of the section, who talks about the author as the coloniser. Bridges (2001: 381) also referred to the danger of ‘vetriloquy’, that is ‘the use of the voice of the participants to give expression to the things which the researcher wants to say or to have said’. On the other hand, both Alcoff (1991: 21) and Bridges (2001: 381) warned about the danger of speaking only for ourselves, to which they referred as the ‘problem of retreating’ and ‘social solipsism’ respectively. Bridges (ibid: 381) claimed:</w:t>
      </w:r>
    </w:p>
    <w:p w14:paraId="39705F7F" w14:textId="77777777" w:rsidR="00BE2C1D" w:rsidRPr="00BE2C1D" w:rsidRDefault="00BE2C1D" w:rsidP="00BE2C1D">
      <w:pPr>
        <w:spacing w:after="0" w:line="360" w:lineRule="auto"/>
        <w:ind w:left="720"/>
        <w:jc w:val="both"/>
        <w:rPr>
          <w:rFonts w:ascii="Calibri" w:eastAsia="Times New Roman" w:hAnsi="Calibri" w:cs="Calibri"/>
          <w:bCs/>
          <w:sz w:val="20"/>
          <w:szCs w:val="20"/>
          <w:lang w:eastAsia="en-GB"/>
        </w:rPr>
      </w:pPr>
      <w:r w:rsidRPr="00BE2C1D">
        <w:rPr>
          <w:rFonts w:ascii="Calibri" w:eastAsia="Times New Roman" w:hAnsi="Calibri" w:cs="Calibri"/>
          <w:bCs/>
          <w:sz w:val="20"/>
          <w:szCs w:val="20"/>
          <w:lang w:eastAsia="en-GB"/>
        </w:rPr>
        <w:t>There is a real danger that if we become persuaded that we cannot understand the experience of others and that 'we have no right to speak for anyone but ourselves', then we will all too easily find ourselves epistemologically and morally isolated, furnished with a comfortable legitimation for ignoring the condition of anyone but ourselves.</w:t>
      </w:r>
    </w:p>
    <w:p w14:paraId="270C4D27" w14:textId="10C21F56" w:rsidR="00BE2C1D" w:rsidRPr="00BE2C1D" w:rsidRDefault="00BE2C1D" w:rsidP="00BE2C1D">
      <w:pPr>
        <w:spacing w:after="0" w:line="360" w:lineRule="auto"/>
        <w:jc w:val="both"/>
        <w:rPr>
          <w:rFonts w:ascii="Calibri" w:eastAsia="Times New Roman" w:hAnsi="Calibri" w:cs="Times New Roman"/>
          <w:bCs/>
          <w:lang w:eastAsia="en-GB"/>
        </w:rPr>
      </w:pPr>
      <w:r w:rsidRPr="00BE2C1D">
        <w:rPr>
          <w:rFonts w:ascii="Calibri" w:eastAsia="Times New Roman" w:hAnsi="Calibri" w:cs="Times New Roman"/>
          <w:bCs/>
          <w:lang w:eastAsia="en-GB"/>
        </w:rPr>
        <w:lastRenderedPageBreak/>
        <w:t>These issues pushed me further to critically reflect on what urged me to do this research in the first place, why I chose this population and why I asked the questions I asked. Part of the responses to these questions have already been covered elsewhere (see for instance the opening story in the chapter 1), where I discussed the rationale of this research. Regarding my ‘outsider’ positionality, I agree with Bridges’ (2001: 374) argument that an ‘insider positionality’ (which was discussed earlier as a direct experience of/to disability) ‘does not automatically attach special authority to their own representations of that experience’. What is important, though, is how one, whether ‘insider’ or ‘outsider’</w:t>
      </w:r>
      <w:r w:rsidRPr="00BE2C1D">
        <w:rPr>
          <w:rFonts w:ascii="Calibri" w:eastAsia="Times New Roman" w:hAnsi="Calibri" w:cs="Times New Roman"/>
          <w:bCs/>
          <w:vertAlign w:val="superscript"/>
          <w:lang w:eastAsia="en-GB"/>
        </w:rPr>
        <w:footnoteReference w:id="81"/>
      </w:r>
      <w:r w:rsidRPr="00BE2C1D">
        <w:rPr>
          <w:rFonts w:ascii="Calibri" w:eastAsia="Times New Roman" w:hAnsi="Calibri" w:cs="Times New Roman"/>
          <w:bCs/>
          <w:lang w:eastAsia="en-GB"/>
        </w:rPr>
        <w:t>, theorises such experience, what theoretical frameworks they draw on to make sense of it. As Bridges (2001) correctly asserted, outsider researchers doing disability research have frequently engaged with frameworks that pathologi</w:t>
      </w:r>
      <w:r w:rsidR="00692A21">
        <w:rPr>
          <w:rFonts w:ascii="Calibri" w:eastAsia="Times New Roman" w:hAnsi="Calibri" w:cs="Times New Roman"/>
          <w:bCs/>
          <w:lang w:eastAsia="en-GB"/>
        </w:rPr>
        <w:t>s</w:t>
      </w:r>
      <w:r w:rsidRPr="00BE2C1D">
        <w:rPr>
          <w:rFonts w:ascii="Calibri" w:eastAsia="Times New Roman" w:hAnsi="Calibri" w:cs="Times New Roman"/>
          <w:bCs/>
          <w:lang w:eastAsia="en-GB"/>
        </w:rPr>
        <w:t xml:space="preserve">ed disability and disabled people. Goodley and Runswick-Cole (2012a: 55) also warned about the risk of engaging with readings which could perpetuate the pathologisation of disabled children:   </w:t>
      </w:r>
    </w:p>
    <w:p w14:paraId="1DF8859F" w14:textId="77777777" w:rsidR="00BE2C1D" w:rsidRPr="00BE2C1D" w:rsidRDefault="00BE2C1D" w:rsidP="00BE2C1D">
      <w:pPr>
        <w:spacing w:line="360" w:lineRule="auto"/>
        <w:ind w:left="720"/>
        <w:jc w:val="both"/>
        <w:rPr>
          <w:rFonts w:ascii="Calibri" w:hAnsi="Calibri" w:cs="Calibri"/>
          <w:bCs/>
          <w:sz w:val="20"/>
          <w:szCs w:val="20"/>
        </w:rPr>
      </w:pPr>
      <w:r w:rsidRPr="00BE2C1D">
        <w:rPr>
          <w:rFonts w:ascii="Calibri" w:hAnsi="Calibri" w:cs="Calibri"/>
          <w:bCs/>
          <w:sz w:val="20"/>
          <w:szCs w:val="20"/>
        </w:rPr>
        <w:t xml:space="preserve">What kinds of readings do we draw upon to make sense of disabled children? To what extent are our narratives only partial accounts of the complexity of ‘disability’ and ‘childhood’? Are we in danger of empowering dangerous readings that create pathological versions of childhood?   </w:t>
      </w:r>
    </w:p>
    <w:p w14:paraId="622ADDEE" w14:textId="77777777" w:rsidR="00BE2C1D" w:rsidRPr="00BE2C1D" w:rsidRDefault="00BE2C1D" w:rsidP="00BE2C1D">
      <w:pPr>
        <w:spacing w:after="0" w:line="360" w:lineRule="auto"/>
        <w:jc w:val="both"/>
        <w:rPr>
          <w:rFonts w:ascii="Calibri" w:eastAsia="Times New Roman" w:hAnsi="Calibri" w:cs="Times New Roman"/>
          <w:bCs/>
          <w:lang w:eastAsia="en-GB"/>
        </w:rPr>
      </w:pPr>
      <w:r w:rsidRPr="00BE2C1D">
        <w:rPr>
          <w:rFonts w:ascii="Calibri" w:eastAsia="Times New Roman" w:hAnsi="Calibri" w:cs="Times New Roman"/>
          <w:bCs/>
          <w:lang w:eastAsia="en-GB"/>
        </w:rPr>
        <w:t xml:space="preserve">In my attempt to speak for ‘others’, I was thorough about what theoretical frameworks I brought into the research to discuss their experiences and the potential effects of such frameworks. Moreover, while I am the speaker/author in terms of re-telling these stories, I was mostly a listener, a witness and a co-creator of these stories when they were shared rather than a coloniser of these stories. </w:t>
      </w:r>
    </w:p>
    <w:p w14:paraId="2190E401" w14:textId="77777777" w:rsidR="00BE2C1D" w:rsidRPr="00BE2C1D" w:rsidRDefault="00BE2C1D" w:rsidP="00BE2C1D">
      <w:pPr>
        <w:spacing w:after="0" w:line="360" w:lineRule="auto"/>
        <w:jc w:val="both"/>
      </w:pPr>
    </w:p>
    <w:p w14:paraId="4E87CD75" w14:textId="77777777" w:rsidR="00BE2C1D" w:rsidRPr="00BE2C1D" w:rsidRDefault="00BE2C1D" w:rsidP="00BE2C1D">
      <w:pPr>
        <w:spacing w:after="0" w:line="360" w:lineRule="auto"/>
        <w:jc w:val="both"/>
      </w:pPr>
      <w:r w:rsidRPr="00BE2C1D">
        <w:t xml:space="preserve">Besides interrogating our urge to speak for others as researchers, Alcoff also calls for attention to the potential material and discursive effects resulting from how the participants and their stories are represented:   </w:t>
      </w:r>
    </w:p>
    <w:p w14:paraId="4AE1EC34" w14:textId="77777777" w:rsidR="00BE2C1D" w:rsidRPr="00BE2C1D" w:rsidRDefault="00BE2C1D" w:rsidP="00BE2C1D">
      <w:pPr>
        <w:spacing w:after="0" w:line="360" w:lineRule="auto"/>
        <w:ind w:left="720"/>
        <w:jc w:val="both"/>
        <w:rPr>
          <w:rFonts w:ascii="Calibri" w:eastAsia="Times New Roman" w:hAnsi="Calibri" w:cs="Times New Roman"/>
          <w:sz w:val="20"/>
          <w:szCs w:val="20"/>
          <w:lang w:eastAsia="en-GB"/>
        </w:rPr>
      </w:pPr>
      <w:r w:rsidRPr="00BE2C1D">
        <w:rPr>
          <w:rFonts w:ascii="Calibri" w:eastAsia="Times New Roman" w:hAnsi="Calibri" w:cs="Times New Roman"/>
          <w:bCs/>
          <w:sz w:val="20"/>
          <w:szCs w:val="20"/>
          <w:lang w:eastAsia="en-GB"/>
        </w:rPr>
        <w:t xml:space="preserve">In order to evaluate attempts to speak for others in particular instances, we need to analyze the probable or actual effects of the words on the discursive and material context. One cannot simply look at the location of the speaker or her credentials to speak, nor can one look merely at the propositional content of the speech; one must also look at where the speech goes and what it does there (ibid: 26). </w:t>
      </w:r>
    </w:p>
    <w:p w14:paraId="582F538B" w14:textId="77777777" w:rsidR="00BE2C1D" w:rsidRPr="00BE2C1D" w:rsidRDefault="00BE2C1D" w:rsidP="00BE2C1D">
      <w:pPr>
        <w:spacing w:line="360" w:lineRule="auto"/>
        <w:jc w:val="both"/>
      </w:pPr>
      <w:r w:rsidRPr="00BE2C1D">
        <w:t xml:space="preserve">While I cannot foresee with certainty the effects of this research, one of the intended effects of it is to challenge the dominant discourses through which young people with RG become known (e.g. through deficit discourses) and the material effects/repercussions that such discourses have on their education (e.g. grade retention Holmes 1982). However, I am still quite concerned about the danger of domesticating stories of oppression, which, once released, can become the object of voyeurism which feeds into the ‘tragedy’ of disability (Goodley and Runswick-Cole 2013). Alcoff and Gray (1993) </w:t>
      </w:r>
      <w:r w:rsidRPr="00BE2C1D">
        <w:lastRenderedPageBreak/>
        <w:t xml:space="preserve">warned about how women’s stories of rape survival were sensationalised by the media and, therefore, became another item of consumption which was co-opted by the dominant discourse in such a way that reduced their disruptive impact.  Moreover, Hyden (2013: 225, italics in the original) discussed ‘the potential </w:t>
      </w:r>
      <w:r w:rsidRPr="00BE2C1D">
        <w:rPr>
          <w:i/>
        </w:rPr>
        <w:t xml:space="preserve">harm </w:t>
      </w:r>
      <w:r w:rsidRPr="00BE2C1D">
        <w:t>the circulation of narratives on sensitive topics may cause the involved</w:t>
      </w:r>
      <w:r w:rsidRPr="00BE2C1D">
        <w:rPr>
          <w:vertAlign w:val="superscript"/>
        </w:rPr>
        <w:footnoteReference w:id="82"/>
      </w:r>
      <w:r w:rsidRPr="00BE2C1D">
        <w:t xml:space="preserve">, since they might be reinterpreted beyond the narrator’s control’ and ‘by passing them on to new audiences, we pave the way for possible new meanings - and as they are passed on, they make entrance into new power relations’ (ibid: 231). </w:t>
      </w:r>
    </w:p>
    <w:p w14:paraId="2AA4CE5E" w14:textId="77777777" w:rsidR="00BE2C1D" w:rsidRPr="00BE2C1D" w:rsidRDefault="00BE2C1D" w:rsidP="00BE2C1D">
      <w:pPr>
        <w:spacing w:line="360" w:lineRule="auto"/>
        <w:jc w:val="both"/>
      </w:pPr>
      <w:r w:rsidRPr="00BE2C1D">
        <w:t xml:space="preserve">Rather than silencing these stories due to these risks though, what I have tried to do through the theoretical frameworks that informed my analysis, interpretation and discussion of the stories was to deconstruct the cultural tropes that could lead to such a voyeuristic reading of them and to ‘shield’ them from becoming the objects of uncritical consumption.  Following hooks (1989), I did not merely name these experiences, but I situated these experiences within theoretical contexts which shed light on what brought such experiences into existence in the first place. Listening to Alcoff and Gray (1993: 269), I have positioned these stories ‘in violent confrontation’ with the dominant discourses, which makes possible subversive speaking’s aim to have a disruptive effect on them and not giving the space to be appropriated by them.  </w:t>
      </w:r>
    </w:p>
    <w:p w14:paraId="0F8DC1F2" w14:textId="77777777" w:rsidR="00BE2C1D" w:rsidRPr="00BE2C1D" w:rsidRDefault="00BE2C1D" w:rsidP="00BE2C1D">
      <w:pPr>
        <w:spacing w:line="360" w:lineRule="auto"/>
        <w:jc w:val="both"/>
        <w:rPr>
          <w:rFonts w:ascii="Calibri" w:hAnsi="Calibri" w:cs="Calibri"/>
          <w:bCs/>
        </w:rPr>
      </w:pPr>
      <w:r w:rsidRPr="00BE2C1D">
        <w:rPr>
          <w:rFonts w:ascii="Calibri" w:hAnsi="Calibri" w:cs="Calibri"/>
          <w:bCs/>
        </w:rPr>
        <w:t xml:space="preserve">In sum, in this section I reflected on the ethics of re-telling these stories and, particularly, how my authorial power and my positionality has affected the way I have represented these stories and what measures I took to protect these stories from being the objects of sensationalised consumption.   </w:t>
      </w:r>
    </w:p>
    <w:p w14:paraId="4C561391" w14:textId="77777777" w:rsidR="00BE2C1D" w:rsidRPr="00BE2C1D" w:rsidRDefault="00BE2C1D" w:rsidP="00BE2C1D">
      <w:pPr>
        <w:keepNext/>
        <w:keepLines/>
        <w:spacing w:before="40" w:after="0" w:line="360" w:lineRule="auto"/>
        <w:outlineLvl w:val="1"/>
        <w:rPr>
          <w:rFonts w:asciiTheme="majorHAnsi" w:eastAsiaTheme="majorEastAsia" w:hAnsiTheme="majorHAnsi" w:cstheme="majorBidi"/>
          <w:color w:val="2F5496" w:themeColor="accent1" w:themeShade="BF"/>
          <w:sz w:val="26"/>
          <w:szCs w:val="26"/>
          <w:lang w:eastAsia="zh-CN"/>
        </w:rPr>
      </w:pPr>
      <w:bookmarkStart w:id="101" w:name="_Toc39585240"/>
      <w:r w:rsidRPr="00BE2C1D">
        <w:rPr>
          <w:rFonts w:asciiTheme="majorHAnsi" w:eastAsiaTheme="majorEastAsia" w:hAnsiTheme="majorHAnsi" w:cstheme="majorBidi"/>
          <w:color w:val="2F5496" w:themeColor="accent1" w:themeShade="BF"/>
          <w:sz w:val="26"/>
          <w:szCs w:val="26"/>
          <w:lang w:eastAsia="zh-CN"/>
        </w:rPr>
        <w:t>Conclusions</w:t>
      </w:r>
      <w:bookmarkEnd w:id="101"/>
    </w:p>
    <w:p w14:paraId="1D39736D" w14:textId="77777777" w:rsidR="00BE2C1D" w:rsidRPr="00BE2C1D" w:rsidRDefault="00BE2C1D" w:rsidP="00BE2C1D">
      <w:pPr>
        <w:spacing w:line="360" w:lineRule="auto"/>
        <w:jc w:val="both"/>
      </w:pPr>
      <w:r w:rsidRPr="00BE2C1D">
        <w:t>The first aim of this chapter was to provide a picture of what the fieldwork looked like, that is to make clear who was involved in this research (participants), why they were chosen (sampling), how they were approached (access) and what forms their involvement took (methods). I also referred to the method of analysis (thematic analysis and plugging in) that I used to organise the data/stories and the ethical procedures I (had to) adhered to.</w:t>
      </w:r>
    </w:p>
    <w:p w14:paraId="400DD698" w14:textId="77777777" w:rsidR="00BE2C1D" w:rsidRPr="00BE2C1D" w:rsidRDefault="00BE2C1D" w:rsidP="00BE2C1D">
      <w:pPr>
        <w:spacing w:line="360" w:lineRule="auto"/>
        <w:jc w:val="both"/>
      </w:pPr>
      <w:r w:rsidRPr="00BE2C1D">
        <w:t xml:space="preserve">Another target of this chapter was to explicate my methodological, epistemological and ontological stance in this research and the theoretical frameworks that shaped it. I first defined the key terms of my narrative approach - stories and experience -, considering the epistemological and ontological implications of these definitions. I then elaborated on the frameworks that in-formed my narrative approach, feminist poststructuralism, CDS and DCCS, demonstrating their nuanced approaches to storytelling.  </w:t>
      </w:r>
    </w:p>
    <w:p w14:paraId="6DEE4F52" w14:textId="77777777" w:rsidR="00BE2C1D" w:rsidRPr="00BE2C1D" w:rsidRDefault="00BE2C1D" w:rsidP="00BE2C1D">
      <w:pPr>
        <w:spacing w:line="360" w:lineRule="auto"/>
        <w:jc w:val="both"/>
      </w:pPr>
      <w:r w:rsidRPr="00BE2C1D">
        <w:lastRenderedPageBreak/>
        <w:t xml:space="preserve">This chapter also aimed to depict the complexities of the fieldwork of this research, from accessing and recruiting participants to how I could re-tell their stories ethically without causing any harm. To critically reflect on these issues, I engaged with a feminist tool, reflexivities of discomfort, and considered the role of my positionality in relation to each of them.     </w:t>
      </w:r>
    </w:p>
    <w:p w14:paraId="4977C0C9" w14:textId="2125020B" w:rsidR="00BE2C1D" w:rsidRPr="00BE2C1D" w:rsidRDefault="00BE2C1D" w:rsidP="00BE2C1D">
      <w:pPr>
        <w:spacing w:line="360" w:lineRule="auto"/>
        <w:jc w:val="both"/>
      </w:pPr>
      <w:r w:rsidRPr="00BE2C1D">
        <w:t xml:space="preserve">The following four chapters are the analyses chapters, which discuss the findings from the participants’ stories and they are the outcome of the thematic analysis of the storied data. The first analytical chapter, Chapter 4, focuses on the young people’s experiences of the school space, including the school playground and toilets as well as the experiences of special chairs in the classrooms. Chapter 5 turns the analytical gaze to the teaching assistants that were allocated to the disabled young people and the interactions between them. Following the interactions with teaching assistants is the interactions the young people had with the class teachers, discussed in Chapter 6. Chapter 7, the final analysis chapter, explores stories of violence that the young people experienced by their peers and how violence was dealt with both by the young people and their schools.   </w:t>
      </w:r>
    </w:p>
    <w:p w14:paraId="4DE1E536" w14:textId="5C08162D" w:rsidR="00BE2C1D" w:rsidRDefault="00BE2C1D" w:rsidP="00BE2C1D">
      <w:pPr>
        <w:spacing w:line="360" w:lineRule="auto"/>
        <w:jc w:val="both"/>
      </w:pPr>
      <w:r w:rsidRPr="00BE2C1D">
        <w:t xml:space="preserve"> </w:t>
      </w:r>
    </w:p>
    <w:p w14:paraId="3D47961D" w14:textId="7E56A13C" w:rsidR="00270FDE" w:rsidRDefault="00270FDE" w:rsidP="00BE2C1D">
      <w:pPr>
        <w:spacing w:line="360" w:lineRule="auto"/>
        <w:jc w:val="both"/>
      </w:pPr>
    </w:p>
    <w:p w14:paraId="5C747EAB" w14:textId="2726FCB0" w:rsidR="00270FDE" w:rsidRDefault="00270FDE" w:rsidP="00BE2C1D">
      <w:pPr>
        <w:spacing w:line="360" w:lineRule="auto"/>
        <w:jc w:val="both"/>
      </w:pPr>
    </w:p>
    <w:p w14:paraId="1DB8B286" w14:textId="4CB50C60" w:rsidR="00270FDE" w:rsidRDefault="00270FDE" w:rsidP="00BE2C1D">
      <w:pPr>
        <w:spacing w:line="360" w:lineRule="auto"/>
        <w:jc w:val="both"/>
      </w:pPr>
    </w:p>
    <w:p w14:paraId="58A8A154" w14:textId="36E4367E" w:rsidR="00270FDE" w:rsidRDefault="00270FDE" w:rsidP="00BE2C1D">
      <w:pPr>
        <w:spacing w:line="360" w:lineRule="auto"/>
        <w:jc w:val="both"/>
      </w:pPr>
    </w:p>
    <w:p w14:paraId="6C0B5C9B" w14:textId="0CC1EB86" w:rsidR="00270FDE" w:rsidRDefault="00270FDE" w:rsidP="00BE2C1D">
      <w:pPr>
        <w:spacing w:line="360" w:lineRule="auto"/>
        <w:jc w:val="both"/>
      </w:pPr>
    </w:p>
    <w:p w14:paraId="06751D6B" w14:textId="76458505" w:rsidR="00270FDE" w:rsidRDefault="00270FDE" w:rsidP="00BE2C1D">
      <w:pPr>
        <w:spacing w:line="360" w:lineRule="auto"/>
        <w:jc w:val="both"/>
      </w:pPr>
    </w:p>
    <w:p w14:paraId="640D0062" w14:textId="54F25593" w:rsidR="00270FDE" w:rsidRDefault="00270FDE" w:rsidP="00BE2C1D">
      <w:pPr>
        <w:spacing w:line="360" w:lineRule="auto"/>
        <w:jc w:val="both"/>
      </w:pPr>
    </w:p>
    <w:p w14:paraId="6FC9C310" w14:textId="4A42C8E9" w:rsidR="00270FDE" w:rsidRDefault="00270FDE" w:rsidP="00BE2C1D">
      <w:pPr>
        <w:spacing w:line="360" w:lineRule="auto"/>
        <w:jc w:val="both"/>
      </w:pPr>
    </w:p>
    <w:p w14:paraId="7F228043" w14:textId="5786AF4B" w:rsidR="00270FDE" w:rsidRDefault="00270FDE" w:rsidP="00BE2C1D">
      <w:pPr>
        <w:spacing w:line="360" w:lineRule="auto"/>
        <w:jc w:val="both"/>
      </w:pPr>
    </w:p>
    <w:p w14:paraId="64FFB120" w14:textId="7A343116" w:rsidR="00270FDE" w:rsidRDefault="00270FDE" w:rsidP="00BE2C1D">
      <w:pPr>
        <w:spacing w:line="360" w:lineRule="auto"/>
        <w:jc w:val="both"/>
      </w:pPr>
    </w:p>
    <w:p w14:paraId="3F4C1958" w14:textId="176DD3E0" w:rsidR="00270FDE" w:rsidRDefault="00270FDE" w:rsidP="00BE2C1D">
      <w:pPr>
        <w:spacing w:line="360" w:lineRule="auto"/>
        <w:jc w:val="both"/>
      </w:pPr>
    </w:p>
    <w:p w14:paraId="6B65FD75" w14:textId="77777777" w:rsidR="00270FDE" w:rsidRPr="00BE2C1D" w:rsidRDefault="00270FDE" w:rsidP="00BE2C1D">
      <w:pPr>
        <w:spacing w:line="360" w:lineRule="auto"/>
        <w:jc w:val="both"/>
      </w:pPr>
    </w:p>
    <w:p w14:paraId="6E231FC2" w14:textId="77777777" w:rsidR="00BE2C1D" w:rsidRPr="00BE2C1D" w:rsidRDefault="00BE2C1D" w:rsidP="00BE2C1D">
      <w:pPr>
        <w:keepNext/>
        <w:keepLines/>
        <w:spacing w:before="240" w:after="0" w:line="360" w:lineRule="auto"/>
        <w:jc w:val="center"/>
        <w:outlineLvl w:val="0"/>
        <w:rPr>
          <w:rFonts w:asciiTheme="majorHAnsi" w:eastAsiaTheme="majorEastAsia" w:hAnsiTheme="majorHAnsi" w:cstheme="majorBidi"/>
          <w:color w:val="2F5496" w:themeColor="accent1" w:themeShade="BF"/>
          <w:sz w:val="32"/>
          <w:szCs w:val="32"/>
          <w:lang w:eastAsia="zh-CN"/>
        </w:rPr>
      </w:pPr>
      <w:bookmarkStart w:id="102" w:name="_Toc39585241"/>
      <w:r w:rsidRPr="00BE2C1D">
        <w:rPr>
          <w:rFonts w:asciiTheme="majorHAnsi" w:eastAsiaTheme="majorEastAsia" w:hAnsiTheme="majorHAnsi" w:cstheme="majorBidi"/>
          <w:color w:val="2F5496" w:themeColor="accent1" w:themeShade="BF"/>
          <w:sz w:val="32"/>
          <w:szCs w:val="32"/>
          <w:lang w:eastAsia="zh-CN"/>
        </w:rPr>
        <w:lastRenderedPageBreak/>
        <w:t>Chapter 4: Navigating School Spaces: Disabled Young People’s Geographic Maturity</w:t>
      </w:r>
      <w:bookmarkEnd w:id="102"/>
      <w:r w:rsidRPr="00BE2C1D">
        <w:rPr>
          <w:rFonts w:asciiTheme="majorHAnsi" w:eastAsiaTheme="majorEastAsia" w:hAnsiTheme="majorHAnsi" w:cstheme="majorBidi"/>
          <w:color w:val="2F5496" w:themeColor="accent1" w:themeShade="BF"/>
          <w:sz w:val="32"/>
          <w:szCs w:val="32"/>
          <w:lang w:eastAsia="zh-CN"/>
        </w:rPr>
        <w:t xml:space="preserve">  </w:t>
      </w:r>
    </w:p>
    <w:p w14:paraId="548638D5" w14:textId="77777777" w:rsidR="00BE2C1D" w:rsidRPr="00BE2C1D" w:rsidRDefault="00BE2C1D" w:rsidP="00BE2C1D">
      <w:pPr>
        <w:keepNext/>
        <w:keepLines/>
        <w:spacing w:before="40" w:after="0" w:line="360" w:lineRule="auto"/>
        <w:jc w:val="lowKashida"/>
        <w:outlineLvl w:val="1"/>
        <w:rPr>
          <w:rFonts w:asciiTheme="majorHAnsi" w:eastAsiaTheme="majorEastAsia" w:hAnsiTheme="majorHAnsi" w:cstheme="majorBidi"/>
          <w:color w:val="2F5496" w:themeColor="accent1" w:themeShade="BF"/>
          <w:sz w:val="26"/>
          <w:szCs w:val="26"/>
          <w:lang w:eastAsia="zh-CN"/>
        </w:rPr>
      </w:pPr>
      <w:bookmarkStart w:id="103" w:name="_Toc39585242"/>
      <w:r w:rsidRPr="00BE2C1D">
        <w:rPr>
          <w:rFonts w:asciiTheme="majorHAnsi" w:eastAsiaTheme="majorEastAsia" w:hAnsiTheme="majorHAnsi" w:cstheme="majorBidi"/>
          <w:color w:val="2F5496" w:themeColor="accent1" w:themeShade="BF"/>
          <w:sz w:val="26"/>
          <w:szCs w:val="26"/>
          <w:lang w:eastAsia="zh-CN"/>
        </w:rPr>
        <w:t>Introduction</w:t>
      </w:r>
      <w:bookmarkEnd w:id="103"/>
    </w:p>
    <w:p w14:paraId="3C3F17D3" w14:textId="77777777" w:rsidR="00BE2C1D" w:rsidRPr="00BE2C1D" w:rsidRDefault="00BE2C1D" w:rsidP="00BE2C1D">
      <w:pPr>
        <w:spacing w:line="360" w:lineRule="auto"/>
        <w:ind w:left="720"/>
        <w:jc w:val="both"/>
        <w:rPr>
          <w:sz w:val="20"/>
          <w:szCs w:val="20"/>
        </w:rPr>
      </w:pPr>
      <w:r w:rsidRPr="00BE2C1D">
        <w:rPr>
          <w:sz w:val="20"/>
          <w:szCs w:val="20"/>
        </w:rPr>
        <w:t xml:space="preserve">Paul: I think it's the most I 've talked about toilets in a while </w:t>
      </w:r>
      <w:r w:rsidRPr="00BE2C1D">
        <w:rPr>
          <w:rFonts w:ascii="Segoe UI Emoji" w:hAnsi="Segoe UI Emoji" w:cs="Segoe UI Emoji"/>
          <w:sz w:val="20"/>
          <w:szCs w:val="20"/>
        </w:rPr>
        <w:t>😛</w:t>
      </w:r>
    </w:p>
    <w:p w14:paraId="5B81C853" w14:textId="77777777" w:rsidR="00BE2C1D" w:rsidRPr="00BE2C1D" w:rsidRDefault="00BE2C1D" w:rsidP="00BE2C1D">
      <w:pPr>
        <w:spacing w:line="360" w:lineRule="auto"/>
        <w:ind w:left="720"/>
        <w:jc w:val="both"/>
        <w:rPr>
          <w:sz w:val="20"/>
          <w:szCs w:val="20"/>
        </w:rPr>
      </w:pPr>
      <w:r w:rsidRPr="00BE2C1D">
        <w:rPr>
          <w:sz w:val="20"/>
          <w:szCs w:val="20"/>
        </w:rPr>
        <w:t>Rachael: I know a lot of kids do now, have special chairs and that kind of thing, which  might  be really good for their posture, but I imagine I would have hated it, because it would make me more different, and even, even at work now having your own special chair is a bit of like, people are always trying to use it or move it or turn. ‘Why do you get a special chair?’ (giggle), which is a little bit being like at school.</w:t>
      </w:r>
    </w:p>
    <w:p w14:paraId="1CEF0DB8" w14:textId="77777777" w:rsidR="00BE2C1D" w:rsidRPr="00BE2C1D" w:rsidRDefault="00BE2C1D" w:rsidP="00BE2C1D">
      <w:pPr>
        <w:spacing w:line="360" w:lineRule="auto"/>
        <w:jc w:val="both"/>
      </w:pPr>
      <w:r w:rsidRPr="00BE2C1D">
        <w:t xml:space="preserve">This chapter looks into how the disabled young people navigated and experienced school spaces that were not designed with them in mind, conveying to them messages that they were ‘in the wrong place’ or ‘out of place’ (Kitchin 1998: 345). As Goodley and Runswick-Cole (2015a: 53-54) proposed,  </w:t>
      </w:r>
    </w:p>
    <w:p w14:paraId="19EDFF19" w14:textId="77777777" w:rsidR="00BE2C1D" w:rsidRPr="00BE2C1D" w:rsidRDefault="00BE2C1D" w:rsidP="00BE2C1D">
      <w:pPr>
        <w:spacing w:line="360" w:lineRule="auto"/>
        <w:ind w:left="720"/>
        <w:jc w:val="both"/>
        <w:rPr>
          <w:sz w:val="20"/>
          <w:szCs w:val="20"/>
        </w:rPr>
      </w:pPr>
      <w:r w:rsidRPr="00BE2C1D">
        <w:rPr>
          <w:sz w:val="20"/>
          <w:szCs w:val="20"/>
        </w:rPr>
        <w:t>Disabled children often occupy a distinct place in what Kitchin (1998) describes as ‘spatialities of disability’: the different ways in which disabled people are allowed to or expected to inhabit space.  While disabled children might occupy a space such as the school playground, classroom or leisure context, the extent to which they feel a sense of belonging within these spaces is debatable. This is because power relations make their way through structures, spaces and discourses of social, economic and cultural life.</w:t>
      </w:r>
    </w:p>
    <w:p w14:paraId="5A601ED9" w14:textId="77777777" w:rsidR="00BE2C1D" w:rsidRPr="00BE2C1D" w:rsidRDefault="00BE2C1D" w:rsidP="00BE2C1D">
      <w:pPr>
        <w:spacing w:line="360" w:lineRule="auto"/>
        <w:jc w:val="both"/>
      </w:pPr>
      <w:r w:rsidRPr="00BE2C1D">
        <w:t xml:space="preserve">Looking at the spatialities of disability, this chapter addresses questions such as the following: Where did the participants feel welcome and a sense of belonging and which spaces did they avoid or feel excluded from? What were the power relations at place in such spaces? </w:t>
      </w:r>
    </w:p>
    <w:p w14:paraId="348C5096" w14:textId="77777777" w:rsidR="00BE2C1D" w:rsidRPr="00BE2C1D" w:rsidRDefault="00BE2C1D" w:rsidP="00BE2C1D">
      <w:pPr>
        <w:spacing w:line="360" w:lineRule="auto"/>
        <w:jc w:val="both"/>
        <w:rPr>
          <w:sz w:val="20"/>
          <w:szCs w:val="20"/>
        </w:rPr>
      </w:pPr>
      <w:r w:rsidRPr="00BE2C1D">
        <w:t xml:space="preserve">The first part focuses on the school playground and the school toilets. The experiences of disabled young people of these two school spaces have remained under-researched, especially from a research perspective which engages with their own stories rather than their parents’ or teachers’ perspectives (Stephens et al. 2015 Yantzi et al. 2010). Therefore, this chapter provides original insights into how such spaces were experienced and navigated by disabled young people, as reported by them. </w:t>
      </w:r>
    </w:p>
    <w:p w14:paraId="05FC5799" w14:textId="77777777" w:rsidR="00BE2C1D" w:rsidRPr="00BE2C1D" w:rsidRDefault="00BE2C1D" w:rsidP="00BE2C1D">
      <w:pPr>
        <w:spacing w:line="360" w:lineRule="auto"/>
        <w:jc w:val="both"/>
      </w:pPr>
      <w:r w:rsidRPr="00BE2C1D">
        <w:t>One of the institutional responses to make disabled young people fit into ableist spaces</w:t>
      </w:r>
      <w:r w:rsidRPr="00BE2C1D">
        <w:rPr>
          <w:vertAlign w:val="superscript"/>
        </w:rPr>
        <w:footnoteReference w:id="83"/>
      </w:r>
      <w:r w:rsidRPr="00BE2C1D">
        <w:t xml:space="preserve">, such as the school classroom, was the provision of physical aids e.g. a special chair. The experiences of using such equipment are discussed in the second part of this chapter. In particular, the discussion revolves </w:t>
      </w:r>
      <w:r w:rsidRPr="00BE2C1D">
        <w:lastRenderedPageBreak/>
        <w:t xml:space="preserve">around three themes: the issue of access to such equipment, participants’ experiences and feelings towards the equipment and their peers’ reactions to it. </w:t>
      </w:r>
    </w:p>
    <w:p w14:paraId="3CB93889" w14:textId="77777777" w:rsidR="00BE2C1D" w:rsidRPr="00BE2C1D" w:rsidRDefault="00BE2C1D" w:rsidP="00BE2C1D">
      <w:pPr>
        <w:spacing w:line="360" w:lineRule="auto"/>
        <w:jc w:val="both"/>
      </w:pPr>
      <w:r w:rsidRPr="00BE2C1D">
        <w:t xml:space="preserve">Goodley and Runswick-Cole (2015a: 53) maintained that attention needs to be paid on how disabled children’s ‘phenomenological, embodied and subjective encounters with space’ are theorised. In agreement with them, I chose thoroughly the theoretical frameworks through which I made sense of the participants’ stories. Theoretically, this chapter drew on the concept of ‘geographic maturity’ (Dorn 1998), as utilised by Stephens et al. (2015), to acknowledge disabled children’s agency to navigate disabling and ableist spaces. This concept is explained further in the next section. In addition to that, in the first part I also draw on a post-structuralist perspective, predominantly Foucault’s and Butler’s work, and those scholars who have adopted their work, to discuss school playgrounds and toilets as performative, hierarchical spaces, where all bodies (gendered, disabled) are under constant surveillance. In the second part, I apply an assemblage analysis (Feeley 2019; Gibson et al. 2017; Stephens et al. 2015) to make sense of the different, but interconnected factors that influenced how the young people experienced such equipment. In the next part, I start with a brief explanation of geographic maturity. </w:t>
      </w:r>
    </w:p>
    <w:p w14:paraId="28BAC333" w14:textId="77777777" w:rsidR="00BE2C1D" w:rsidRPr="00BE2C1D" w:rsidRDefault="00BE2C1D" w:rsidP="00BE2C1D">
      <w:pPr>
        <w:keepNext/>
        <w:keepLines/>
        <w:spacing w:before="40" w:after="0" w:line="360" w:lineRule="auto"/>
        <w:outlineLvl w:val="1"/>
        <w:rPr>
          <w:rFonts w:asciiTheme="majorHAnsi" w:eastAsiaTheme="majorEastAsia" w:hAnsiTheme="majorHAnsi" w:cstheme="majorBidi"/>
          <w:color w:val="2F5496" w:themeColor="accent1" w:themeShade="BF"/>
          <w:sz w:val="26"/>
          <w:szCs w:val="26"/>
          <w:lang w:eastAsia="zh-CN"/>
        </w:rPr>
      </w:pPr>
      <w:bookmarkStart w:id="104" w:name="_Toc39585243"/>
      <w:r w:rsidRPr="00BE2C1D">
        <w:rPr>
          <w:rFonts w:asciiTheme="majorHAnsi" w:eastAsiaTheme="majorEastAsia" w:hAnsiTheme="majorHAnsi" w:cstheme="majorBidi"/>
          <w:color w:val="2F5496" w:themeColor="accent1" w:themeShade="BF"/>
          <w:sz w:val="26"/>
          <w:szCs w:val="26"/>
          <w:lang w:eastAsia="zh-CN"/>
        </w:rPr>
        <w:t>Disabled Young People’s Geographic Maturity</w:t>
      </w:r>
      <w:bookmarkEnd w:id="104"/>
    </w:p>
    <w:p w14:paraId="1FDF56CB" w14:textId="77777777" w:rsidR="00BE2C1D" w:rsidRPr="00BE2C1D" w:rsidRDefault="00BE2C1D" w:rsidP="00BE2C1D">
      <w:pPr>
        <w:spacing w:line="360" w:lineRule="auto"/>
        <w:jc w:val="both"/>
      </w:pPr>
      <w:r w:rsidRPr="00BE2C1D">
        <w:t>Children’s Geographies is a field devoted to the study of children’s spatial experiences, exploring how children experience and navigate different spaces e.g. urban and rural spaces, the neighbourhood, the school and so on (Horton et al. 2008). However, as Pyer et al. (2010: 1) noted, children’s geographies are characterised by the ‘place(lessness) of disabled children in geographies with, for and of, children and childhood’</w:t>
      </w:r>
      <w:r w:rsidRPr="00BE2C1D">
        <w:rPr>
          <w:vertAlign w:val="superscript"/>
        </w:rPr>
        <w:footnoteReference w:id="84"/>
      </w:r>
      <w:r w:rsidRPr="00BE2C1D">
        <w:t xml:space="preserve">, a gap which they linked with the underrepresentation of the experiences of disabled children and young people in the new social studies of childhood  (Liddiard et al. 2018). Goodley and Runswick-Cole (2015a) also observed the lack of any reference to disability in Horton et al.’s (2008) reflections on the current status and challenges of Children’s Geographies. Nevertheless, both Pyer et al. (2010) and Goodley and Runswick-Cole (2015a) acknowledged the analytical, disruptive potential for Children’s Geographies if they were to engage with disabled children’s spatialities. As the latter argued, ‘disabled children have much to teach us about the embodied, relational and geographical social realities of childhood’ (ibid: 53). This chapter explores disabled children’s geographies of schools, that is how disabled young people experienced and navigated various school spaces, </w:t>
      </w:r>
      <w:r w:rsidRPr="00BE2C1D">
        <w:lastRenderedPageBreak/>
        <w:t xml:space="preserve">recognising how such insights provide nuanced understandings of the relationship between the (disabled) body and space.    </w:t>
      </w:r>
    </w:p>
    <w:p w14:paraId="5611665D" w14:textId="77777777" w:rsidR="00BE2C1D" w:rsidRPr="00BE2C1D" w:rsidRDefault="00BE2C1D" w:rsidP="00BE2C1D">
      <w:pPr>
        <w:spacing w:line="360" w:lineRule="auto"/>
        <w:jc w:val="both"/>
      </w:pPr>
      <w:r w:rsidRPr="00BE2C1D">
        <w:t xml:space="preserve">A concept that is particularly useful to this chapter is ‘geographic maturity’, a term coined by Disability Studies Geographer Michael Dorn (1998: 183). Dorn argued that precisely because disabled subjects have to navigate disabling and ableist spaces, they develop geographical maturity, meaning that they always remain ‘attentive and responsive to changing environmental conditions’ (ibid: 183). Stephens et al. (2015) used geographic maturity to explore how disabled children and young people navigated different spaces, such as the home, the neighbourhood and the school and how different actions, such as falling or crawling, had different meanings and implications, depending on the context. According to the same authors,  </w:t>
      </w:r>
    </w:p>
    <w:p w14:paraId="7490D599" w14:textId="77777777" w:rsidR="00BE2C1D" w:rsidRPr="00BE2C1D" w:rsidRDefault="00BE2C1D" w:rsidP="00BE2C1D">
      <w:pPr>
        <w:spacing w:line="360" w:lineRule="auto"/>
        <w:ind w:left="720"/>
        <w:jc w:val="both"/>
        <w:rPr>
          <w:sz w:val="20"/>
          <w:szCs w:val="20"/>
        </w:rPr>
      </w:pPr>
      <w:r w:rsidRPr="00BE2C1D">
        <w:rPr>
          <w:sz w:val="20"/>
          <w:szCs w:val="20"/>
        </w:rPr>
        <w:t xml:space="preserve">Geographic ‘maturity’ is an interesting concept especially in relation to disabled children and the question of agentic subjectivity: the decisions of disabled children face particular scrutiny because both disabled people and children are often considered ‘less capable’ - or less mature - within a model of agency that rests on an autonomous and ‘rational’ individual subject (Breckenridge and Vogler, 2001; Pole et al., 1999) (ibid: 199).  </w:t>
      </w:r>
    </w:p>
    <w:p w14:paraId="735F4A49" w14:textId="77777777" w:rsidR="00BE2C1D" w:rsidRPr="00BE2C1D" w:rsidRDefault="00BE2C1D" w:rsidP="00BE2C1D">
      <w:pPr>
        <w:spacing w:line="360" w:lineRule="auto"/>
        <w:jc w:val="both"/>
      </w:pPr>
      <w:r w:rsidRPr="00BE2C1D">
        <w:t>Geographic maturity, then, reclaims disabled children’s agency against their construction as immature, passive subjects</w:t>
      </w:r>
      <w:r w:rsidRPr="00BE2C1D">
        <w:rPr>
          <w:vertAlign w:val="superscript"/>
        </w:rPr>
        <w:footnoteReference w:id="85"/>
      </w:r>
      <w:r w:rsidRPr="00BE2C1D">
        <w:t xml:space="preserve"> (Davis and Watson 2002). Moreover, geographic maturity proved useful to these authors, as it captured the tensions experienced by disabled children, when they ‘navigated social norms that at times framed accessibility (such as the need to create physical environments that minimize bodily distress) in contrast to their own understanding of their capacities and desires)’ (Stephens et al. 2015: 198). For instance, the authors referred to how adapted desks, on the one hand, accommodated disabled children’s mobility devices, and, on the other hand, they made them feel singled out, something that they did not desire. Such tensions were also encountered in this research and are further discussed in the second part of this chapter. Geographic maturity then enables us</w:t>
      </w:r>
    </w:p>
    <w:p w14:paraId="29B1CE87" w14:textId="77777777" w:rsidR="00BE2C1D" w:rsidRPr="00BE2C1D" w:rsidRDefault="00BE2C1D" w:rsidP="00BE2C1D">
      <w:pPr>
        <w:spacing w:line="360" w:lineRule="auto"/>
        <w:ind w:left="720"/>
        <w:jc w:val="both"/>
      </w:pPr>
      <w:r w:rsidRPr="00BE2C1D">
        <w:rPr>
          <w:sz w:val="20"/>
          <w:szCs w:val="20"/>
        </w:rPr>
        <w:t>to move beyond a reductive focus on access (i.e. the presence or  absence of a ramp) to  incorporate the experiences of children, their joy or satisfaction, in response to a combination of built form, social regulations and cultural norms which enhance or limit the possibilities for action, self-expression and belonging. It also involves loosening our grip on our idea of what is ‘right’ for these children, allowing space for multiple identities, multiple preferences and multiple ‘right’ ways of doing things (Stephens et al., 2015: 200)</w:t>
      </w:r>
    </w:p>
    <w:p w14:paraId="254CDC33" w14:textId="77777777" w:rsidR="00BE2C1D" w:rsidRPr="00BE2C1D" w:rsidRDefault="00BE2C1D" w:rsidP="00BE2C1D">
      <w:pPr>
        <w:spacing w:line="360" w:lineRule="auto"/>
        <w:jc w:val="both"/>
      </w:pPr>
      <w:r w:rsidRPr="00BE2C1D">
        <w:lastRenderedPageBreak/>
        <w:t xml:space="preserve">Drawing on the concept of geographic maturity, I examine the choices (and the rationales behind them) the disabled young people made in relation to what spaces they used for different activities, such as break-time and toileting, and which spaces they avoided and/or were excluded from. Moreover, I explore how they felt about the equipment they were provided with to fit into spaces that were not designed with them in mind. In the next two sub-sections, I focus on where the disabled young people chose to spend their break-time and which toilet facilities (gender binary or disabled) they preferred to use.      </w:t>
      </w:r>
    </w:p>
    <w:p w14:paraId="10A84B20" w14:textId="77777777" w:rsidR="00BE2C1D" w:rsidRPr="00BE2C1D" w:rsidRDefault="00BE2C1D" w:rsidP="00BE2C1D">
      <w:pPr>
        <w:keepNext/>
        <w:keepLines/>
        <w:spacing w:before="40" w:after="0" w:line="360" w:lineRule="auto"/>
        <w:outlineLvl w:val="2"/>
        <w:rPr>
          <w:rFonts w:asciiTheme="majorHAnsi" w:eastAsiaTheme="majorEastAsia" w:hAnsiTheme="majorHAnsi" w:cstheme="majorBidi"/>
          <w:color w:val="4472C4" w:themeColor="accent1"/>
          <w:sz w:val="24"/>
          <w:szCs w:val="24"/>
          <w:lang w:eastAsia="zh-CN"/>
        </w:rPr>
      </w:pPr>
      <w:bookmarkStart w:id="105" w:name="_Toc39585244"/>
      <w:r w:rsidRPr="00BE2C1D">
        <w:rPr>
          <w:rFonts w:asciiTheme="majorHAnsi" w:eastAsiaTheme="majorEastAsia" w:hAnsiTheme="majorHAnsi" w:cstheme="majorBidi"/>
          <w:color w:val="4472C4" w:themeColor="accent1"/>
          <w:sz w:val="24"/>
          <w:szCs w:val="24"/>
          <w:lang w:eastAsia="zh-CN"/>
        </w:rPr>
        <w:t>School Playground Stories</w:t>
      </w:r>
      <w:bookmarkEnd w:id="105"/>
    </w:p>
    <w:p w14:paraId="2356BFC0" w14:textId="77777777" w:rsidR="00BE2C1D" w:rsidRPr="00BE2C1D" w:rsidRDefault="00BE2C1D" w:rsidP="00BE2C1D">
      <w:pPr>
        <w:spacing w:line="360" w:lineRule="auto"/>
        <w:jc w:val="both"/>
      </w:pPr>
      <w:r w:rsidRPr="00BE2C1D">
        <w:t>‘The general perception of the school playground is that it is not an adult space’, notes Thomson (2005: 76). School playgrounds are often described as spaces with less adult surveillance, where children are afforded more autonomy and freedom (ibid). However, this is not always the case with disabled children and young people, who often remain under adult surveillance (Allan 1996; see also analysis chapter on TAs) during break-time. Moreover, Thomson (2005: 76) also reminds us that school playgrounds are designed by adults and not children, therefore they reflect ‘the adults’ view of the children’s spatial desires and needs’. Not only are playgrounds demonstrative of adults’ projections of children’s perceived needs, but they are also designed for non-disabled children (Yantzi et al. 2010), indicating who has the right to play and who does not (or who embodies the ‘playful child’</w:t>
      </w:r>
      <w:r w:rsidRPr="00BE2C1D">
        <w:rPr>
          <w:vertAlign w:val="superscript"/>
        </w:rPr>
        <w:footnoteReference w:id="86"/>
      </w:r>
      <w:r w:rsidRPr="00BE2C1D">
        <w:t xml:space="preserve">). This results in the exclusion of disabled children from the school playground, which has been reported in various studies (Prellwitz and Tamm 1999; Talay et al. 2010; Woolley 2013; Yantzi et al. 2010). As Yantzi et al. (2010) noted, while inclusive education policies have had an effect on how school classrooms are designed, less attention has been paid to school playgrounds. </w:t>
      </w:r>
    </w:p>
    <w:p w14:paraId="5206FA45" w14:textId="77777777" w:rsidR="00BE2C1D" w:rsidRPr="00BE2C1D" w:rsidRDefault="00BE2C1D" w:rsidP="00BE2C1D">
      <w:pPr>
        <w:spacing w:line="360" w:lineRule="auto"/>
        <w:jc w:val="both"/>
      </w:pPr>
      <w:r w:rsidRPr="00BE2C1D">
        <w:t xml:space="preserve">Woolley et al. (2005) identified three barriers that resulted in the exclusion of disabled children from the school playground: organisational, social and physical. Organisational barriers included, for instance, therapeutic interventions run for disabled children during break-time or the staff responsible for them being away for training. Social barriers involved the constant surveillance of disabled young people by adults, who spent more time with them than with their peers. Physical barriers referred to issues around inaccessible playgrounds, such as surface areas of sand, which children in wheelchairs could not use, and inaccessible equipment. The participants of this research also faced some of these barriers, as discussed in the following section.  </w:t>
      </w:r>
    </w:p>
    <w:p w14:paraId="70BC1AE1" w14:textId="77777777" w:rsidR="00BE2C1D" w:rsidRPr="00BE2C1D" w:rsidRDefault="00BE2C1D" w:rsidP="00BE2C1D">
      <w:pPr>
        <w:spacing w:line="360" w:lineRule="auto"/>
        <w:jc w:val="both"/>
      </w:pPr>
      <w:r w:rsidRPr="00BE2C1D">
        <w:lastRenderedPageBreak/>
        <w:t xml:space="preserve">Nevertheless, disabled young people were not passive towards their exclusion. As Yantzi et al. (2010: 75) proposed, one needs </w:t>
      </w:r>
    </w:p>
    <w:p w14:paraId="7B602691" w14:textId="77777777" w:rsidR="00BE2C1D" w:rsidRPr="00BE2C1D" w:rsidRDefault="00BE2C1D" w:rsidP="00BE2C1D">
      <w:pPr>
        <w:spacing w:line="360" w:lineRule="auto"/>
        <w:ind w:left="720"/>
        <w:jc w:val="both"/>
        <w:rPr>
          <w:sz w:val="20"/>
          <w:szCs w:val="20"/>
        </w:rPr>
      </w:pPr>
      <w:r w:rsidRPr="00BE2C1D">
        <w:rPr>
          <w:rFonts w:cstheme="minorHAnsi"/>
          <w:sz w:val="20"/>
          <w:szCs w:val="20"/>
        </w:rPr>
        <w:t xml:space="preserve">to examine the impacts of inaccessible and exclusive playgrounds, the ways in which activities and negotiations within playgrounds re-construct the spaces, and the strategies these children use to resist and negotiate what are otherwise non-playable playgrounds. </w:t>
      </w:r>
    </w:p>
    <w:p w14:paraId="32B47A31" w14:textId="77777777" w:rsidR="00BE2C1D" w:rsidRPr="00BE2C1D" w:rsidRDefault="00BE2C1D" w:rsidP="00BE2C1D">
      <w:pPr>
        <w:spacing w:line="360" w:lineRule="auto"/>
        <w:jc w:val="both"/>
        <w:rPr>
          <w:rFonts w:cstheme="minorHAnsi"/>
        </w:rPr>
      </w:pPr>
      <w:r w:rsidRPr="00BE2C1D">
        <w:rPr>
          <w:rFonts w:cstheme="minorHAnsi"/>
        </w:rPr>
        <w:t xml:space="preserve">This is also the aim of this section, that is, to look at how the disabled young people navigated and experienced the (non-playable) playground and in what other spaces they spent their break-time.  </w:t>
      </w:r>
    </w:p>
    <w:p w14:paraId="50C08AD5" w14:textId="77777777" w:rsidR="00BE2C1D" w:rsidRPr="00BE2C1D" w:rsidRDefault="00BE2C1D" w:rsidP="00BE2C1D">
      <w:pPr>
        <w:keepNext/>
        <w:keepLines/>
        <w:spacing w:before="40" w:after="0" w:line="360" w:lineRule="auto"/>
        <w:jc w:val="both"/>
        <w:outlineLvl w:val="3"/>
        <w:rPr>
          <w:rFonts w:asciiTheme="majorHAnsi" w:eastAsiaTheme="majorEastAsia" w:hAnsiTheme="majorHAnsi" w:cstheme="minorHAnsi"/>
          <w:i/>
          <w:iCs/>
          <w:color w:val="2F5496" w:themeColor="accent1" w:themeShade="BF"/>
          <w:lang w:eastAsia="zh-CN"/>
        </w:rPr>
      </w:pPr>
      <w:r w:rsidRPr="00BE2C1D">
        <w:rPr>
          <w:rFonts w:asciiTheme="majorHAnsi" w:eastAsiaTheme="majorEastAsia" w:hAnsiTheme="majorHAnsi" w:cstheme="majorBidi"/>
          <w:i/>
          <w:iCs/>
          <w:color w:val="2F5496" w:themeColor="accent1" w:themeShade="BF"/>
          <w:lang w:eastAsia="zh-CN"/>
        </w:rPr>
        <w:t xml:space="preserve">Navigating the Ableist, Gendered Hierarchies of the School Playground  </w:t>
      </w:r>
    </w:p>
    <w:p w14:paraId="059AEFD7" w14:textId="77777777" w:rsidR="00BE2C1D" w:rsidRPr="00BE2C1D" w:rsidRDefault="00BE2C1D" w:rsidP="00BE2C1D">
      <w:pPr>
        <w:spacing w:line="360" w:lineRule="auto"/>
        <w:jc w:val="both"/>
      </w:pPr>
      <w:r w:rsidRPr="00BE2C1D">
        <w:t xml:space="preserve">The young people’s responses to how they spent their break-time varied, with some stating that they did similar things to their peers, such as spending some time in the playground, and others who reported that they stayed in other spaces than the playgrounds, such as their classrooms or other indoor school spaces. In this part I examine what led some young people to stay indoors and how those who spent time in the playground experienced this space. </w:t>
      </w:r>
    </w:p>
    <w:p w14:paraId="23EFB225" w14:textId="77777777" w:rsidR="00BE2C1D" w:rsidRPr="00BE2C1D" w:rsidRDefault="00BE2C1D" w:rsidP="00BE2C1D">
      <w:pPr>
        <w:spacing w:line="360" w:lineRule="auto"/>
        <w:jc w:val="both"/>
      </w:pPr>
      <w:r w:rsidRPr="00BE2C1D">
        <w:t xml:space="preserve">Harry and Louise were among the young people who spent their break-time indoors, as the school playground did not meet their physical needs:  </w:t>
      </w:r>
    </w:p>
    <w:p w14:paraId="3D920145" w14:textId="77777777" w:rsidR="00BE2C1D" w:rsidRPr="00BE2C1D" w:rsidRDefault="00BE2C1D" w:rsidP="00BE2C1D">
      <w:pPr>
        <w:spacing w:line="360" w:lineRule="auto"/>
        <w:ind w:left="720"/>
        <w:jc w:val="both"/>
        <w:rPr>
          <w:sz w:val="20"/>
          <w:szCs w:val="20"/>
        </w:rPr>
      </w:pPr>
      <w:r w:rsidRPr="00BE2C1D">
        <w:rPr>
          <w:sz w:val="20"/>
          <w:szCs w:val="20"/>
        </w:rPr>
        <w:t>Louise: I rarely went outside, cause I didn’t really like it, cause it was just. My school didn’t really have anywhere to sit, so I couldn’t manage like the whole break. I am not just standing around doing nothing, cause even when you are not allowed on the grass, so you have to like be standing for about an hour. So, we usually went to classrooms, like me and my friends were going to the same classrooms and we just talked in there.</w:t>
      </w:r>
    </w:p>
    <w:p w14:paraId="25478704" w14:textId="77777777" w:rsidR="00BE2C1D" w:rsidRPr="00BE2C1D" w:rsidRDefault="00BE2C1D" w:rsidP="00BE2C1D">
      <w:pPr>
        <w:spacing w:line="360" w:lineRule="auto"/>
        <w:ind w:left="720"/>
        <w:jc w:val="both"/>
        <w:rPr>
          <w:sz w:val="20"/>
          <w:szCs w:val="20"/>
        </w:rPr>
      </w:pPr>
      <w:r w:rsidRPr="00BE2C1D">
        <w:rPr>
          <w:sz w:val="20"/>
          <w:szCs w:val="20"/>
        </w:rPr>
        <w:t xml:space="preserve">Harry: </w:t>
      </w:r>
      <w:bookmarkStart w:id="106" w:name="_Hlk511387348"/>
      <w:r w:rsidRPr="00BE2C1D">
        <w:rPr>
          <w:sz w:val="20"/>
          <w:szCs w:val="20"/>
        </w:rPr>
        <w:t xml:space="preserve">Normally in the main building, em, there’s like a theatre and we normally go in the theatre, cause normally not many people are there. </w:t>
      </w:r>
    </w:p>
    <w:p w14:paraId="44135ADA" w14:textId="77777777" w:rsidR="00BE2C1D" w:rsidRPr="00BE2C1D" w:rsidRDefault="00BE2C1D" w:rsidP="00BE2C1D">
      <w:pPr>
        <w:spacing w:line="360" w:lineRule="auto"/>
        <w:jc w:val="both"/>
        <w:rPr>
          <w:sz w:val="20"/>
          <w:szCs w:val="20"/>
        </w:rPr>
      </w:pPr>
      <w:r w:rsidRPr="00BE2C1D">
        <w:rPr>
          <w:sz w:val="20"/>
          <w:szCs w:val="20"/>
        </w:rPr>
        <w:t xml:space="preserve"> </w:t>
      </w:r>
      <w:r w:rsidRPr="00BE2C1D">
        <w:rPr>
          <w:sz w:val="20"/>
          <w:szCs w:val="20"/>
        </w:rPr>
        <w:tab/>
        <w:t xml:space="preserve">A. Alright. And do you go to, does the school building have a school yard? </w:t>
      </w:r>
    </w:p>
    <w:p w14:paraId="35913217" w14:textId="77777777" w:rsidR="00BE2C1D" w:rsidRPr="00BE2C1D" w:rsidRDefault="00BE2C1D" w:rsidP="00BE2C1D">
      <w:pPr>
        <w:spacing w:line="360" w:lineRule="auto"/>
        <w:ind w:left="720"/>
        <w:jc w:val="both"/>
        <w:rPr>
          <w:sz w:val="20"/>
          <w:szCs w:val="20"/>
        </w:rPr>
      </w:pPr>
      <w:r w:rsidRPr="00BE2C1D">
        <w:rPr>
          <w:sz w:val="20"/>
          <w:szCs w:val="20"/>
        </w:rPr>
        <w:t>Harry: Em, yeah, there is a school yard, but I don’t go there. Just because it’s quite small and it’s not really, it’s not really very comfortable to sit down and stuff. Like usually they are playing football, which I hate football. Like I ‘d much rather just go and sit down in the office.</w:t>
      </w:r>
      <w:bookmarkEnd w:id="106"/>
    </w:p>
    <w:p w14:paraId="1E3B6E7B" w14:textId="77777777" w:rsidR="00BE2C1D" w:rsidRPr="00BE2C1D" w:rsidRDefault="00BE2C1D" w:rsidP="00BE2C1D">
      <w:pPr>
        <w:spacing w:line="360" w:lineRule="auto"/>
        <w:jc w:val="both"/>
      </w:pPr>
      <w:r w:rsidRPr="00BE2C1D">
        <w:t xml:space="preserve">Both Louise and Harry mentioned that they avoided the playground due to the lack of comfortable spaces for them to sit, as they could not stand for a long time. The absence of such spaces from the playground could be viewed as a physical barrier (Woolley et al. 2005) in terms of the physical needs of these young people not being met by the available material structures. As playgrounds were designed with the non-disabled child in mind (Yantzi et al. 2010), children were expected to be able to spend the whole break-time standing and engage in various activities. </w:t>
      </w:r>
    </w:p>
    <w:p w14:paraId="690A1B27" w14:textId="77777777" w:rsidR="00BE2C1D" w:rsidRPr="00BE2C1D" w:rsidRDefault="00BE2C1D" w:rsidP="00BE2C1D">
      <w:pPr>
        <w:spacing w:line="360" w:lineRule="auto"/>
        <w:jc w:val="both"/>
      </w:pPr>
      <w:r w:rsidRPr="00BE2C1D">
        <w:lastRenderedPageBreak/>
        <w:t xml:space="preserve">Harry also referred to how the activities taking place in the playground – football - also contributed to his exclusion from the playground. A similar story was shared by Nick, who used the playground, but was relegated to a peripheral role, because he did not play football:  </w:t>
      </w:r>
    </w:p>
    <w:p w14:paraId="43C0A965" w14:textId="77777777" w:rsidR="00BE2C1D" w:rsidRPr="00BE2C1D" w:rsidRDefault="00BE2C1D" w:rsidP="00BE2C1D">
      <w:pPr>
        <w:spacing w:line="360" w:lineRule="auto"/>
        <w:ind w:left="720"/>
        <w:jc w:val="both"/>
        <w:rPr>
          <w:sz w:val="20"/>
          <w:szCs w:val="20"/>
        </w:rPr>
      </w:pPr>
      <w:r w:rsidRPr="00BE2C1D">
        <w:rPr>
          <w:sz w:val="20"/>
          <w:szCs w:val="20"/>
        </w:rPr>
        <w:t xml:space="preserve">Nick: And as playgrounds were so much of the hierarchies dictated by sport, you know, you still get picked last for teams or that kind of thing. It wouldn’t really matter, because football and rugby were all that mattered and not basketball. [..] Then you lacked more credibility in the playground, because you were seen as not very good at sports. Really, you were good at sports, you weren’t good at rugby or football. </w:t>
      </w:r>
    </w:p>
    <w:p w14:paraId="512F55B1" w14:textId="77777777" w:rsidR="00BE2C1D" w:rsidRPr="00BE2C1D" w:rsidRDefault="00BE2C1D" w:rsidP="00BE2C1D">
      <w:pPr>
        <w:spacing w:line="360" w:lineRule="auto"/>
        <w:jc w:val="both"/>
      </w:pPr>
      <w:r w:rsidRPr="00BE2C1D">
        <w:t xml:space="preserve">Thomson (2005: 71) described school playgrounds as ‘prescriptive spaces’ to refer to how the material structures e.g. the football pitch, designated certain gendered activities, such as football. School playgrounds have been described as gendered spaces (Paechter and Clark 2007), with boys usually occupying more space. Those who could not partake in such activities, then, such as disabled boys and girls, were relegated to peripheral roles (Martinez-Andrez et al. 2017). So, although Nick used the playground for his break-time, he did not feel a sense of belonging due to the existing ableist, gendered hierarchies. Moreover, Nick was also perceived as not good at sports, which influenced his social relations with his peers in the playgrounds, such as being picked last for teams (Holt 2007). </w:t>
      </w:r>
    </w:p>
    <w:p w14:paraId="1FF74484" w14:textId="77777777" w:rsidR="00BE2C1D" w:rsidRPr="00BE2C1D" w:rsidRDefault="00BE2C1D" w:rsidP="00BE2C1D">
      <w:pPr>
        <w:spacing w:line="360" w:lineRule="auto"/>
        <w:jc w:val="both"/>
      </w:pPr>
      <w:r w:rsidRPr="00BE2C1D">
        <w:t>Paul also referred to how able-bodiedness and physical fitness dominated how one was perceived in the playground:</w:t>
      </w:r>
    </w:p>
    <w:p w14:paraId="6C0C2DEE" w14:textId="77777777" w:rsidR="00BE2C1D" w:rsidRPr="00BE2C1D" w:rsidRDefault="00BE2C1D" w:rsidP="00BE2C1D">
      <w:pPr>
        <w:spacing w:line="360" w:lineRule="auto"/>
        <w:ind w:left="720"/>
        <w:rPr>
          <w:sz w:val="20"/>
          <w:szCs w:val="20"/>
        </w:rPr>
      </w:pPr>
      <w:r w:rsidRPr="00BE2C1D">
        <w:rPr>
          <w:sz w:val="20"/>
          <w:szCs w:val="20"/>
        </w:rPr>
        <w:t>Paul: There’s a full social hierarchy in the playground and that hierarchy is affective when somebody is high up in the hierarchy […] You often find yourself at the lowest place in the hierarchy at that particular age. […] I think at that age many kids are influenced by who is the strongest, who is the fastest, who is the most good looking, who is, yeah, the most able. That particular thing drives the hierarchy and when you have dwarfism, let’s say, you’re not gonna be the most fittest person around.  You’re not the most, you know, attractive person around too, because of the disability gets in the way. You’re not the most talented at you know, running, you’re not the most physically abled [...] And in that particular age that kind of strength is what drives that particular age and you often find it difficult at that particular age, because you were not one of the strong lions in this metaphor. You’re one of the people that was probably more cut off and the weaker one than everybody. Yeah, I was thought as weak even though you weren’t.</w:t>
      </w:r>
    </w:p>
    <w:p w14:paraId="2A4AE339" w14:textId="77777777" w:rsidR="00BE2C1D" w:rsidRPr="00BE2C1D" w:rsidRDefault="00BE2C1D" w:rsidP="00BE2C1D">
      <w:pPr>
        <w:spacing w:line="360" w:lineRule="auto"/>
        <w:jc w:val="both"/>
      </w:pPr>
      <w:r w:rsidRPr="00BE2C1D">
        <w:t xml:space="preserve">Not only did Paul’s narrative indicated how disability ‘played out’ in the playground in terms of his social positioning in relation to his non-disabled peers e.g. as weak (see also Holt 2004b, 2007), but it also pointed to the psycho-emotional disablism disabled young people encountered in this space. Paul had to deal with being perceived in ways that he did not feel that they were representative of him. </w:t>
      </w:r>
      <w:r w:rsidRPr="00BE2C1D">
        <w:lastRenderedPageBreak/>
        <w:t xml:space="preserve">Nick and Paul’s narratives demonstrated then how the ableist, gendered norms permeating the school playground resulted in their marginalisation from this space. </w:t>
      </w:r>
    </w:p>
    <w:p w14:paraId="15FBBA95" w14:textId="77777777" w:rsidR="00BE2C1D" w:rsidRPr="00BE2C1D" w:rsidRDefault="00BE2C1D" w:rsidP="00BE2C1D">
      <w:pPr>
        <w:spacing w:line="360" w:lineRule="auto"/>
        <w:jc w:val="both"/>
        <w:rPr>
          <w:b/>
        </w:rPr>
      </w:pPr>
      <w:r w:rsidRPr="00BE2C1D">
        <w:t xml:space="preserve">Besides the male participants, female participants also referred to how football led them to avoid using the playground:  </w:t>
      </w:r>
    </w:p>
    <w:p w14:paraId="7531946F" w14:textId="77777777" w:rsidR="00BE2C1D" w:rsidRPr="00BE2C1D" w:rsidRDefault="00BE2C1D" w:rsidP="00BE2C1D">
      <w:pPr>
        <w:spacing w:line="360" w:lineRule="auto"/>
        <w:ind w:left="720"/>
        <w:jc w:val="both"/>
        <w:rPr>
          <w:sz w:val="20"/>
          <w:szCs w:val="20"/>
        </w:rPr>
      </w:pPr>
      <w:r w:rsidRPr="00BE2C1D">
        <w:rPr>
          <w:sz w:val="20"/>
          <w:szCs w:val="20"/>
        </w:rPr>
        <w:t>Angela: I usually spend it with the group of friends I have at the end of the corridors. When you are in the main building, there’s quite a lot of people standing around. But like at the end of the corridor there are not that many people. Like some will walk past to get to like a room, but they will not want to.</w:t>
      </w:r>
    </w:p>
    <w:p w14:paraId="0A1849E8" w14:textId="77777777" w:rsidR="00BE2C1D" w:rsidRPr="00BE2C1D" w:rsidRDefault="00BE2C1D" w:rsidP="00BE2C1D">
      <w:pPr>
        <w:spacing w:line="360" w:lineRule="auto"/>
        <w:jc w:val="both"/>
        <w:rPr>
          <w:sz w:val="20"/>
          <w:szCs w:val="20"/>
        </w:rPr>
      </w:pPr>
      <w:r w:rsidRPr="00BE2C1D">
        <w:rPr>
          <w:sz w:val="20"/>
          <w:szCs w:val="20"/>
        </w:rPr>
        <w:t xml:space="preserve">  </w:t>
      </w:r>
      <w:r w:rsidRPr="00BE2C1D">
        <w:rPr>
          <w:sz w:val="20"/>
          <w:szCs w:val="20"/>
        </w:rPr>
        <w:tab/>
        <w:t>A. That’s nice, that’s nice. And does the school have a school yard?</w:t>
      </w:r>
    </w:p>
    <w:p w14:paraId="60D80C31" w14:textId="77777777" w:rsidR="00BE2C1D" w:rsidRPr="00BE2C1D" w:rsidRDefault="00BE2C1D" w:rsidP="00BE2C1D">
      <w:pPr>
        <w:spacing w:line="360" w:lineRule="auto"/>
        <w:ind w:left="720"/>
        <w:jc w:val="both"/>
        <w:rPr>
          <w:sz w:val="20"/>
          <w:szCs w:val="20"/>
        </w:rPr>
      </w:pPr>
      <w:r w:rsidRPr="00BE2C1D">
        <w:rPr>
          <w:sz w:val="20"/>
          <w:szCs w:val="20"/>
        </w:rPr>
        <w:t>Angela: Yeah, it does, it has a very big one. It’s just boys playing football and then always there’s that person who misses and he gets hit by someone.</w:t>
      </w:r>
    </w:p>
    <w:p w14:paraId="5B589582" w14:textId="77777777" w:rsidR="00BE2C1D" w:rsidRPr="00BE2C1D" w:rsidRDefault="00BE2C1D" w:rsidP="00BE2C1D">
      <w:pPr>
        <w:spacing w:line="360" w:lineRule="auto"/>
        <w:jc w:val="both"/>
        <w:rPr>
          <w:sz w:val="20"/>
          <w:szCs w:val="20"/>
        </w:rPr>
      </w:pPr>
      <w:r w:rsidRPr="00BE2C1D">
        <w:rPr>
          <w:sz w:val="20"/>
          <w:szCs w:val="20"/>
        </w:rPr>
        <w:t xml:space="preserve"> </w:t>
      </w:r>
      <w:r w:rsidRPr="00BE2C1D">
        <w:rPr>
          <w:sz w:val="20"/>
          <w:szCs w:val="20"/>
        </w:rPr>
        <w:tab/>
        <w:t>A. Oh, I see. So it feels a bit dangerous to be out there.</w:t>
      </w:r>
    </w:p>
    <w:p w14:paraId="706C70AB" w14:textId="77777777" w:rsidR="00BE2C1D" w:rsidRPr="00BE2C1D" w:rsidRDefault="00BE2C1D" w:rsidP="00BE2C1D">
      <w:pPr>
        <w:spacing w:line="360" w:lineRule="auto"/>
        <w:jc w:val="both"/>
        <w:rPr>
          <w:sz w:val="20"/>
          <w:szCs w:val="20"/>
        </w:rPr>
      </w:pPr>
      <w:r w:rsidRPr="00BE2C1D">
        <w:rPr>
          <w:sz w:val="20"/>
          <w:szCs w:val="20"/>
        </w:rPr>
        <w:t xml:space="preserve"> </w:t>
      </w:r>
      <w:r w:rsidRPr="00BE2C1D">
        <w:rPr>
          <w:sz w:val="20"/>
          <w:szCs w:val="20"/>
        </w:rPr>
        <w:tab/>
        <w:t xml:space="preserve">Angela: Yeah. </w:t>
      </w:r>
    </w:p>
    <w:p w14:paraId="0B2B452A" w14:textId="77777777" w:rsidR="00BE2C1D" w:rsidRPr="00BE2C1D" w:rsidRDefault="00BE2C1D" w:rsidP="00BE2C1D">
      <w:pPr>
        <w:spacing w:line="360" w:lineRule="auto"/>
        <w:jc w:val="both"/>
        <w:rPr>
          <w:sz w:val="20"/>
          <w:szCs w:val="20"/>
        </w:rPr>
      </w:pPr>
      <w:r w:rsidRPr="00BE2C1D">
        <w:rPr>
          <w:sz w:val="20"/>
          <w:szCs w:val="20"/>
        </w:rPr>
        <w:t xml:space="preserve"> </w:t>
      </w:r>
      <w:r w:rsidRPr="00BE2C1D">
        <w:rPr>
          <w:sz w:val="20"/>
          <w:szCs w:val="20"/>
        </w:rPr>
        <w:tab/>
        <w:t>A. So you mainly spend your break-time in the corridor and not that much in the school yard.</w:t>
      </w:r>
    </w:p>
    <w:p w14:paraId="1609053F" w14:textId="77777777" w:rsidR="00BE2C1D" w:rsidRPr="00BE2C1D" w:rsidRDefault="00BE2C1D" w:rsidP="00BE2C1D">
      <w:pPr>
        <w:spacing w:line="360" w:lineRule="auto"/>
        <w:jc w:val="both"/>
        <w:rPr>
          <w:sz w:val="20"/>
          <w:szCs w:val="20"/>
        </w:rPr>
      </w:pPr>
      <w:r w:rsidRPr="00BE2C1D">
        <w:rPr>
          <w:sz w:val="20"/>
          <w:szCs w:val="20"/>
        </w:rPr>
        <w:t xml:space="preserve"> </w:t>
      </w:r>
      <w:r w:rsidRPr="00BE2C1D">
        <w:rPr>
          <w:sz w:val="20"/>
          <w:szCs w:val="20"/>
        </w:rPr>
        <w:tab/>
        <w:t xml:space="preserve">Angela: Not that much. </w:t>
      </w:r>
    </w:p>
    <w:p w14:paraId="731B0312" w14:textId="77777777" w:rsidR="00BE2C1D" w:rsidRPr="00BE2C1D" w:rsidRDefault="00BE2C1D" w:rsidP="00BE2C1D">
      <w:pPr>
        <w:spacing w:line="360" w:lineRule="auto"/>
        <w:jc w:val="both"/>
      </w:pPr>
      <w:r w:rsidRPr="00BE2C1D">
        <w:t xml:space="preserve">Angela discussed the potential risk of getting hit by the football as a reason for not spending as much time in the playground. Mayeza (2017) referred to how girls were excluded from the playground due to boys dominating and policing the space through activities such as football. Moreover, school playground designers also seem to ignore the perspectives of girls about the playground (Dyment and O’Connell 2013; Hart 2002; Paechter and Clark 2007), meaning that school playgrounds are designed for the non-disabled boy. </w:t>
      </w:r>
    </w:p>
    <w:p w14:paraId="6E51CACA" w14:textId="77777777" w:rsidR="00BE2C1D" w:rsidRPr="00BE2C1D" w:rsidRDefault="00BE2C1D" w:rsidP="00BE2C1D">
      <w:pPr>
        <w:spacing w:line="360" w:lineRule="auto"/>
        <w:jc w:val="both"/>
      </w:pPr>
      <w:r w:rsidRPr="00BE2C1D">
        <w:t xml:space="preserve">Besides being potential targets of the footballers, Rachael mentioned how she was a target to the comments or questions of peers who had not seen her before when she turned up in the playground: </w:t>
      </w:r>
    </w:p>
    <w:p w14:paraId="52DD8DF5" w14:textId="77777777" w:rsidR="00BE2C1D" w:rsidRPr="00BE2C1D" w:rsidRDefault="00BE2C1D" w:rsidP="00BE2C1D">
      <w:pPr>
        <w:spacing w:line="360" w:lineRule="auto"/>
        <w:ind w:left="720"/>
        <w:jc w:val="both"/>
        <w:rPr>
          <w:sz w:val="20"/>
          <w:szCs w:val="20"/>
          <w:lang w:val="en-US"/>
        </w:rPr>
      </w:pPr>
      <w:r w:rsidRPr="00BE2C1D">
        <w:rPr>
          <w:sz w:val="20"/>
          <w:szCs w:val="20"/>
          <w:lang w:val="en-US"/>
        </w:rPr>
        <w:t>Rachael: Em, probably, probably it did take place at playtime I would be in the big yard if you weren’t in the classroom and then you’d be really visible. And I’d be with friends, but be really visible. So probably kids who hadn’t seen me before that was gonna be the time that they would notice, em, and come and ask questions or shout something. […] It wasn’t so much in school. Eh, but if it was gonna be, like a new kid or something, maybe at break-time or lunchtime. Maybe they hadn’t seen me before probably.</w:t>
      </w:r>
    </w:p>
    <w:p w14:paraId="189BE379" w14:textId="77777777" w:rsidR="00BE2C1D" w:rsidRPr="00BE2C1D" w:rsidRDefault="00BE2C1D" w:rsidP="00BE2C1D">
      <w:pPr>
        <w:spacing w:line="360" w:lineRule="auto"/>
        <w:jc w:val="both"/>
      </w:pPr>
      <w:r w:rsidRPr="00BE2C1D">
        <w:t xml:space="preserve">Rachael’s story demonstrated how the school playground could be experienced as a panoptic space (Foucault 1977), where those bodies which were not supposed to be there were immediately rendered visible and became the recipients of comments and gazes.  </w:t>
      </w:r>
    </w:p>
    <w:p w14:paraId="2F7248EA" w14:textId="77777777" w:rsidR="00BE2C1D" w:rsidRPr="00BE2C1D" w:rsidRDefault="00BE2C1D" w:rsidP="00BE2C1D">
      <w:pPr>
        <w:spacing w:line="360" w:lineRule="auto"/>
        <w:jc w:val="both"/>
      </w:pPr>
      <w:r w:rsidRPr="00BE2C1D">
        <w:lastRenderedPageBreak/>
        <w:t xml:space="preserve">Rania and Christine also discussed how they avoided the playground in order to stay away from the drama and the bullying occurring there: </w:t>
      </w:r>
    </w:p>
    <w:p w14:paraId="4E63F613" w14:textId="77777777" w:rsidR="00BE2C1D" w:rsidRPr="00BE2C1D" w:rsidRDefault="00BE2C1D" w:rsidP="00BE2C1D">
      <w:pPr>
        <w:spacing w:line="360" w:lineRule="auto"/>
        <w:ind w:left="720"/>
        <w:jc w:val="both"/>
        <w:rPr>
          <w:rFonts w:cstheme="minorHAnsi"/>
          <w:sz w:val="20"/>
          <w:szCs w:val="20"/>
        </w:rPr>
      </w:pPr>
      <w:r w:rsidRPr="00BE2C1D">
        <w:rPr>
          <w:rFonts w:cstheme="minorHAnsi"/>
          <w:sz w:val="20"/>
          <w:szCs w:val="20"/>
        </w:rPr>
        <w:t>Rania</w:t>
      </w:r>
      <w:r w:rsidRPr="00BE2C1D">
        <w:rPr>
          <w:sz w:val="20"/>
          <w:szCs w:val="20"/>
        </w:rPr>
        <w:t>: Em, mine, I was a bit of a sloth. Mine was literally just, alright, go get my food, find a quiet corner, and just be on my phone or do some work. I was very, I just wanted like keep out of all the drama</w:t>
      </w:r>
      <w:r w:rsidRPr="00BE2C1D">
        <w:rPr>
          <w:rFonts w:cstheme="minorHAnsi"/>
          <w:sz w:val="20"/>
          <w:szCs w:val="20"/>
        </w:rPr>
        <w:t>.</w:t>
      </w:r>
    </w:p>
    <w:p w14:paraId="2799B83D" w14:textId="537162B4" w:rsidR="00BE2C1D" w:rsidRPr="00BE2C1D" w:rsidRDefault="00BE2C1D" w:rsidP="00FB0487">
      <w:pPr>
        <w:spacing w:line="360" w:lineRule="auto"/>
        <w:ind w:left="720"/>
        <w:jc w:val="both"/>
        <w:rPr>
          <w:sz w:val="20"/>
          <w:szCs w:val="20"/>
        </w:rPr>
      </w:pPr>
      <w:r w:rsidRPr="00BE2C1D">
        <w:rPr>
          <w:sz w:val="20"/>
          <w:szCs w:val="20"/>
        </w:rPr>
        <w:t xml:space="preserve">Christine: No, I get, em, if I have a TA, I’ll get dropped off at D block and then I ‘ll just wait until my  friend come and then we’ll hang out like in a classroom, where there’s like no one there. We just talk and go to the computers. </w:t>
      </w:r>
      <w:r w:rsidR="00FB0487">
        <w:rPr>
          <w:sz w:val="20"/>
          <w:szCs w:val="20"/>
        </w:rPr>
        <w:t>[…]</w:t>
      </w:r>
      <w:r w:rsidRPr="00BE2C1D">
        <w:rPr>
          <w:sz w:val="20"/>
          <w:szCs w:val="20"/>
        </w:rPr>
        <w:t>Erm, we just spend it, it depends, like, it depends if we wanna walk around the school or if we want to sit in a classroom. Cause we sit in a classroom upstairs and we sit on the window</w:t>
      </w:r>
      <w:r w:rsidR="00FB0487">
        <w:rPr>
          <w:sz w:val="20"/>
          <w:szCs w:val="20"/>
        </w:rPr>
        <w:t xml:space="preserve"> </w:t>
      </w:r>
      <w:r w:rsidRPr="00BE2C1D">
        <w:rPr>
          <w:sz w:val="20"/>
          <w:szCs w:val="20"/>
        </w:rPr>
        <w:t xml:space="preserve">sills and we just watch people, cause there’s no one in that classroom. So yeah. But it depends on what we really want to do really. </w:t>
      </w:r>
    </w:p>
    <w:p w14:paraId="11FCD30A" w14:textId="27F21AED" w:rsidR="00BE2C1D" w:rsidRPr="00BE2C1D" w:rsidRDefault="00BE2C1D" w:rsidP="00BE2C1D">
      <w:pPr>
        <w:spacing w:line="360" w:lineRule="auto"/>
        <w:jc w:val="both"/>
        <w:rPr>
          <w:bCs/>
        </w:rPr>
      </w:pPr>
      <w:r w:rsidRPr="00BE2C1D">
        <w:rPr>
          <w:bCs/>
        </w:rPr>
        <w:t xml:space="preserve">Rania spoke of the school playground as a space of/for drama and </w:t>
      </w:r>
      <w:r w:rsidRPr="008F4D34">
        <w:rPr>
          <w:bCs/>
        </w:rPr>
        <w:t xml:space="preserve">Christine </w:t>
      </w:r>
      <w:r w:rsidR="00FB0487" w:rsidRPr="008F4D34">
        <w:rPr>
          <w:bCs/>
        </w:rPr>
        <w:t>partly preferred</w:t>
      </w:r>
      <w:r w:rsidRPr="008F4D34">
        <w:rPr>
          <w:bCs/>
        </w:rPr>
        <w:t xml:space="preserve"> to </w:t>
      </w:r>
      <w:r w:rsidR="00FB0487" w:rsidRPr="008F4D34">
        <w:rPr>
          <w:bCs/>
        </w:rPr>
        <w:t>spend her break time in a space such as a classroom,</w:t>
      </w:r>
      <w:r w:rsidRPr="008F4D34">
        <w:rPr>
          <w:bCs/>
        </w:rPr>
        <w:t xml:space="preserve"> where she could be only with her friend</w:t>
      </w:r>
      <w:r w:rsidR="00FB0487" w:rsidRPr="008F4D34">
        <w:rPr>
          <w:bCs/>
        </w:rPr>
        <w:t xml:space="preserve"> and, hence, avoid any encounters with peers that bullied her</w:t>
      </w:r>
      <w:r w:rsidRPr="008F4D34">
        <w:rPr>
          <w:bCs/>
        </w:rPr>
        <w:t>. Playgrounds have been identified as a space where many disabled young people were bullied (</w:t>
      </w:r>
      <w:r w:rsidRPr="008F4D34">
        <w:rPr>
          <w:rFonts w:cstheme="minorHAnsi"/>
          <w:bCs/>
        </w:rPr>
        <w:t>Holt et al. 2017; Migliaccio</w:t>
      </w:r>
      <w:r w:rsidRPr="00BE2C1D">
        <w:rPr>
          <w:rFonts w:cstheme="minorHAnsi"/>
        </w:rPr>
        <w:t xml:space="preserve"> </w:t>
      </w:r>
      <w:r w:rsidR="00FB0487">
        <w:rPr>
          <w:rFonts w:cstheme="minorHAnsi"/>
        </w:rPr>
        <w:t>&amp;</w:t>
      </w:r>
      <w:r w:rsidRPr="00BE2C1D">
        <w:rPr>
          <w:rFonts w:cstheme="minorHAnsi"/>
        </w:rPr>
        <w:t xml:space="preserve"> Raskauskas 2015). </w:t>
      </w:r>
    </w:p>
    <w:p w14:paraId="2B38D1B8" w14:textId="77777777" w:rsidR="00BE2C1D" w:rsidRPr="00BE2C1D" w:rsidRDefault="00BE2C1D" w:rsidP="00BE2C1D">
      <w:pPr>
        <w:spacing w:line="360" w:lineRule="auto"/>
        <w:jc w:val="both"/>
      </w:pPr>
      <w:r w:rsidRPr="00BE2C1D">
        <w:t xml:space="preserve">In a summary, the above stories provided an insight into how disabled young people experienced the school playground: as an inaccessible space, where their physical needs were not facilitated; a hierarchical, gendered, prescriptive space, from which both disabled boys and girls were relegated to peripheral roles; a panoptic space, where they felt too visible and exposed to everyone’s gaze; and an unsafe space, where different forms of bullying e.g. teasing against their bodies could occur. Such experiences led most young people to spend their break-time in other indoor spaces, such as a classroom, a theatre hall, the dining room or a corner in the corridor. What these stories demonstrated then was the multifaceted nature of the exclusion of the disabled young people from school playgrounds, which went beyond the three types of barriers that Woolley et al. (2005) had identified. Besides the physical barriers, which were also raised in the participants’ accounts, their stories pointed out how, for instance, the type of gendered activities e. g. football taking place in the playground either excluded or marginalised their disabled bodies.         </w:t>
      </w:r>
    </w:p>
    <w:p w14:paraId="3DD24454" w14:textId="77777777" w:rsidR="00BE2C1D" w:rsidRPr="00BE2C1D" w:rsidRDefault="00BE2C1D" w:rsidP="00BE2C1D">
      <w:pPr>
        <w:spacing w:line="360" w:lineRule="auto"/>
        <w:jc w:val="both"/>
      </w:pPr>
      <w:r w:rsidRPr="00BE2C1D">
        <w:t>On the one hand, this ‘option’</w:t>
      </w:r>
      <w:r w:rsidRPr="00BE2C1D">
        <w:rPr>
          <w:vertAlign w:val="superscript"/>
        </w:rPr>
        <w:footnoteReference w:id="87"/>
      </w:r>
      <w:r w:rsidRPr="00BE2C1D">
        <w:t xml:space="preserve"> to spend break-time elsewhere could be interpreted as a form of resistance to the exposure to disablism, which permeated the school playground. Such an option was a sign of retreating in a safe space (Hodge and Runswick-Cole 2013), away from the peers’ gaze and derogative comments for instance, as well as a demonstration of geographic maturity (Stephens et al. 2015), meaning that the participants consciously adapted to spend their break-time where they felt </w:t>
      </w:r>
      <w:r w:rsidRPr="00BE2C1D">
        <w:lastRenderedPageBreak/>
        <w:t xml:space="preserve">safe and a sense of belonging. On the other hand, it is also worth considering the implications that this ‘option’ had on the young people. For instance, the participants did not get the chance to play in the space designated for such an activity, feeling that they did not belong there, neither did they have the opportunity to represent themselves as ‘playful’ against the dominant, psychological discourse that depicts them as non-playing objects (Goodley and Runswick-Cole 2010b). Besides playing, though, playgrounds also constitute a space where a range of identities are crafted and performed, such as gendered (Epstein et al. 2001) and sexual(ised) (Huuki and Renold 2016) ones. Therefore, the exclusion of the disabled young people from the playground also equated with their exclusion from performing such identities, risking the perpetuation of an understanding of their bodies as genderless and asexual (Slater et al. 2018). In the next section I discuss how the disabled young people navigated another school space, the school toilets. </w:t>
      </w:r>
    </w:p>
    <w:p w14:paraId="4694251B" w14:textId="77777777" w:rsidR="00BE2C1D" w:rsidRPr="00BE2C1D" w:rsidRDefault="00BE2C1D" w:rsidP="00BE2C1D">
      <w:pPr>
        <w:keepNext/>
        <w:keepLines/>
        <w:spacing w:before="40" w:after="0" w:line="360" w:lineRule="auto"/>
        <w:outlineLvl w:val="2"/>
        <w:rPr>
          <w:rFonts w:asciiTheme="majorHAnsi" w:eastAsiaTheme="majorEastAsia" w:hAnsiTheme="majorHAnsi" w:cstheme="majorBidi"/>
          <w:color w:val="1F3763" w:themeColor="accent1" w:themeShade="7F"/>
          <w:sz w:val="24"/>
          <w:szCs w:val="24"/>
          <w:lang w:eastAsia="zh-CN"/>
        </w:rPr>
      </w:pPr>
      <w:bookmarkStart w:id="107" w:name="_Toc39585245"/>
      <w:r w:rsidRPr="00BE2C1D">
        <w:rPr>
          <w:rFonts w:asciiTheme="majorHAnsi" w:eastAsiaTheme="majorEastAsia" w:hAnsiTheme="majorHAnsi" w:cstheme="majorBidi"/>
          <w:color w:val="1F3763" w:themeColor="accent1" w:themeShade="7F"/>
          <w:sz w:val="24"/>
          <w:szCs w:val="24"/>
          <w:lang w:eastAsia="zh-CN"/>
        </w:rPr>
        <w:t>School Toilet Stories</w:t>
      </w:r>
      <w:bookmarkEnd w:id="107"/>
    </w:p>
    <w:p w14:paraId="3C604770" w14:textId="77777777" w:rsidR="00BE2C1D" w:rsidRPr="00BE2C1D" w:rsidRDefault="00BE2C1D" w:rsidP="00BE2C1D">
      <w:pPr>
        <w:spacing w:line="360" w:lineRule="auto"/>
        <w:ind w:left="720"/>
        <w:jc w:val="both"/>
        <w:rPr>
          <w:sz w:val="20"/>
          <w:szCs w:val="20"/>
        </w:rPr>
      </w:pPr>
      <w:r w:rsidRPr="00BE2C1D">
        <w:rPr>
          <w:sz w:val="20"/>
          <w:szCs w:val="20"/>
        </w:rPr>
        <w:t xml:space="preserve">Toilets don’t just tell us where to go; they also tell us who we are, where we belong, and where we don’t belong (Rasmussen 2009: 440).  </w:t>
      </w:r>
    </w:p>
    <w:p w14:paraId="54A16A3B" w14:textId="77777777" w:rsidR="00BE2C1D" w:rsidRPr="00BE2C1D" w:rsidRDefault="00BE2C1D" w:rsidP="00BE2C1D">
      <w:pPr>
        <w:spacing w:line="360" w:lineRule="auto"/>
        <w:jc w:val="both"/>
      </w:pPr>
      <w:r w:rsidRPr="00BE2C1D">
        <w:t>As Rasmussen notes, toilets do not constitute a neutral space, but a space that produces and classifies subjects according to who they are and where they belong. This section looks into which toilets the disabled young people felt they belonged to as well as what the toilet they chose to use said about who they were.</w:t>
      </w:r>
    </w:p>
    <w:p w14:paraId="4F752B68" w14:textId="77777777" w:rsidR="00BE2C1D" w:rsidRPr="00BE2C1D" w:rsidRDefault="00BE2C1D" w:rsidP="00BE2C1D">
      <w:pPr>
        <w:spacing w:line="360" w:lineRule="auto"/>
        <w:jc w:val="both"/>
      </w:pPr>
      <w:r w:rsidRPr="00BE2C1D">
        <w:t xml:space="preserve">While there is some research on children’s and young people’s perceptions and experiences of school toilets (Lundblad and Hellstrom 2005; Lundblad et al. 2010), disabled children’s and young people’s experiences have been marginalised in this body of literature (Burton 2013; Slater et al. 2019). When their experiences have been acknowledged and discussed, it was either their parents/carers or teachers (Myers and Mullholland 2014) who spoke on behalf of them (Stephens et al. 2015). Moreover, the discussion of such experiences usually relied on medical, individualised lenses (Slater et al. 2018, 2019), through which disabled bodies were constructed as ‘problems’ (Milley and Cliff 2013; Slater et al. 2018).             </w:t>
      </w:r>
    </w:p>
    <w:p w14:paraId="5D0F03AE" w14:textId="77777777" w:rsidR="00BE2C1D" w:rsidRPr="00BE2C1D" w:rsidRDefault="00BE2C1D" w:rsidP="00BE2C1D">
      <w:pPr>
        <w:spacing w:line="360" w:lineRule="auto"/>
        <w:jc w:val="both"/>
      </w:pPr>
      <w:r w:rsidRPr="00BE2C1D">
        <w:t xml:space="preserve">The reason put forward by Slater et al. (2019: 420) for such a gap in the school toilet literature was ‘the ideological basis upon which most school toilet rests’. The ideology that has permeated school toilet research, according to the same authors, was developmentalism. Not only does developmental discourse marginalise and exclude disabled children from the school toilet research, but it also positions them as ‘Other’ by framing them as ‘problems’ and ‘exceptions’ (ibid: 414). This way, disabled children’s experiences of school toilets were deemed by school toilet researchers ‘exceptional’, justifying their marginalisation. Slater et al. (2018) noted the narrowness of school toilet </w:t>
      </w:r>
      <w:r w:rsidRPr="00BE2C1D">
        <w:lastRenderedPageBreak/>
        <w:t xml:space="preserve">research regarding the inclusion of different identities and forms of embodiment that shape the lived experience of the school toilet and called for attention to be paid on ‘who the design and use of toilets includes/excludes, whose identities it confirms or denies, and the implicit lessons that children learn through toilet’ (ibid: 953). For instance, Stephens et al. (2015) proposed that disabled children’s and young people’s experiences of school toilets differ both from the experiences of non-disabled children and of disabled adults. Therefore, I considered it crucial to listen to disabled young people themselves (both teenagers and adults) reflecting on their experiences of school toilets.   </w:t>
      </w:r>
    </w:p>
    <w:p w14:paraId="240D0E51" w14:textId="77777777" w:rsidR="00BE2C1D" w:rsidRPr="00BE2C1D" w:rsidRDefault="00BE2C1D" w:rsidP="00BE2C1D">
      <w:pPr>
        <w:spacing w:line="360" w:lineRule="auto"/>
        <w:jc w:val="both"/>
      </w:pPr>
      <w:r w:rsidRPr="00BE2C1D">
        <w:t>What this section aims to do, then, is to explore how the disabled young people navigated school toilets e.g. what toilets they used - gender binary or disabled - and for what reasons as well as how they experienced such a space. Following Rasmussen (2009: 440), I employ a post-structuralist analysis to consider ‘some of the ubiquitous assumptions that underpin school toilets and the implication these have for all members of the community on a daily basis.’</w:t>
      </w:r>
    </w:p>
    <w:p w14:paraId="23EB06AE" w14:textId="77777777" w:rsidR="00BE2C1D" w:rsidRPr="00BE2C1D" w:rsidRDefault="00BE2C1D" w:rsidP="00BE2C1D">
      <w:pPr>
        <w:keepNext/>
        <w:keepLines/>
        <w:spacing w:before="40" w:after="0" w:line="360" w:lineRule="auto"/>
        <w:jc w:val="both"/>
        <w:outlineLvl w:val="3"/>
        <w:rPr>
          <w:rFonts w:asciiTheme="majorHAnsi" w:eastAsiaTheme="majorEastAsia" w:hAnsiTheme="majorHAnsi" w:cstheme="majorBidi"/>
          <w:color w:val="2F5496" w:themeColor="accent1" w:themeShade="BF"/>
          <w:lang w:eastAsia="zh-CN"/>
        </w:rPr>
      </w:pPr>
      <w:r w:rsidRPr="00BE2C1D">
        <w:rPr>
          <w:rFonts w:asciiTheme="majorHAnsi" w:eastAsiaTheme="majorEastAsia" w:hAnsiTheme="majorHAnsi" w:cstheme="majorBidi"/>
          <w:color w:val="2F5496" w:themeColor="accent1" w:themeShade="BF"/>
          <w:lang w:eastAsia="zh-CN"/>
        </w:rPr>
        <w:t xml:space="preserve">Negotiating the School Toilet Choice: Toilets as Performative, Relational Spaces  </w:t>
      </w:r>
    </w:p>
    <w:p w14:paraId="0A6BFF1B" w14:textId="77777777" w:rsidR="00BE2C1D" w:rsidRPr="00BE2C1D" w:rsidRDefault="00BE2C1D" w:rsidP="00BE2C1D">
      <w:pPr>
        <w:spacing w:line="360" w:lineRule="auto"/>
        <w:jc w:val="both"/>
      </w:pPr>
      <w:r w:rsidRPr="00BE2C1D">
        <w:t>The participants’ responses to which toilets - disabled or gender binary - they opted to use varied, with some young people using exclusively the disabled toilet or the gender binary</w:t>
      </w:r>
      <w:r w:rsidRPr="00BE2C1D">
        <w:rPr>
          <w:vertAlign w:val="superscript"/>
        </w:rPr>
        <w:footnoteReference w:id="88"/>
      </w:r>
      <w:r w:rsidRPr="00BE2C1D">
        <w:t xml:space="preserve"> ones and others using (or having used) both. This part explores the rationale(s) behind such choices, considering how toilets functioned as a performative, relational space (Pickering 2010; Rassmussen 2009; Wiseman 2019) for dis/ability and gender.    </w:t>
      </w:r>
    </w:p>
    <w:p w14:paraId="6C2663A1" w14:textId="77777777" w:rsidR="00BE2C1D" w:rsidRPr="00BE2C1D" w:rsidRDefault="00BE2C1D" w:rsidP="00BE2C1D">
      <w:pPr>
        <w:spacing w:line="360" w:lineRule="auto"/>
        <w:jc w:val="both"/>
      </w:pPr>
      <w:r w:rsidRPr="00BE2C1D">
        <w:t xml:space="preserve">Some young people expressed their preference for disabled toilets, with the main reason put forward being their accessibility:  </w:t>
      </w:r>
    </w:p>
    <w:p w14:paraId="17C919DE" w14:textId="77777777" w:rsidR="00BE2C1D" w:rsidRPr="00BE2C1D" w:rsidRDefault="00BE2C1D" w:rsidP="00BE2C1D">
      <w:pPr>
        <w:spacing w:line="360" w:lineRule="auto"/>
        <w:jc w:val="both"/>
        <w:rPr>
          <w:rFonts w:cstheme="minorHAnsi"/>
          <w:sz w:val="20"/>
          <w:szCs w:val="20"/>
        </w:rPr>
      </w:pPr>
      <w:r w:rsidRPr="00BE2C1D">
        <w:rPr>
          <w:rFonts w:cstheme="minorHAnsi"/>
          <w:sz w:val="20"/>
          <w:szCs w:val="20"/>
        </w:rPr>
        <w:t xml:space="preserve"> </w:t>
      </w:r>
      <w:r w:rsidRPr="00BE2C1D">
        <w:rPr>
          <w:rFonts w:cstheme="minorHAnsi"/>
          <w:sz w:val="20"/>
          <w:szCs w:val="20"/>
        </w:rPr>
        <w:tab/>
        <w:t>A. And what about the toilets of the school?</w:t>
      </w:r>
    </w:p>
    <w:p w14:paraId="18F20F3A" w14:textId="77777777" w:rsidR="00BE2C1D" w:rsidRPr="00BE2C1D" w:rsidRDefault="00BE2C1D" w:rsidP="00BE2C1D">
      <w:pPr>
        <w:spacing w:line="360" w:lineRule="auto"/>
        <w:jc w:val="both"/>
        <w:rPr>
          <w:rFonts w:cstheme="minorHAnsi"/>
          <w:sz w:val="20"/>
          <w:szCs w:val="20"/>
        </w:rPr>
      </w:pPr>
      <w:r w:rsidRPr="00BE2C1D">
        <w:rPr>
          <w:rFonts w:cstheme="minorHAnsi"/>
          <w:sz w:val="20"/>
          <w:szCs w:val="20"/>
        </w:rPr>
        <w:t xml:space="preserve"> </w:t>
      </w:r>
      <w:r w:rsidRPr="00BE2C1D">
        <w:rPr>
          <w:rFonts w:cstheme="minorHAnsi"/>
          <w:sz w:val="20"/>
          <w:szCs w:val="20"/>
        </w:rPr>
        <w:tab/>
        <w:t>Harry: Em, they are, in what aspect? Like the sinks and everything?</w:t>
      </w:r>
    </w:p>
    <w:p w14:paraId="193ED2AE" w14:textId="77777777" w:rsidR="00BE2C1D" w:rsidRPr="00BE2C1D" w:rsidRDefault="00BE2C1D" w:rsidP="00BE2C1D">
      <w:pPr>
        <w:spacing w:line="360" w:lineRule="auto"/>
        <w:jc w:val="both"/>
        <w:rPr>
          <w:rFonts w:cstheme="minorHAnsi"/>
          <w:sz w:val="20"/>
          <w:szCs w:val="20"/>
        </w:rPr>
      </w:pPr>
      <w:r w:rsidRPr="00BE2C1D">
        <w:rPr>
          <w:rFonts w:cstheme="minorHAnsi"/>
          <w:sz w:val="20"/>
          <w:szCs w:val="20"/>
        </w:rPr>
        <w:t xml:space="preserve"> </w:t>
      </w:r>
      <w:r w:rsidRPr="00BE2C1D">
        <w:rPr>
          <w:rFonts w:cstheme="minorHAnsi"/>
          <w:sz w:val="20"/>
          <w:szCs w:val="20"/>
        </w:rPr>
        <w:tab/>
        <w:t>A. That’s right.</w:t>
      </w:r>
    </w:p>
    <w:p w14:paraId="1A250FF1" w14:textId="77777777" w:rsidR="00BE2C1D" w:rsidRPr="00BE2C1D" w:rsidRDefault="00BE2C1D" w:rsidP="00BE2C1D">
      <w:pPr>
        <w:spacing w:line="360" w:lineRule="auto"/>
        <w:ind w:left="720"/>
        <w:jc w:val="both"/>
        <w:rPr>
          <w:rFonts w:cstheme="minorHAnsi"/>
          <w:sz w:val="20"/>
          <w:szCs w:val="20"/>
        </w:rPr>
      </w:pPr>
      <w:r w:rsidRPr="00BE2C1D">
        <w:rPr>
          <w:rFonts w:cstheme="minorHAnsi"/>
          <w:sz w:val="20"/>
          <w:szCs w:val="20"/>
        </w:rPr>
        <w:t>Harry: Yeah. The sinks aren’t lowered, but I can sort of use them, cause they have, erm, disabled toilets as well, so I can use some quite easily obviously similarly with the main</w:t>
      </w:r>
      <w:r w:rsidRPr="00BE2C1D">
        <w:rPr>
          <w:rFonts w:cstheme="minorHAnsi"/>
          <w:vertAlign w:val="superscript"/>
        </w:rPr>
        <w:footnoteReference w:id="89"/>
      </w:r>
      <w:r w:rsidRPr="00BE2C1D">
        <w:rPr>
          <w:rFonts w:cstheme="minorHAnsi"/>
          <w:sz w:val="20"/>
          <w:szCs w:val="20"/>
        </w:rPr>
        <w:t xml:space="preserve"> toilets. The sinks, the sinks are just lowered any way, like I don’t really have any problem, I don’t have to climb up really in order to get to them. </w:t>
      </w:r>
    </w:p>
    <w:p w14:paraId="1AE142E8" w14:textId="77777777" w:rsidR="00BE2C1D" w:rsidRPr="00BE2C1D" w:rsidRDefault="00BE2C1D" w:rsidP="00BE2C1D">
      <w:pPr>
        <w:spacing w:line="360" w:lineRule="auto"/>
        <w:jc w:val="both"/>
        <w:rPr>
          <w:rFonts w:cstheme="minorHAnsi"/>
          <w:sz w:val="20"/>
          <w:szCs w:val="20"/>
        </w:rPr>
      </w:pPr>
      <w:r w:rsidRPr="00BE2C1D">
        <w:rPr>
          <w:rFonts w:cstheme="minorHAnsi"/>
          <w:sz w:val="20"/>
          <w:szCs w:val="20"/>
        </w:rPr>
        <w:t xml:space="preserve"> </w:t>
      </w:r>
      <w:r w:rsidRPr="00BE2C1D">
        <w:rPr>
          <w:rFonts w:cstheme="minorHAnsi"/>
          <w:sz w:val="20"/>
          <w:szCs w:val="20"/>
        </w:rPr>
        <w:tab/>
        <w:t>A. And you don’t mind using the disabled toilets if it’s for your comfort.</w:t>
      </w:r>
    </w:p>
    <w:p w14:paraId="4ED07427" w14:textId="77777777" w:rsidR="00BE2C1D" w:rsidRPr="00BE2C1D" w:rsidRDefault="00BE2C1D" w:rsidP="00BE2C1D">
      <w:pPr>
        <w:spacing w:line="360" w:lineRule="auto"/>
        <w:jc w:val="both"/>
        <w:rPr>
          <w:rFonts w:cstheme="minorHAnsi"/>
          <w:sz w:val="20"/>
          <w:szCs w:val="20"/>
        </w:rPr>
      </w:pPr>
      <w:r w:rsidRPr="00BE2C1D">
        <w:rPr>
          <w:rFonts w:cstheme="minorHAnsi"/>
          <w:sz w:val="20"/>
          <w:szCs w:val="20"/>
        </w:rPr>
        <w:lastRenderedPageBreak/>
        <w:t xml:space="preserve"> </w:t>
      </w:r>
      <w:r w:rsidRPr="00BE2C1D">
        <w:rPr>
          <w:rFonts w:cstheme="minorHAnsi"/>
          <w:sz w:val="20"/>
          <w:szCs w:val="20"/>
        </w:rPr>
        <w:tab/>
        <w:t>Harry: Oh no, I’d much rather use the disabled toilets, you know cubicle and stuff</w:t>
      </w:r>
      <w:r w:rsidRPr="00BE2C1D">
        <w:rPr>
          <w:rFonts w:cstheme="minorHAnsi"/>
          <w:i/>
          <w:iCs/>
          <w:sz w:val="20"/>
          <w:szCs w:val="20"/>
        </w:rPr>
        <w:t xml:space="preserve">. </w:t>
      </w:r>
    </w:p>
    <w:p w14:paraId="2E04ED03" w14:textId="77777777" w:rsidR="00BE2C1D" w:rsidRPr="00BE2C1D" w:rsidRDefault="00BE2C1D" w:rsidP="00BE2C1D">
      <w:pPr>
        <w:spacing w:line="360" w:lineRule="auto"/>
        <w:ind w:left="720"/>
        <w:jc w:val="both"/>
        <w:rPr>
          <w:sz w:val="20"/>
          <w:szCs w:val="20"/>
        </w:rPr>
      </w:pPr>
      <w:r w:rsidRPr="00BE2C1D">
        <w:rPr>
          <w:sz w:val="20"/>
          <w:szCs w:val="20"/>
        </w:rPr>
        <w:t>Louise: In my school they let me use the disabled toilets, cause obviously they were wheelchair height, which is perfect for us, like sinks were lower and they actually put steps into the toilets. The steps were permanently there, so the steps, so I just use the disabled toilets.</w:t>
      </w:r>
    </w:p>
    <w:p w14:paraId="0E0554B3" w14:textId="77777777" w:rsidR="00BE2C1D" w:rsidRPr="00BE2C1D" w:rsidRDefault="00BE2C1D" w:rsidP="00BE2C1D">
      <w:pPr>
        <w:spacing w:line="360" w:lineRule="auto"/>
        <w:jc w:val="both"/>
      </w:pPr>
      <w:r w:rsidRPr="00BE2C1D">
        <w:t>Harry compared the gender binary toilets, which required him to put extra labour to wash his hands due to the inaccessible sinks, with the disabled toilets, where the sinks were placed at a height that he could use them, without any extra effort. Similarly, Louise used the disabled toilet, as it accommodated her needs e.g. lower sinks and steps. Other studies (Myers 2015; Stephens et al. 2015) have also reported that disabled young people often used the disabled toilets, with one of the rationales being their accessibility. Louise described the disabled toilets as ‘perfect for us’, with the ‘us’ referring to people with RG, because they were designed for wheelchair users</w:t>
      </w:r>
      <w:r w:rsidRPr="00BE2C1D">
        <w:rPr>
          <w:vertAlign w:val="superscript"/>
        </w:rPr>
        <w:footnoteReference w:id="90"/>
      </w:r>
      <w:r w:rsidRPr="00BE2C1D">
        <w:t xml:space="preserve">. Such an argument has been contested by DS scholars (Kitchin and Law 2001), however, who argued that, because disabled toilets are designed for wheelchair users, they do not accommodate the needs of different impairments. A similar argument was put forward by Pritchard (2016), who explored the toilet experiences of people with RG, who did not always find disabled toilets accommodating. Nevertheless, as Louise mentioned, the mere provision of steps in the toilets resolved any height issues. Therefore, minor interventions, such as the existence of steps, could turn previously inaccessible spaces to accessible ones. As reported in Stephens et al. (2015) research, disabled young people held many ideas about how inaccessible spaces, including toilets, could turn into accessible, such as the inclusion of toilet grab bars, automatic sink taps etc. However, they were rarely listened to, ending up relying on the support of adults, such as TAs, or of their peers. </w:t>
      </w:r>
    </w:p>
    <w:p w14:paraId="7D8F0AE0" w14:textId="77777777" w:rsidR="00BE2C1D" w:rsidRPr="00BE2C1D" w:rsidRDefault="00BE2C1D" w:rsidP="00BE2C1D">
      <w:pPr>
        <w:spacing w:line="360" w:lineRule="auto"/>
        <w:jc w:val="both"/>
        <w:rPr>
          <w:rFonts w:cstheme="minorHAnsi"/>
        </w:rPr>
      </w:pPr>
      <w:r w:rsidRPr="00BE2C1D">
        <w:rPr>
          <w:rFonts w:cstheme="minorHAnsi"/>
        </w:rPr>
        <w:t xml:space="preserve">On the other hand, some young people expressed their preference for the gender-binary toilets: </w:t>
      </w:r>
    </w:p>
    <w:p w14:paraId="73A127E3" w14:textId="77777777" w:rsidR="00BE2C1D" w:rsidRPr="00BE2C1D" w:rsidRDefault="00BE2C1D" w:rsidP="00BE2C1D">
      <w:pPr>
        <w:spacing w:line="360" w:lineRule="auto"/>
        <w:ind w:left="720"/>
        <w:jc w:val="both"/>
        <w:rPr>
          <w:sz w:val="20"/>
          <w:szCs w:val="20"/>
        </w:rPr>
      </w:pPr>
      <w:r w:rsidRPr="00BE2C1D">
        <w:rPr>
          <w:sz w:val="20"/>
          <w:szCs w:val="20"/>
        </w:rPr>
        <w:t>John: For me it‘s just, I always go to the cubicle toilets, cause I can’t reach the urinals and everything. Like, other than that, it’s fine for me. Like I did get told that I could use the disabled toilets, but for me I’d rather not use the disabled toilet. I’d rather go like into just the normal toilets and kind of not being seen as different.</w:t>
      </w:r>
    </w:p>
    <w:p w14:paraId="08841AB1" w14:textId="77777777" w:rsidR="00BE2C1D" w:rsidRPr="00BE2C1D" w:rsidRDefault="00BE2C1D" w:rsidP="00BE2C1D">
      <w:pPr>
        <w:spacing w:line="360" w:lineRule="auto"/>
        <w:jc w:val="both"/>
        <w:rPr>
          <w:sz w:val="20"/>
          <w:szCs w:val="20"/>
        </w:rPr>
      </w:pPr>
      <w:r w:rsidRPr="00BE2C1D">
        <w:rPr>
          <w:sz w:val="20"/>
          <w:szCs w:val="20"/>
        </w:rPr>
        <w:t xml:space="preserve"> </w:t>
      </w:r>
      <w:r w:rsidRPr="00BE2C1D">
        <w:rPr>
          <w:sz w:val="20"/>
          <w:szCs w:val="20"/>
        </w:rPr>
        <w:tab/>
        <w:t xml:space="preserve">Mary: Yeah, I am the same with John. I just use the toilets, which are normal. </w:t>
      </w:r>
    </w:p>
    <w:p w14:paraId="4F00A914" w14:textId="77777777" w:rsidR="00BE2C1D" w:rsidRPr="00BE2C1D" w:rsidRDefault="00BE2C1D" w:rsidP="00BE2C1D">
      <w:pPr>
        <w:spacing w:line="360" w:lineRule="auto"/>
        <w:jc w:val="both"/>
      </w:pPr>
      <w:r w:rsidRPr="00BE2C1D">
        <w:t xml:space="preserve">While John was offered the choice to use the disabled toilets in his school, he opted to use the gender binary toilets instead. The reason for such a preference was that he did not want to be seen as ‘different’, a discourse also brought up in other studies with disabled young people (Myers 2015).  This view resonated with a perspective of toilets as a relational space (Pickering 2010) and as space for </w:t>
      </w:r>
      <w:r w:rsidRPr="00BE2C1D">
        <w:lastRenderedPageBreak/>
        <w:t xml:space="preserve">belonging/not belonging (Wiseman 2019) in terms of how toilets contributed to how we see one another. By entering a disabled toilet, one was immediately seen as the ‘disabled subject’, with all the meanings, connotations and implications this brought about in the context of school.  For instance, </w:t>
      </w:r>
      <w:r w:rsidRPr="00BE2C1D">
        <w:rPr>
          <w:rFonts w:cstheme="minorHAnsi"/>
        </w:rPr>
        <w:t xml:space="preserve">disabled toilets reproduced discourses of disabled people as genderless and asexual (Armstrong 1999; Liddiard and Slater, 2018; Slater et al. 2018). </w:t>
      </w:r>
      <w:r w:rsidRPr="00BE2C1D">
        <w:t>Both Mary and John referred to the gender binary toilets as the ‘normal’ ones in opposition to the disabled ones, meaning that they also bought into and perpetuated this binary between ‘normal’ and ‘disabled’ toilets, with the latter signifying some sort of difference</w:t>
      </w:r>
      <w:r w:rsidRPr="00BE2C1D">
        <w:rPr>
          <w:vertAlign w:val="superscript"/>
        </w:rPr>
        <w:footnoteReference w:id="91"/>
      </w:r>
      <w:r w:rsidRPr="00BE2C1D">
        <w:t xml:space="preserve">. Therefore, their use of the gender-binary toilets was a performative choice, which indicated their attempt to disassociate themselves from a disabled identity and to perform their gender. </w:t>
      </w:r>
    </w:p>
    <w:p w14:paraId="6763479E" w14:textId="77777777" w:rsidR="00BE2C1D" w:rsidRPr="00BE2C1D" w:rsidRDefault="00BE2C1D" w:rsidP="00BE2C1D">
      <w:pPr>
        <w:spacing w:line="360" w:lineRule="auto"/>
        <w:jc w:val="both"/>
      </w:pPr>
      <w:r w:rsidRPr="00BE2C1D">
        <w:rPr>
          <w:rFonts w:cstheme="minorHAnsi"/>
        </w:rPr>
        <w:t>Nevertheless, within the space of the gender binary toilets, John was limited to use the cubicle</w:t>
      </w:r>
      <w:r w:rsidRPr="00BE2C1D">
        <w:rPr>
          <w:rFonts w:cstheme="minorHAnsi"/>
          <w:vertAlign w:val="superscript"/>
        </w:rPr>
        <w:footnoteReference w:id="92"/>
      </w:r>
      <w:r w:rsidRPr="00BE2C1D">
        <w:rPr>
          <w:rFonts w:cstheme="minorHAnsi"/>
        </w:rPr>
        <w:t xml:space="preserve"> toilets, as the urinals were out of reach to him. As Pritchard (2016: 192) argued, children’s toilets were ‘designed and constructed for the average sized, able-bodied child’, and, hence, the urinals were staturised (Kruse 2002), meaning that they were designed for the average sized, able-bodied boy’. While urinals constitute a performative space for hegemonic masculinity (del Rosso 2011), cubicles have been linked with discourses of privacy and femininity (Slater et al. 2018). Therefore, John found himself in a liminal (toilet) space. On the one hand, he avoided performing disability by using the disabled toilets. On the other hand, </w:t>
      </w:r>
      <w:r w:rsidRPr="00BE2C1D">
        <w:t xml:space="preserve">he could only use the cubicles within the gender binary toilets, and, therefore, being classified as less-than-a-man. </w:t>
      </w:r>
    </w:p>
    <w:p w14:paraId="66BF730E" w14:textId="77777777" w:rsidR="00BE2C1D" w:rsidRPr="00BE2C1D" w:rsidRDefault="00BE2C1D" w:rsidP="00BE2C1D">
      <w:pPr>
        <w:spacing w:line="360" w:lineRule="auto"/>
        <w:jc w:val="both"/>
      </w:pPr>
      <w:r w:rsidRPr="00BE2C1D">
        <w:t xml:space="preserve">Meanwhile, there were some young people who initially used the disabled toilet, but, then, they shifted to the gender binary ones: </w:t>
      </w:r>
      <w:bookmarkStart w:id="108" w:name="_Hlk511395169"/>
    </w:p>
    <w:p w14:paraId="59ADC730" w14:textId="77777777" w:rsidR="00BE2C1D" w:rsidRPr="00BE2C1D" w:rsidRDefault="00BE2C1D" w:rsidP="00BE2C1D">
      <w:pPr>
        <w:spacing w:line="360" w:lineRule="auto"/>
        <w:jc w:val="both"/>
        <w:rPr>
          <w:sz w:val="20"/>
          <w:szCs w:val="20"/>
        </w:rPr>
      </w:pPr>
      <w:r w:rsidRPr="00BE2C1D">
        <w:rPr>
          <w:sz w:val="20"/>
          <w:szCs w:val="20"/>
        </w:rPr>
        <w:t xml:space="preserve"> </w:t>
      </w:r>
      <w:r w:rsidRPr="00BE2C1D">
        <w:rPr>
          <w:sz w:val="20"/>
          <w:szCs w:val="20"/>
        </w:rPr>
        <w:tab/>
        <w:t xml:space="preserve">A. And did you use the disabled toilets of the school or the gender binary toilets? </w:t>
      </w:r>
    </w:p>
    <w:p w14:paraId="7ABF53E0" w14:textId="77777777" w:rsidR="00BE2C1D" w:rsidRPr="00BE2C1D" w:rsidRDefault="00BE2C1D" w:rsidP="00BE2C1D">
      <w:pPr>
        <w:spacing w:line="360" w:lineRule="auto"/>
        <w:ind w:left="720"/>
        <w:jc w:val="both"/>
        <w:rPr>
          <w:sz w:val="20"/>
          <w:szCs w:val="20"/>
        </w:rPr>
      </w:pPr>
      <w:r w:rsidRPr="00BE2C1D">
        <w:rPr>
          <w:sz w:val="20"/>
          <w:szCs w:val="20"/>
        </w:rPr>
        <w:t xml:space="preserve">Patricia: Em, I think again when I first started and I was in a wheelchair, I used the disabled toilet, just because it‘d help me more with reaching that kind of thing. But once basically I got rid of the wheelchair, I just used the normal toilets, like anyone else really.    </w:t>
      </w:r>
    </w:p>
    <w:p w14:paraId="1901B79B" w14:textId="77777777" w:rsidR="00BE2C1D" w:rsidRPr="00BE2C1D" w:rsidRDefault="00BE2C1D" w:rsidP="00BE2C1D">
      <w:pPr>
        <w:spacing w:line="360" w:lineRule="auto"/>
        <w:jc w:val="both"/>
      </w:pPr>
      <w:r w:rsidRPr="00BE2C1D">
        <w:t xml:space="preserve">Patricia used the disabled toilet initially, because she was moving around with a wheelchair in the first year of her secondary school due to a surgery and it was the only accessible option. However, in her second year, she did not use the wheelchair anymore, which brought about a shift in her choice of toilets. Similar to the above stories, Patricia referred to the gender-binary toilets as the ‘normal’ ones, </w:t>
      </w:r>
      <w:r w:rsidRPr="00BE2C1D">
        <w:lastRenderedPageBreak/>
        <w:t xml:space="preserve">attempting to disassociate herself from disability and desiring to be seen like everyone else. When I prompted Patricia to explain further what triggered this shift, she shared: </w:t>
      </w:r>
    </w:p>
    <w:p w14:paraId="71ED7944" w14:textId="77777777" w:rsidR="00BE2C1D" w:rsidRPr="00BE2C1D" w:rsidRDefault="00BE2C1D" w:rsidP="00BE2C1D">
      <w:pPr>
        <w:spacing w:line="360" w:lineRule="auto"/>
        <w:ind w:left="720"/>
        <w:jc w:val="both"/>
        <w:rPr>
          <w:sz w:val="20"/>
          <w:szCs w:val="20"/>
        </w:rPr>
      </w:pPr>
      <w:r w:rsidRPr="00BE2C1D">
        <w:rPr>
          <w:sz w:val="20"/>
          <w:szCs w:val="20"/>
        </w:rPr>
        <w:t>Patricia: I think again it was just like independence really. I just thought I just wanna use the one that all my other friends use, the normal toilet, do you know what I mean? Em, and a bit that, like girls always go to the toilet together, so yeah, yeah. So it was just kind of like where the gossip would happen and I just wanted to be part of it more than anything else, so. […]You just want to be part of it all really kind of thing, so yeah. So it was definitely quite good to be in there. And I think also, do you know what I mean, when you kind of get into make up and stuff like that you wanna do your make up in the toilets and things like that.</w:t>
      </w:r>
    </w:p>
    <w:p w14:paraId="3E521C3D" w14:textId="77777777" w:rsidR="00BE2C1D" w:rsidRPr="00BE2C1D" w:rsidRDefault="00BE2C1D" w:rsidP="00BE2C1D">
      <w:pPr>
        <w:spacing w:line="360" w:lineRule="auto"/>
        <w:jc w:val="both"/>
      </w:pPr>
      <w:r w:rsidRPr="00BE2C1D">
        <w:t xml:space="preserve">The first reason Patricia put forward to justify her choice of toilet was independence, which was embodied by her friends and was performed through the use of the ‘normal’ toilet. The independent, self-contained toilet user is also the desired one in the school discourse (Liddiard and Slater 2018). Secondly, Patricia’s story indicated toilets as both social spaces (Burton 2013), where other activities than just urinating take place, and gendered spaces (Ingrey 2012), where the female subject was produced by performing gender-related activities, such as gossiping or doing their make-up (Rassmussen 2009). Unlike John, who could not use the urinals in the male toilets, which have been linked to the performance of hegemonic masculinity (del Rosso 2011), Patricia performed femininity in the female toilets, which gave her a sense of belonging (Wiseman 2019). Nevertheless, such gender performance was also enabled by an accessible environment:   </w:t>
      </w:r>
    </w:p>
    <w:p w14:paraId="6F1237C9" w14:textId="77777777" w:rsidR="00BE2C1D" w:rsidRPr="00BE2C1D" w:rsidRDefault="00BE2C1D" w:rsidP="00BE2C1D">
      <w:pPr>
        <w:spacing w:line="360" w:lineRule="auto"/>
        <w:jc w:val="both"/>
        <w:rPr>
          <w:sz w:val="20"/>
          <w:szCs w:val="20"/>
        </w:rPr>
      </w:pPr>
      <w:r w:rsidRPr="00BE2C1D">
        <w:rPr>
          <w:sz w:val="20"/>
          <w:szCs w:val="20"/>
        </w:rPr>
        <w:t xml:space="preserve"> </w:t>
      </w:r>
      <w:r w:rsidRPr="00BE2C1D">
        <w:rPr>
          <w:sz w:val="20"/>
          <w:szCs w:val="20"/>
        </w:rPr>
        <w:tab/>
        <w:t>A. And were the girls’ toilets accessible in terms of reaching the sink and the soap and stuff like that?</w:t>
      </w:r>
    </w:p>
    <w:p w14:paraId="28F2FBE1" w14:textId="77777777" w:rsidR="00BE2C1D" w:rsidRPr="00BE2C1D" w:rsidRDefault="00BE2C1D" w:rsidP="00BE2C1D">
      <w:pPr>
        <w:spacing w:line="360" w:lineRule="auto"/>
        <w:ind w:left="720"/>
        <w:jc w:val="both"/>
        <w:rPr>
          <w:sz w:val="20"/>
          <w:szCs w:val="20"/>
        </w:rPr>
      </w:pPr>
      <w:r w:rsidRPr="00BE2C1D">
        <w:rPr>
          <w:sz w:val="20"/>
          <w:szCs w:val="20"/>
        </w:rPr>
        <w:t>Patricia: Yeah, they were actually quite good. I could reach it quite well. Em, it wasn’t like particularly low, but it was low enough for me to reach. Em, and I kind of don’t usually struggle with normal size toilets anyway. If it was too high up, then I’d probably struggle, but it’s just like everyday toilets I can kind of do. Em, but yeah, it wasn’t much of an issue really.</w:t>
      </w:r>
    </w:p>
    <w:p w14:paraId="0CB5A2E9" w14:textId="77777777" w:rsidR="00BE2C1D" w:rsidRPr="00BE2C1D" w:rsidRDefault="00BE2C1D" w:rsidP="00BE2C1D">
      <w:pPr>
        <w:spacing w:line="360" w:lineRule="auto"/>
        <w:jc w:val="both"/>
      </w:pPr>
      <w:r w:rsidRPr="00BE2C1D">
        <w:t xml:space="preserve">Angela was another young person who used the disabled toilets in the beginning, but she then shifted to using the gender-binary ones. However, the reasons for this shift differed from Patricia’s: </w:t>
      </w:r>
    </w:p>
    <w:p w14:paraId="2F3772A7" w14:textId="77777777" w:rsidR="00BE2C1D" w:rsidRPr="00BE2C1D" w:rsidRDefault="00BE2C1D" w:rsidP="00BE2C1D">
      <w:pPr>
        <w:spacing w:line="360" w:lineRule="auto"/>
        <w:ind w:left="720"/>
        <w:jc w:val="both"/>
        <w:rPr>
          <w:sz w:val="20"/>
          <w:szCs w:val="20"/>
        </w:rPr>
      </w:pPr>
      <w:r w:rsidRPr="00BE2C1D">
        <w:rPr>
          <w:sz w:val="20"/>
          <w:szCs w:val="20"/>
        </w:rPr>
        <w:t xml:space="preserve">Angela. Eh, I only used the disabled toilets very rarely, but now the teachers have started locking them, so you need the key to get in. So, it’s kind of annoying. Cause say on the very top floor where the ICT rooms are, there’s only one toilet up there, and then you have to go down all the stairs and go down to the corridors to go to toilet. So I was like oh, yeah, I’ll just go to this one. And then, you needed the key. </w:t>
      </w:r>
    </w:p>
    <w:p w14:paraId="7D36385F" w14:textId="77777777" w:rsidR="00BE2C1D" w:rsidRPr="00BE2C1D" w:rsidRDefault="00BE2C1D" w:rsidP="00BE2C1D">
      <w:pPr>
        <w:spacing w:line="360" w:lineRule="auto"/>
        <w:jc w:val="both"/>
      </w:pPr>
      <w:r w:rsidRPr="00BE2C1D">
        <w:t xml:space="preserve">Among the reasons that prevented Angela from using the disabled toilets were their location and the fact that she had to be provided with the key to unlock them. Teachers acted as the gatekeepers to the disabled toilets, as they were the ones who held the key to them. In Stephens et al.’s (2015) </w:t>
      </w:r>
      <w:r w:rsidRPr="00BE2C1D">
        <w:lastRenderedPageBreak/>
        <w:t xml:space="preserve">research, disabled young people also referred to having to get a key from an administrator, which increased their stress. Moreover, as Wiseman (2019: 799) argued:  </w:t>
      </w:r>
    </w:p>
    <w:p w14:paraId="241D8E33" w14:textId="77777777" w:rsidR="00BE2C1D" w:rsidRPr="00BE2C1D" w:rsidRDefault="00BE2C1D" w:rsidP="00BE2C1D">
      <w:pPr>
        <w:spacing w:line="360" w:lineRule="auto"/>
        <w:ind w:left="720"/>
        <w:jc w:val="both"/>
        <w:rPr>
          <w:sz w:val="20"/>
          <w:szCs w:val="20"/>
        </w:rPr>
      </w:pPr>
      <w:r w:rsidRPr="00BE2C1D">
        <w:rPr>
          <w:sz w:val="20"/>
          <w:szCs w:val="20"/>
        </w:rPr>
        <w:t>A toilet, under surveillance, locked and monitored, subjects disabled people to the indignity of unnecessary help, to the willingness and/or priorities of anonymous, non-disabled others. What is a key or a locked toilet door if not a clear sign of being ‘locked out’, a clear sign of unwelcomeness.</w:t>
      </w:r>
    </w:p>
    <w:p w14:paraId="1CE4ED68" w14:textId="77777777" w:rsidR="00BE2C1D" w:rsidRPr="00BE2C1D" w:rsidRDefault="00BE2C1D" w:rsidP="00BE2C1D">
      <w:pPr>
        <w:spacing w:line="360" w:lineRule="auto"/>
        <w:jc w:val="both"/>
      </w:pPr>
      <w:r w:rsidRPr="00BE2C1D">
        <w:t>The location of the toilet and the need for access to a key gave to Angela mixed messages: on the one hand, disability is welcomed, hence the accessible toilet facilities, and, on the other hand, disability is under surveillance and control, as access to the disabled toilets is mediated by the non-disabled.</w:t>
      </w:r>
    </w:p>
    <w:p w14:paraId="15746F13" w14:textId="77777777" w:rsidR="00BE2C1D" w:rsidRPr="00BE2C1D" w:rsidRDefault="00BE2C1D" w:rsidP="00BE2C1D">
      <w:pPr>
        <w:spacing w:line="360" w:lineRule="auto"/>
        <w:jc w:val="both"/>
      </w:pPr>
      <w:r w:rsidRPr="00BE2C1D">
        <w:t xml:space="preserve">When prompted more, Angela explained why she avoided the disabled toilets: </w:t>
      </w:r>
    </w:p>
    <w:p w14:paraId="2ED5D989" w14:textId="77777777" w:rsidR="00BE2C1D" w:rsidRPr="00BE2C1D" w:rsidRDefault="00BE2C1D" w:rsidP="00BE2C1D">
      <w:pPr>
        <w:spacing w:line="360" w:lineRule="auto"/>
        <w:ind w:left="720"/>
        <w:jc w:val="both"/>
        <w:rPr>
          <w:sz w:val="20"/>
          <w:szCs w:val="20"/>
        </w:rPr>
      </w:pPr>
      <w:r w:rsidRPr="00BE2C1D">
        <w:rPr>
          <w:sz w:val="20"/>
          <w:szCs w:val="20"/>
        </w:rPr>
        <w:t xml:space="preserve">Angela: Em, it was cause they, I used them once or twice, but I kind of felt awkward, just like the one door and just going in, and then like, cause they were like open, they didn’t have a separate corridor for them. (A. Okay, I see what you mean). So the teachers gave me looks and stuff like that. ‘Are you supposed to be in the room?’ Yes. </w:t>
      </w:r>
    </w:p>
    <w:p w14:paraId="5D0727FF" w14:textId="77777777" w:rsidR="00BE2C1D" w:rsidRPr="00BE2C1D" w:rsidRDefault="00BE2C1D" w:rsidP="00BE2C1D">
      <w:pPr>
        <w:spacing w:line="360" w:lineRule="auto"/>
        <w:ind w:left="720"/>
        <w:jc w:val="both"/>
        <w:rPr>
          <w:sz w:val="20"/>
          <w:szCs w:val="20"/>
        </w:rPr>
      </w:pPr>
      <w:r w:rsidRPr="00BE2C1D">
        <w:rPr>
          <w:sz w:val="20"/>
          <w:szCs w:val="20"/>
        </w:rPr>
        <w:t xml:space="preserve">A. And were the other toilets accessible, was everything at a level of reaching? The sink and stuff like that? </w:t>
      </w:r>
    </w:p>
    <w:p w14:paraId="7696498F" w14:textId="77777777" w:rsidR="00BE2C1D" w:rsidRPr="00BE2C1D" w:rsidRDefault="00BE2C1D" w:rsidP="00BE2C1D">
      <w:pPr>
        <w:spacing w:line="360" w:lineRule="auto"/>
        <w:ind w:left="720"/>
        <w:jc w:val="both"/>
        <w:rPr>
          <w:sz w:val="20"/>
          <w:szCs w:val="20"/>
        </w:rPr>
      </w:pPr>
      <w:r w:rsidRPr="00BE2C1D">
        <w:rPr>
          <w:sz w:val="20"/>
          <w:szCs w:val="20"/>
        </w:rPr>
        <w:t xml:space="preserve">Angela: Yeah, they were all accessible, just sometimes you had to climb on the cabinets to get to the soaps. </w:t>
      </w:r>
    </w:p>
    <w:p w14:paraId="7E90F0AD" w14:textId="77777777" w:rsidR="00BE2C1D" w:rsidRPr="00BE2C1D" w:rsidRDefault="00BE2C1D" w:rsidP="00BE2C1D">
      <w:pPr>
        <w:spacing w:line="360" w:lineRule="auto"/>
        <w:jc w:val="both"/>
      </w:pPr>
      <w:r w:rsidRPr="00BE2C1D">
        <w:t xml:space="preserve">Not only Angela’s access to the disabled toilet required her to have access to the key (which meant that the person who held the key should also be available), but she also had to deal with teachers’ mistrust towards her, who questioned her right to be there. This feeling of mistrust was also raised as a reason why young people avoided using school toilets in Lundblad et al.’s (2010) research. The use of toilets was regulated by teachers, who had devised and imposed on the young people the rules about access to toilets. All the above reasons led Angela to start using the gender-binary toilets, which required her to put some extra labour to perform basic activities, such as washing her hands. </w:t>
      </w:r>
    </w:p>
    <w:bookmarkEnd w:id="108"/>
    <w:p w14:paraId="196E1543" w14:textId="77777777" w:rsidR="00BE2C1D" w:rsidRPr="00BE2C1D" w:rsidRDefault="00BE2C1D" w:rsidP="00BE2C1D">
      <w:pPr>
        <w:spacing w:line="360" w:lineRule="auto"/>
        <w:jc w:val="both"/>
      </w:pPr>
      <w:r w:rsidRPr="00BE2C1D">
        <w:t xml:space="preserve">In a summary, the above stories explored which school toilets the disabled young people chose to use and the reasons behind such a choice. </w:t>
      </w:r>
      <w:bookmarkStart w:id="109" w:name="_Hlk38907932"/>
      <w:r w:rsidRPr="00BE2C1D">
        <w:t>These stories indicated that such a choice was a complicated one and depended on a number of factors, including - but not limited to - the in/accessibility of disabled and gender-binary toilets, the social meanings attached to each of them e.g. disability equals difference, and previous experiences of them, such as mediated access and dealing with mistrust</w:t>
      </w:r>
      <w:bookmarkEnd w:id="109"/>
      <w:r w:rsidRPr="00BE2C1D">
        <w:t xml:space="preserve">. These stories demonstrated that the school toilet choice went beyond the issue of accessibility, with some disabled young people being more concerned about the social meanings attached to using a disabled toilet. These young people preferred using not fully accessible toilets, which required them </w:t>
      </w:r>
      <w:r w:rsidRPr="00BE2C1D">
        <w:lastRenderedPageBreak/>
        <w:t xml:space="preserve">to put some extra labour, to being seen as different for using the disabled toilets. However, gender binary toilets could also be experienced as a ‘liminal’ space, as male participants, for instance, could only use the cubicles and not the urinals.  </w:t>
      </w:r>
    </w:p>
    <w:p w14:paraId="2F325AEC" w14:textId="77777777" w:rsidR="00BE2C1D" w:rsidRPr="00BE2C1D" w:rsidRDefault="00BE2C1D" w:rsidP="00BE2C1D">
      <w:pPr>
        <w:spacing w:line="360" w:lineRule="auto"/>
        <w:jc w:val="both"/>
      </w:pPr>
      <w:r w:rsidRPr="00BE2C1D">
        <w:t xml:space="preserve">Once more, these stories were indicative of the participants’ geographic maturity (Stephens et al. 2015), whose choice of toilet was the outcome of thorough consideration of toilets’ affordances (not only the physical ones in terms of accessibility, but also the social ones in relation to their dis/abled, gendered identities). Finally, toilets were understood and discussed as performative, relational spaces, focusing on the performance of disability and gender. They were also pedagogical spaces, in terms of constituting a ‘teaching’ and ‘learning’ space of who belongs where. In the next section, the focus is on the equipment participants used to navigate ableist spaces, such as the school classroom.    </w:t>
      </w:r>
    </w:p>
    <w:p w14:paraId="39D6D053" w14:textId="77777777" w:rsidR="00BE2C1D" w:rsidRPr="00BE2C1D" w:rsidRDefault="00BE2C1D" w:rsidP="00BE2C1D">
      <w:pPr>
        <w:keepNext/>
        <w:keepLines/>
        <w:spacing w:before="40" w:after="0" w:line="360" w:lineRule="auto"/>
        <w:outlineLvl w:val="1"/>
        <w:rPr>
          <w:rFonts w:asciiTheme="majorHAnsi" w:eastAsiaTheme="majorEastAsia" w:hAnsiTheme="majorHAnsi" w:cstheme="majorBidi"/>
          <w:color w:val="2F5496" w:themeColor="accent1" w:themeShade="BF"/>
          <w:sz w:val="26"/>
          <w:szCs w:val="26"/>
          <w:lang w:eastAsia="zh-CN"/>
        </w:rPr>
      </w:pPr>
      <w:bookmarkStart w:id="110" w:name="_Toc39585246"/>
      <w:r w:rsidRPr="00BE2C1D">
        <w:rPr>
          <w:rFonts w:asciiTheme="majorHAnsi" w:eastAsiaTheme="majorEastAsia" w:hAnsiTheme="majorHAnsi" w:cstheme="majorBidi"/>
          <w:color w:val="2F5496" w:themeColor="accent1" w:themeShade="BF"/>
          <w:sz w:val="26"/>
          <w:szCs w:val="26"/>
          <w:lang w:eastAsia="zh-CN"/>
        </w:rPr>
        <w:t>‘Special’ Chairs: An Assemblage Analysis</w:t>
      </w:r>
      <w:bookmarkEnd w:id="110"/>
      <w:r w:rsidRPr="00BE2C1D">
        <w:rPr>
          <w:rFonts w:asciiTheme="majorHAnsi" w:eastAsiaTheme="majorEastAsia" w:hAnsiTheme="majorHAnsi" w:cstheme="majorBidi"/>
          <w:color w:val="2F5496" w:themeColor="accent1" w:themeShade="BF"/>
          <w:sz w:val="26"/>
          <w:szCs w:val="26"/>
          <w:lang w:eastAsia="zh-CN"/>
        </w:rPr>
        <w:t xml:space="preserve">  </w:t>
      </w:r>
    </w:p>
    <w:p w14:paraId="0102C9A9" w14:textId="77777777" w:rsidR="00BE2C1D" w:rsidRPr="00BE2C1D" w:rsidRDefault="00BE2C1D" w:rsidP="00BE2C1D">
      <w:pPr>
        <w:spacing w:line="360" w:lineRule="auto"/>
        <w:ind w:left="720"/>
        <w:jc w:val="both"/>
        <w:rPr>
          <w:sz w:val="20"/>
          <w:szCs w:val="20"/>
        </w:rPr>
      </w:pPr>
      <w:r w:rsidRPr="00BE2C1D">
        <w:rPr>
          <w:sz w:val="20"/>
          <w:szCs w:val="20"/>
        </w:rPr>
        <w:t>Examine any doorway, window, toilet, chair or desk…and you will find the outline of the body meant to use it (Hamraie 2017: 19).</w:t>
      </w:r>
    </w:p>
    <w:p w14:paraId="62FF1323" w14:textId="77777777" w:rsidR="00BE2C1D" w:rsidRPr="00BE2C1D" w:rsidRDefault="00BE2C1D" w:rsidP="00BE2C1D">
      <w:pPr>
        <w:spacing w:line="360" w:lineRule="auto"/>
        <w:jc w:val="both"/>
      </w:pPr>
      <w:r w:rsidRPr="00BE2C1D">
        <w:t>This section looks at the provision of specific equipment, such as a special chair, to facilitate the physical needs of the participants in the school classroom e.g. maintaining a good posture whilst sitting on a chair. In particular, the themes discussed here revolve around the politics of getting access to such equipment, the participants’ views and feelings about it and their peers’ reactions to it.</w:t>
      </w:r>
    </w:p>
    <w:p w14:paraId="6E8E0F23" w14:textId="77777777" w:rsidR="00BE2C1D" w:rsidRPr="00BE2C1D" w:rsidRDefault="00BE2C1D" w:rsidP="00BE2C1D">
      <w:pPr>
        <w:spacing w:line="360" w:lineRule="auto"/>
        <w:jc w:val="both"/>
      </w:pPr>
      <w:r w:rsidRPr="00BE2C1D">
        <w:t>The need for such equipment in schools lies on the fact that school environments (buildings, furniture etc.) are designed with a certain body type in mind, which is embodied by the normatively developing child (Burman 2017; Hamraie 2017; Imrie 2003). The design of space is not a neutral choice, but it is instrumental to the hierarchical division of bodies and to their conformity and normalisation, as Foucault’s concept of ‘spatialisation’</w:t>
      </w:r>
      <w:r w:rsidRPr="00BE2C1D">
        <w:rPr>
          <w:vertAlign w:val="superscript"/>
        </w:rPr>
        <w:footnoteReference w:id="93"/>
      </w:r>
      <w:r w:rsidRPr="00BE2C1D">
        <w:t xml:space="preserve"> implies (Foucault 1977). Cranz (2000) also spoke of (school) chairs in particular as a means of discipline, regulating the movement of the bodies. When a body which does not fit into this space makes an appearance, it appears as a problem to which a solution needs to be sought (Michalko 2009; Titckosky 2011). For instance, anthropometric studies from around the world (Australia, Saudi, Hong Kong, Brazil, Gaza, Finland) explored whether school furniture e.g. chairs and desks, matched with the anthropometrics of schoolchildren  and they  found that there was a mismatch between the two (Agha 2010; Baharampour et al. 2013; Chung and Wong 2007; Milanese and Grimmer 2004; Ramadan 2011; Saarni et al. 2007; Savanur et al. 2007). The studies called for the establishment of new standards, which should be more flexible (Castellucci et al. 2015). Height was most often brought up as one of the main areas of mismatch, indicating how </w:t>
      </w:r>
      <w:r w:rsidRPr="00BE2C1D">
        <w:lastRenderedPageBreak/>
        <w:t xml:space="preserve">predetermined developmental norms are materialised in school furniture, leaving out of the design process those who did not embody them.   </w:t>
      </w:r>
    </w:p>
    <w:p w14:paraId="5AE7ACD2" w14:textId="77777777" w:rsidR="00BE2C1D" w:rsidRPr="00BE2C1D" w:rsidRDefault="00BE2C1D" w:rsidP="00BE2C1D">
      <w:pPr>
        <w:spacing w:line="360" w:lineRule="auto"/>
        <w:jc w:val="both"/>
      </w:pPr>
      <w:r w:rsidRPr="00BE2C1D">
        <w:t xml:space="preserve">While such standards have not been introduced yet, physical adaptations and aids function as such a solution, often added ad hoc to ‘include’ the body that was not welcomed into these spaces before (Stephens et al. 2015). Ramps, lifts, special chairs and other forms of equipment are added as a way to include the previously ‘unwelcomed’, excluded bodies (Slee and Allan 2001). The decisions about what adaptations should be made are adult-centred, with different professionals determining what would be the most suitable adaptations for disabled young people, who are left out of the decision-making process (Byrne and Kelly 2015; Rabbie et al. 2005). However, the most suitable people to evaluate such adaptations are those who use it, in this case disabled young people themselves. As Stephens et al. (2015: 213) proposed:  </w:t>
      </w:r>
    </w:p>
    <w:p w14:paraId="04DDDEEA" w14:textId="77777777" w:rsidR="00BE2C1D" w:rsidRPr="00BE2C1D" w:rsidRDefault="00BE2C1D" w:rsidP="00BE2C1D">
      <w:pPr>
        <w:spacing w:line="360" w:lineRule="auto"/>
        <w:ind w:left="720"/>
        <w:jc w:val="both"/>
        <w:rPr>
          <w:sz w:val="20"/>
          <w:szCs w:val="20"/>
        </w:rPr>
      </w:pPr>
      <w:r w:rsidRPr="00BE2C1D">
        <w:rPr>
          <w:sz w:val="20"/>
          <w:szCs w:val="20"/>
        </w:rPr>
        <w:t xml:space="preserve">We can’t evaluate an adaptation on its own terms, separate from built form and sedimented meanings in varied context […] Adaptations are meant to increase possibilities for action, connection and involvement. But their efficacy cannot be predetermined. Improving the child’s environment must account for both the built form and its negotiated social meanings - considering the subjective experiences of the child, through consultation with children.  </w:t>
      </w:r>
    </w:p>
    <w:p w14:paraId="4EBD7CB1" w14:textId="77777777" w:rsidR="00BE2C1D" w:rsidRPr="00BE2C1D" w:rsidRDefault="00BE2C1D" w:rsidP="00BE2C1D">
      <w:pPr>
        <w:spacing w:line="360" w:lineRule="auto"/>
        <w:jc w:val="both"/>
      </w:pPr>
      <w:r w:rsidRPr="00BE2C1D">
        <w:t xml:space="preserve">In their research, Stephens et al. (2015) used an assemblage analysis to consider the different components (bodies, built forms, social meaning) that shaped the lived experience of disabled young people of such aids. According to the same authors,  </w:t>
      </w:r>
    </w:p>
    <w:p w14:paraId="5665694B" w14:textId="77777777" w:rsidR="00BE2C1D" w:rsidRPr="00BE2C1D" w:rsidRDefault="00BE2C1D" w:rsidP="00BE2C1D">
      <w:pPr>
        <w:spacing w:line="360" w:lineRule="auto"/>
        <w:ind w:left="720"/>
        <w:jc w:val="both"/>
        <w:rPr>
          <w:sz w:val="20"/>
          <w:szCs w:val="20"/>
        </w:rPr>
      </w:pPr>
      <w:r w:rsidRPr="00BE2C1D">
        <w:rPr>
          <w:sz w:val="20"/>
          <w:szCs w:val="20"/>
        </w:rPr>
        <w:t>This focus on assemblages allows that different combinations of bodies and environments surface different qualities of human identity and experience, in ways that are negotiated in situ, not predetermined, nor rigidly tied to a priori distinctions between public and private. For our purposes, the assemblage brings together these components in a way that may enhance or constrain the child’s capacity to act (Ruddick, 2012), and in which the child as a ‘mature geographic subject’ negotiates various strategies (ibid: 200).</w:t>
      </w:r>
    </w:p>
    <w:p w14:paraId="0B8537AB" w14:textId="77777777" w:rsidR="00BE2C1D" w:rsidRPr="00BE2C1D" w:rsidRDefault="00BE2C1D" w:rsidP="00BE2C1D">
      <w:pPr>
        <w:spacing w:line="360" w:lineRule="auto"/>
        <w:jc w:val="both"/>
      </w:pPr>
      <w:r w:rsidRPr="00BE2C1D">
        <w:t>Not only does such an approach recognise young people’s agency on how they experienced and negotiated such adaptations, but it also paid attention to the role different factors played in how such adaptations were experienced. For instance, Stephens et al. (ibid: 208) discussed how,</w:t>
      </w:r>
    </w:p>
    <w:p w14:paraId="10B5514C" w14:textId="77777777" w:rsidR="00BE2C1D" w:rsidRPr="00BE2C1D" w:rsidRDefault="00BE2C1D" w:rsidP="00BE2C1D">
      <w:pPr>
        <w:spacing w:line="360" w:lineRule="auto"/>
        <w:ind w:left="720"/>
        <w:jc w:val="both"/>
      </w:pPr>
      <w:r w:rsidRPr="00BE2C1D">
        <w:rPr>
          <w:sz w:val="20"/>
          <w:szCs w:val="20"/>
        </w:rPr>
        <w:t>In the assemblage of child-body-classroom-meaning, the desks designed specifically to increase children’s physical accessibility in fact provoked sadness or frustration, ultimately constraining children’s freedom and possibilities. The classroom assemblage, sedimented to signal the uniformity of a ‘normal subject’, constrained disabled children, who felt singled out by the different appearance of their desks, lessening their overall capacity in that environment</w:t>
      </w:r>
      <w:r w:rsidRPr="00BE2C1D">
        <w:t xml:space="preserve">. </w:t>
      </w:r>
    </w:p>
    <w:p w14:paraId="16FC909A" w14:textId="77777777" w:rsidR="00BE2C1D" w:rsidRPr="00BE2C1D" w:rsidRDefault="00BE2C1D" w:rsidP="00BE2C1D">
      <w:pPr>
        <w:spacing w:line="360" w:lineRule="auto"/>
        <w:jc w:val="both"/>
      </w:pPr>
      <w:r w:rsidRPr="00BE2C1D">
        <w:lastRenderedPageBreak/>
        <w:t xml:space="preserve">In this section I build on and extend this assemblage analysis (considering also the work of Feeley 2019; Gibson et al. 2017), considering the assemblage of access, that is how disabled young people were plugged into various interconnection in the performance of access.  Then, I turn the attention to how the young people negotiated such equipment in the assemblage of access, focusing on the benefits and drawbacks they identified in using a special chair. Lastly, I discuss peers’ reactions and relationality within the assemblage of access, with the focus being on their peers’ reactions to the equipment and how these affected the participants feelings towards it.  </w:t>
      </w:r>
    </w:p>
    <w:p w14:paraId="72441C10" w14:textId="77777777" w:rsidR="00BE2C1D" w:rsidRPr="00BE2C1D" w:rsidRDefault="00BE2C1D" w:rsidP="00BE2C1D">
      <w:pPr>
        <w:keepNext/>
        <w:keepLines/>
        <w:spacing w:before="40" w:after="0" w:line="360" w:lineRule="auto"/>
        <w:outlineLvl w:val="2"/>
        <w:rPr>
          <w:rFonts w:asciiTheme="majorHAnsi" w:eastAsiaTheme="majorEastAsia" w:hAnsiTheme="majorHAnsi" w:cstheme="majorBidi"/>
          <w:color w:val="1F3763" w:themeColor="accent1" w:themeShade="7F"/>
          <w:sz w:val="24"/>
          <w:szCs w:val="24"/>
          <w:lang w:eastAsia="zh-CN"/>
        </w:rPr>
      </w:pPr>
      <w:bookmarkStart w:id="111" w:name="_Toc39585247"/>
      <w:r w:rsidRPr="00BE2C1D">
        <w:rPr>
          <w:rFonts w:asciiTheme="majorHAnsi" w:eastAsiaTheme="majorEastAsia" w:hAnsiTheme="majorHAnsi" w:cstheme="majorBidi"/>
          <w:color w:val="1F3763" w:themeColor="accent1" w:themeShade="7F"/>
          <w:sz w:val="24"/>
          <w:szCs w:val="24"/>
          <w:lang w:eastAsia="zh-CN"/>
        </w:rPr>
        <w:t>The Assemblage of Access</w:t>
      </w:r>
      <w:bookmarkEnd w:id="111"/>
    </w:p>
    <w:p w14:paraId="39F593E4" w14:textId="77777777" w:rsidR="00BE2C1D" w:rsidRPr="00BE2C1D" w:rsidRDefault="00BE2C1D" w:rsidP="00BE2C1D">
      <w:pPr>
        <w:spacing w:line="360" w:lineRule="auto"/>
        <w:jc w:val="both"/>
      </w:pPr>
      <w:r w:rsidRPr="00BE2C1D">
        <w:t xml:space="preserve">Physical adaptations are regarded a form of ‘reasonable adjustments’ that any institution (be it a school, a workplace) need to have in place to accommodate the needs of an individual. Based on the Disability Rights in Education </w:t>
      </w:r>
      <w:r w:rsidRPr="00BE2C1D">
        <w:rPr>
          <w:vertAlign w:val="superscript"/>
        </w:rPr>
        <w:footnoteReference w:id="94"/>
      </w:r>
    </w:p>
    <w:p w14:paraId="1D3751E5" w14:textId="77777777" w:rsidR="00BE2C1D" w:rsidRPr="00BE2C1D" w:rsidRDefault="00BE2C1D" w:rsidP="00BE2C1D">
      <w:pPr>
        <w:spacing w:line="360" w:lineRule="auto"/>
        <w:ind w:left="720"/>
        <w:jc w:val="both"/>
        <w:rPr>
          <w:sz w:val="20"/>
          <w:szCs w:val="20"/>
        </w:rPr>
      </w:pPr>
      <w:r w:rsidRPr="00BE2C1D">
        <w:rPr>
          <w:sz w:val="20"/>
          <w:szCs w:val="20"/>
        </w:rPr>
        <w:t>An education provider has a duty to make ‘reasonable adjustments’ to make sure disabled students are not discriminated against. These changes could include providing extra support and aids (like specialist teachers or equipment) (HM Gov., n.d., n.p.).</w:t>
      </w:r>
    </w:p>
    <w:p w14:paraId="6E4D7D47" w14:textId="77777777" w:rsidR="00BE2C1D" w:rsidRPr="00BE2C1D" w:rsidRDefault="00BE2C1D" w:rsidP="00BE2C1D">
      <w:pPr>
        <w:spacing w:line="360" w:lineRule="auto"/>
        <w:jc w:val="both"/>
      </w:pPr>
      <w:r w:rsidRPr="00BE2C1D">
        <w:t xml:space="preserve">While the majority of the participants did indeed have more or less immediate access to such equipment e.g. because another disabled student had attended the same school prior to them and, therefore, such equipment and adaptations were available, there were a few exceptions to this rule. These exceptions are the focus of this section. </w:t>
      </w:r>
    </w:p>
    <w:p w14:paraId="2DCC0AC0" w14:textId="77777777" w:rsidR="00BE2C1D" w:rsidRPr="00BE2C1D" w:rsidRDefault="00BE2C1D" w:rsidP="00BE2C1D">
      <w:pPr>
        <w:spacing w:line="360" w:lineRule="auto"/>
        <w:jc w:val="both"/>
      </w:pPr>
      <w:r w:rsidRPr="00BE2C1D">
        <w:t>The stories of Harry’s and Mary’s</w:t>
      </w:r>
      <w:r w:rsidRPr="00BE2C1D">
        <w:rPr>
          <w:vertAlign w:val="superscript"/>
        </w:rPr>
        <w:footnoteReference w:id="95"/>
      </w:r>
      <w:r w:rsidRPr="00BE2C1D">
        <w:t xml:space="preserve"> mothers questioned this narrative of immediate access to equipment:  </w:t>
      </w:r>
    </w:p>
    <w:p w14:paraId="07C52844" w14:textId="77777777" w:rsidR="00BE2C1D" w:rsidRPr="00BE2C1D" w:rsidRDefault="00BE2C1D" w:rsidP="00BE2C1D">
      <w:pPr>
        <w:spacing w:line="360" w:lineRule="auto"/>
        <w:ind w:left="720"/>
        <w:jc w:val="both"/>
        <w:rPr>
          <w:rFonts w:cstheme="minorHAnsi"/>
          <w:sz w:val="20"/>
          <w:szCs w:val="20"/>
        </w:rPr>
      </w:pPr>
      <w:r w:rsidRPr="00BE2C1D">
        <w:rPr>
          <w:rFonts w:cstheme="minorHAnsi"/>
          <w:sz w:val="20"/>
          <w:szCs w:val="20"/>
        </w:rPr>
        <w:t xml:space="preserve">Harry’s mother: We couldn’t access any, eh, pot of money to facilitate his chair and it was quite a big problem. I mean it’s only because the school really tried to help us and we had a series of occupational therapists and it was only the last one who really said: “No, I am gonna stick with this, we’re gonna get this done”, em, managed to get some chairs sorted. But it took us over a year to sort that out. So, he was just kneeling at his desk for a year. </w:t>
      </w:r>
    </w:p>
    <w:p w14:paraId="31A67B3E" w14:textId="77777777" w:rsidR="00BE2C1D" w:rsidRPr="00BE2C1D" w:rsidRDefault="00BE2C1D" w:rsidP="00BE2C1D">
      <w:pPr>
        <w:spacing w:line="360" w:lineRule="auto"/>
        <w:ind w:left="720"/>
        <w:jc w:val="both"/>
        <w:rPr>
          <w:rFonts w:cstheme="minorHAnsi"/>
          <w:sz w:val="20"/>
          <w:szCs w:val="20"/>
          <w:lang w:val="en-US"/>
        </w:rPr>
      </w:pPr>
      <w:r w:rsidRPr="00BE2C1D">
        <w:rPr>
          <w:rFonts w:cstheme="minorHAnsi"/>
          <w:sz w:val="20"/>
          <w:szCs w:val="20"/>
          <w:lang w:val="en-US"/>
        </w:rPr>
        <w:t>Mary’s Mother: And it’s taken them a long time to, though Mary is in her 3</w:t>
      </w:r>
      <w:r w:rsidRPr="00BE2C1D">
        <w:rPr>
          <w:rFonts w:cstheme="minorHAnsi"/>
          <w:sz w:val="20"/>
          <w:szCs w:val="20"/>
          <w:vertAlign w:val="superscript"/>
          <w:lang w:val="en-US"/>
        </w:rPr>
        <w:t>rd</w:t>
      </w:r>
      <w:r w:rsidRPr="00BE2C1D">
        <w:rPr>
          <w:rFonts w:cstheme="minorHAnsi"/>
          <w:sz w:val="20"/>
          <w:szCs w:val="20"/>
          <w:lang w:val="en-US"/>
        </w:rPr>
        <w:t xml:space="preserve"> year and still not everything was in place.</w:t>
      </w:r>
    </w:p>
    <w:p w14:paraId="5AD2B863" w14:textId="77777777" w:rsidR="00BE2C1D" w:rsidRPr="00BE2C1D" w:rsidRDefault="00BE2C1D" w:rsidP="00BE2C1D">
      <w:pPr>
        <w:spacing w:line="360" w:lineRule="auto"/>
        <w:jc w:val="both"/>
        <w:rPr>
          <w:rFonts w:cstheme="minorHAnsi"/>
          <w:lang w:val="en-US"/>
        </w:rPr>
      </w:pPr>
      <w:r w:rsidRPr="00BE2C1D">
        <w:rPr>
          <w:rFonts w:cstheme="minorHAnsi"/>
          <w:lang w:val="en-US"/>
        </w:rPr>
        <w:lastRenderedPageBreak/>
        <w:t xml:space="preserve">The provision of equipment in both cases lasted for a long time. In Harry’s case, it was his mother’s and the last occupational therapist’s perseverance that brought about a positive result. However, as Harry’s mother mentioned, he had to kneel at his desk during the absence of such equipment. </w:t>
      </w:r>
    </w:p>
    <w:p w14:paraId="60F89703" w14:textId="77777777" w:rsidR="00BE2C1D" w:rsidRPr="00BE2C1D" w:rsidRDefault="00BE2C1D" w:rsidP="00BE2C1D">
      <w:pPr>
        <w:spacing w:line="360" w:lineRule="auto"/>
        <w:jc w:val="both"/>
        <w:rPr>
          <w:rFonts w:cstheme="minorHAnsi"/>
          <w:lang w:val="en-US"/>
        </w:rPr>
      </w:pPr>
      <w:r w:rsidRPr="00BE2C1D">
        <w:rPr>
          <w:rFonts w:cstheme="minorHAnsi"/>
          <w:lang w:val="en-US"/>
        </w:rPr>
        <w:t xml:space="preserve">Besides the health toll on the spine, Harry also referred to other forms of toll he had to deal with: </w:t>
      </w:r>
    </w:p>
    <w:p w14:paraId="3BC64141" w14:textId="77777777" w:rsidR="00BE2C1D" w:rsidRPr="00BE2C1D" w:rsidRDefault="00BE2C1D" w:rsidP="00BE2C1D">
      <w:pPr>
        <w:spacing w:line="360" w:lineRule="auto"/>
        <w:ind w:left="720"/>
        <w:jc w:val="both"/>
        <w:rPr>
          <w:rFonts w:cstheme="minorHAnsi"/>
          <w:sz w:val="20"/>
          <w:szCs w:val="20"/>
        </w:rPr>
      </w:pPr>
      <w:r w:rsidRPr="00BE2C1D">
        <w:rPr>
          <w:rFonts w:cstheme="minorHAnsi"/>
          <w:sz w:val="20"/>
          <w:szCs w:val="20"/>
        </w:rPr>
        <w:t xml:space="preserve">Harry: Yeah, I think I was quite frustrated, because obviously I wanted to primarily focus on my schoolwork than, than like just having a chair, like an adequate chair. So, it was kinda, I thought it was taking away from my education, which was the point. </w:t>
      </w:r>
    </w:p>
    <w:p w14:paraId="3FC23B6C" w14:textId="77777777" w:rsidR="00BE2C1D" w:rsidRPr="00BE2C1D" w:rsidRDefault="00BE2C1D" w:rsidP="00BE2C1D">
      <w:pPr>
        <w:spacing w:line="360" w:lineRule="auto"/>
        <w:jc w:val="both"/>
        <w:rPr>
          <w:rFonts w:cstheme="minorHAnsi"/>
          <w:iCs/>
        </w:rPr>
      </w:pPr>
      <w:r w:rsidRPr="00BE2C1D">
        <w:rPr>
          <w:rFonts w:cstheme="minorHAnsi"/>
          <w:iCs/>
        </w:rPr>
        <w:t xml:space="preserve">Harry expressed his frustration and spoke about the ‘educational’ toll that the lack of a chair had on him, focusing in particularly on his schoolwork and more generally on his education.  Harry noted how structural disablism contributed to a form of injustice in his education. In a systematic review of the literature, Castelucci et al. (2015) found that the mismatch between students’ anthropometry and the dimensions of school furniture affected both students’ performance and their physical responses e.g. posture, physical pain. </w:t>
      </w:r>
    </w:p>
    <w:p w14:paraId="196E6BCA" w14:textId="77777777" w:rsidR="00BE2C1D" w:rsidRPr="00BE2C1D" w:rsidRDefault="00BE2C1D" w:rsidP="00BE2C1D">
      <w:pPr>
        <w:spacing w:line="360" w:lineRule="auto"/>
        <w:jc w:val="both"/>
        <w:rPr>
          <w:rFonts w:cstheme="minorHAnsi"/>
        </w:rPr>
      </w:pPr>
      <w:r w:rsidRPr="00BE2C1D">
        <w:rPr>
          <w:rFonts w:cstheme="minorHAnsi"/>
        </w:rPr>
        <w:t xml:space="preserve">To access such equipment required the coordinated effort of a range of (good willed) professionals e.g. SENCOs, Occupational Therapists, Designers, and parents, and it proved to be a long journey taking place at the expense of the young people’s education:  </w:t>
      </w:r>
    </w:p>
    <w:p w14:paraId="3C29D7C9" w14:textId="77777777" w:rsidR="00BE2C1D" w:rsidRPr="00BE2C1D" w:rsidRDefault="00BE2C1D" w:rsidP="00BE2C1D">
      <w:pPr>
        <w:spacing w:line="360" w:lineRule="auto"/>
        <w:ind w:left="720"/>
        <w:jc w:val="both"/>
        <w:rPr>
          <w:rFonts w:cstheme="minorHAnsi"/>
          <w:sz w:val="20"/>
          <w:szCs w:val="20"/>
        </w:rPr>
      </w:pPr>
      <w:r w:rsidRPr="00BE2C1D">
        <w:rPr>
          <w:rFonts w:cstheme="minorHAnsi"/>
          <w:sz w:val="20"/>
          <w:szCs w:val="20"/>
        </w:rPr>
        <w:t xml:space="preserve">Harry’s mother: There was no funding source that was identified that there was a need for him to be   equal in the school for him to be able to reach the desk to actually write and to be able to sit to support his back and have his feet on a solid platform. There was no facility to immediately identify that, it was a source of, it was a journey that we had to undertake. And it was only because it was us, the SENCO coordinator he was really on our side and we happened to get in the end a really good OT and we all worked together really hard to get it, but I can imagine that if we didn’t have such long power all together, it may have not been achieved. He may still be kneeling on the chair with a cushion or something. </w:t>
      </w:r>
    </w:p>
    <w:p w14:paraId="2C4804B9" w14:textId="77777777" w:rsidR="00BE2C1D" w:rsidRPr="00BE2C1D" w:rsidRDefault="00BE2C1D" w:rsidP="00BE2C1D">
      <w:pPr>
        <w:spacing w:line="360" w:lineRule="auto"/>
        <w:ind w:left="720"/>
        <w:jc w:val="both"/>
        <w:rPr>
          <w:rFonts w:cstheme="minorHAnsi"/>
          <w:sz w:val="20"/>
          <w:szCs w:val="20"/>
          <w:lang w:val="en-US"/>
        </w:rPr>
      </w:pPr>
      <w:r w:rsidRPr="00BE2C1D">
        <w:rPr>
          <w:rFonts w:cstheme="minorHAnsi"/>
          <w:sz w:val="20"/>
          <w:szCs w:val="20"/>
          <w:lang w:val="en-US"/>
        </w:rPr>
        <w:t>Mary’s Mother: With the special needs teacher. And she is looking at what funding we can access, but we have somebody looking at it again, but all these things take such time. You know, in the meantime Mary is left not necessarily sitting in the best position for her back, which is really important.</w:t>
      </w:r>
    </w:p>
    <w:p w14:paraId="61EA0AB7" w14:textId="77777777" w:rsidR="00BE2C1D" w:rsidRPr="00BE2C1D" w:rsidRDefault="00BE2C1D" w:rsidP="00BE2C1D">
      <w:pPr>
        <w:spacing w:line="360" w:lineRule="auto"/>
        <w:jc w:val="both"/>
        <w:rPr>
          <w:rFonts w:cstheme="minorHAnsi"/>
          <w:iCs/>
          <w:lang w:val="en-US"/>
        </w:rPr>
      </w:pPr>
      <w:r w:rsidRPr="00BE2C1D">
        <w:rPr>
          <w:rFonts w:cstheme="minorHAnsi"/>
          <w:iCs/>
          <w:lang w:val="en-US"/>
        </w:rPr>
        <w:t xml:space="preserve">These stories were indicative of the ‘fight’ that parents of disabled children and young people had to give to tackle the disablism their children faced at schools (Ryan and Runswick-Cole 2009). Moreover, unless professionals and parents held similar views around disability, then such a fight was even more complicated (Hodge and Runswick-Cole 2008; Lalvani 2015). Both parents were also quite concerned about the toll such a process had on their children, such as their posture and performing daily tasks such as writing.   </w:t>
      </w:r>
    </w:p>
    <w:p w14:paraId="6AAA02B1" w14:textId="268AC35C" w:rsidR="00BE2C1D" w:rsidRPr="00BE2C1D" w:rsidRDefault="00BE2C1D" w:rsidP="00BE2C1D">
      <w:pPr>
        <w:spacing w:line="360" w:lineRule="auto"/>
        <w:jc w:val="both"/>
        <w:rPr>
          <w:rFonts w:cstheme="minorHAnsi"/>
          <w:lang w:val="en-US"/>
        </w:rPr>
      </w:pPr>
      <w:r w:rsidRPr="00BE2C1D">
        <w:rPr>
          <w:rFonts w:cstheme="minorHAnsi"/>
          <w:lang w:val="en-US"/>
        </w:rPr>
        <w:lastRenderedPageBreak/>
        <w:t>The reason put forward by both mothers for dealing with such difficulties in getting access to any source of funding was the lack of a ‘statement’</w:t>
      </w:r>
      <w:r w:rsidR="00D34C1B">
        <w:rPr>
          <w:rStyle w:val="FootnoteReference"/>
          <w:rFonts w:cstheme="minorHAnsi"/>
          <w:lang w:val="en-US"/>
        </w:rPr>
        <w:footnoteReference w:id="96"/>
      </w:r>
      <w:r w:rsidRPr="00BE2C1D">
        <w:rPr>
          <w:rFonts w:cstheme="minorHAnsi"/>
          <w:lang w:val="en-US"/>
        </w:rPr>
        <w:t xml:space="preserve">: </w:t>
      </w:r>
    </w:p>
    <w:p w14:paraId="173635F1" w14:textId="77777777" w:rsidR="00BE2C1D" w:rsidRPr="00BE2C1D" w:rsidRDefault="00BE2C1D" w:rsidP="00BE2C1D">
      <w:pPr>
        <w:spacing w:line="360" w:lineRule="auto"/>
        <w:ind w:left="720"/>
        <w:jc w:val="both"/>
        <w:rPr>
          <w:rFonts w:cstheme="minorHAnsi"/>
          <w:sz w:val="20"/>
          <w:szCs w:val="20"/>
          <w:lang w:val="en-US"/>
        </w:rPr>
      </w:pPr>
      <w:r w:rsidRPr="00BE2C1D">
        <w:rPr>
          <w:rFonts w:cstheme="minorHAnsi"/>
          <w:sz w:val="20"/>
          <w:szCs w:val="20"/>
          <w:lang w:val="en-US"/>
        </w:rPr>
        <w:t>Mary’s mother: So, the school has some difficulty, because she is not statemented. So, for us trying to do the best thing for Mary is always like go on the other way, cause that means that she doesn’t have the fund. So, they haven’t been able to provide some things and Mary will tell what they’ve provided, but then they struggle in some areas, don’t they?</w:t>
      </w:r>
    </w:p>
    <w:p w14:paraId="15C018C6" w14:textId="77777777" w:rsidR="00BE2C1D" w:rsidRPr="00BE2C1D" w:rsidRDefault="00BE2C1D" w:rsidP="00BE2C1D">
      <w:pPr>
        <w:spacing w:line="360" w:lineRule="auto"/>
        <w:ind w:left="720"/>
        <w:jc w:val="both"/>
        <w:rPr>
          <w:rFonts w:cstheme="minorHAnsi"/>
          <w:sz w:val="20"/>
          <w:szCs w:val="20"/>
        </w:rPr>
      </w:pPr>
      <w:r w:rsidRPr="00BE2C1D">
        <w:rPr>
          <w:rFonts w:cstheme="minorHAnsi"/>
          <w:sz w:val="20"/>
          <w:szCs w:val="20"/>
        </w:rPr>
        <w:t xml:space="preserve">Harry’s mother: It was partly because he wasn’t statemented. If he had a statement, that would have been much easier, if he had a statement. </w:t>
      </w:r>
    </w:p>
    <w:p w14:paraId="05831C94" w14:textId="439B12E4" w:rsidR="00BE2C1D" w:rsidRPr="00BE2C1D" w:rsidRDefault="00BE2C1D" w:rsidP="00BE2C1D">
      <w:pPr>
        <w:spacing w:line="360" w:lineRule="auto"/>
        <w:jc w:val="both"/>
        <w:rPr>
          <w:rFonts w:cstheme="minorHAnsi"/>
        </w:rPr>
      </w:pPr>
      <w:r w:rsidRPr="00BE2C1D">
        <w:rPr>
          <w:rFonts w:cstheme="minorHAnsi"/>
        </w:rPr>
        <w:t>Because Mary and Harry did not have a ‘statement’, they were not entitled to any funding that could cover the cost of any adaptations. Therefore, their mothers had to find other ways, not as straightforward, to ascertain that such adaptations were in place. These stories demonstrated the complicated nature of ‘statements’ and labels</w:t>
      </w:r>
      <w:r w:rsidRPr="008F4D34">
        <w:rPr>
          <w:rFonts w:cstheme="minorHAnsi"/>
        </w:rPr>
        <w:t xml:space="preserve">. </w:t>
      </w:r>
      <w:r w:rsidR="003142CE" w:rsidRPr="008F4D34">
        <w:rPr>
          <w:rFonts w:cstheme="minorHAnsi"/>
        </w:rPr>
        <w:t xml:space="preserve">As Hunter et al. (2019: </w:t>
      </w:r>
      <w:r w:rsidR="00954ED7" w:rsidRPr="008F4D34">
        <w:rPr>
          <w:rFonts w:cstheme="minorHAnsi"/>
        </w:rPr>
        <w:t xml:space="preserve">144) noted, ‘the education plan is never value-free; it can never be a neutral description but has power to construct a child’s identity, for good and for ill’. </w:t>
      </w:r>
      <w:r w:rsidRPr="008F4D34">
        <w:rPr>
          <w:rFonts w:cstheme="minorHAnsi"/>
        </w:rPr>
        <w:t>Goodley (2014, 2018) considered what labels take away and what they give. On the one hand, labels can be pathologising, in terms of disabled students being understood through deficit discourses. On the other hand, it is only through the process of pathologisation that disabled young people become entitled to support e.g. teaching assistants or adaptations (Goodley 2014, 2018). Hence, the two mothers and the young people found themselves in a liminal space, as they did not opt for the option of being ‘statemented’, but they equally needed the adaptations to be there</w:t>
      </w:r>
      <w:r w:rsidR="00954ED7" w:rsidRPr="008F4D34">
        <w:rPr>
          <w:rFonts w:cstheme="minorHAnsi"/>
        </w:rPr>
        <w:t xml:space="preserve"> (Hunter et al. 2019)</w:t>
      </w:r>
      <w:r w:rsidRPr="008F4D34">
        <w:rPr>
          <w:rFonts w:cstheme="minorHAnsi"/>
        </w:rPr>
        <w:t xml:space="preserve">.   </w:t>
      </w:r>
    </w:p>
    <w:p w14:paraId="11EC1988" w14:textId="77777777" w:rsidR="00BE2C1D" w:rsidRPr="00BE2C1D" w:rsidRDefault="00BE2C1D" w:rsidP="00BE2C1D">
      <w:pPr>
        <w:spacing w:line="360" w:lineRule="auto"/>
        <w:rPr>
          <w:rFonts w:cstheme="minorHAnsi"/>
        </w:rPr>
      </w:pPr>
      <w:r w:rsidRPr="00BE2C1D">
        <w:rPr>
          <w:rFonts w:cstheme="minorHAnsi"/>
        </w:rPr>
        <w:t xml:space="preserve">An assemblage analysis of the above stories involves a range of components, such as different actors/actresses - school professionals, disabled young people and their parents, material entities e.g. the equipment, discourses and discursive practices, which produce certain subjectivities -statementing/labelling - and structures - school as institution (see the diagram below). All these components interact with each other to facilitate or hinder the access to the equipment. Unless the disabled young people were statemented, which would make them eligible to a funding that would cover the cost of any equipment (or physical adaptations), they had to wait in anticipation for such equipment whilst paying the physical and educational toll. Meanwhile, their parents had to </w:t>
      </w:r>
      <w:r w:rsidRPr="00BE2C1D">
        <w:rPr>
          <w:rFonts w:cstheme="minorHAnsi"/>
        </w:rPr>
        <w:lastRenderedPageBreak/>
        <w:t xml:space="preserve">collaborate with different school staff members (those who were willing to collaborate) in order to find ways to secure some other form of funding.  </w:t>
      </w:r>
    </w:p>
    <w:p w14:paraId="299C3FFD" w14:textId="0EAA21ED" w:rsidR="00BE2C1D" w:rsidRPr="00BE2C1D" w:rsidRDefault="00BE2C1D" w:rsidP="00BE2C1D">
      <w:pPr>
        <w:spacing w:line="360" w:lineRule="auto"/>
        <w:jc w:val="center"/>
        <w:rPr>
          <w:rFonts w:cstheme="minorHAnsi"/>
          <w:b/>
          <w:bCs/>
          <w:sz w:val="24"/>
          <w:szCs w:val="24"/>
        </w:rPr>
      </w:pPr>
      <w:r w:rsidRPr="00BE2C1D">
        <w:rPr>
          <w:rFonts w:cstheme="minorHAnsi"/>
          <w:b/>
          <w:bCs/>
          <w:sz w:val="24"/>
          <w:szCs w:val="24"/>
        </w:rPr>
        <w:t xml:space="preserve">            </w:t>
      </w:r>
      <w:r w:rsidR="00CB0FF8">
        <w:rPr>
          <w:rFonts w:cstheme="minorHAnsi"/>
          <w:b/>
          <w:bCs/>
          <w:sz w:val="24"/>
          <w:szCs w:val="24"/>
        </w:rPr>
        <w:t>Figure 1:</w:t>
      </w:r>
      <w:r w:rsidRPr="00BE2C1D">
        <w:rPr>
          <w:rFonts w:cstheme="minorHAnsi"/>
          <w:b/>
          <w:bCs/>
          <w:sz w:val="24"/>
          <w:szCs w:val="24"/>
        </w:rPr>
        <w:t xml:space="preserve"> Assemblage of Access </w:t>
      </w:r>
    </w:p>
    <w:p w14:paraId="6A4F8E9F" w14:textId="77777777" w:rsidR="00BE2C1D" w:rsidRPr="00BE2C1D" w:rsidRDefault="00BE2C1D" w:rsidP="00BE2C1D">
      <w:pPr>
        <w:spacing w:line="360" w:lineRule="auto"/>
        <w:rPr>
          <w:rFonts w:cstheme="minorHAnsi"/>
        </w:rPr>
      </w:pPr>
      <w:r w:rsidRPr="00BE2C1D">
        <w:rPr>
          <w:rFonts w:cstheme="minorHAnsi"/>
          <w:noProof/>
          <w:lang w:eastAsia="en-GB"/>
        </w:rPr>
        <mc:AlternateContent>
          <mc:Choice Requires="wps">
            <w:drawing>
              <wp:anchor distT="0" distB="0" distL="114300" distR="114300" simplePos="0" relativeHeight="251664384" behindDoc="0" locked="0" layoutInCell="1" allowOverlap="1" wp14:anchorId="230164C4" wp14:editId="07836CD4">
                <wp:simplePos x="0" y="0"/>
                <wp:positionH relativeFrom="margin">
                  <wp:posOffset>2682432</wp:posOffset>
                </wp:positionH>
                <wp:positionV relativeFrom="paragraph">
                  <wp:posOffset>7213</wp:posOffset>
                </wp:positionV>
                <wp:extent cx="949325" cy="709775"/>
                <wp:effectExtent l="0" t="0" r="22225" b="14605"/>
                <wp:wrapNone/>
                <wp:docPr id="9" name="Rectangle 9"/>
                <wp:cNvGraphicFramePr/>
                <a:graphic xmlns:a="http://schemas.openxmlformats.org/drawingml/2006/main">
                  <a:graphicData uri="http://schemas.microsoft.com/office/word/2010/wordprocessingShape">
                    <wps:wsp>
                      <wps:cNvSpPr/>
                      <wps:spPr>
                        <a:xfrm>
                          <a:off x="0" y="0"/>
                          <a:ext cx="949325" cy="709775"/>
                        </a:xfrm>
                        <a:prstGeom prst="rect">
                          <a:avLst/>
                        </a:prstGeom>
                        <a:solidFill>
                          <a:srgbClr val="4472C4"/>
                        </a:solidFill>
                        <a:ln w="12700" cap="flat" cmpd="sng" algn="ctr">
                          <a:solidFill>
                            <a:srgbClr val="4472C4">
                              <a:shade val="50000"/>
                            </a:srgbClr>
                          </a:solidFill>
                          <a:prstDash val="solid"/>
                          <a:miter lim="800000"/>
                        </a:ln>
                        <a:effectLst/>
                      </wps:spPr>
                      <wps:txbx>
                        <w:txbxContent>
                          <w:p w14:paraId="0362B3B0" w14:textId="77777777" w:rsidR="003142CE" w:rsidRPr="000232DC" w:rsidRDefault="003142CE" w:rsidP="00BE2C1D">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School as an Institution: Funding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0164C4" id="Rectangle 9" o:spid="_x0000_s1026" style="position:absolute;margin-left:211.2pt;margin-top:.55pt;width:74.75pt;height:55.9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2Y2gwIAABwFAAAOAAAAZHJzL2Uyb0RvYy54bWysVEtv2zAMvg/YfxB0X+1kztIYdYogRYcB&#10;RVu0HXpmZNkWoNckJXb360fJTl/raZgPMilSpPjxo87OByXJgTsvjK7o7CSnhGtmaqHbiv58uPxy&#10;SokPoGuQRvOKPnFPz9efP531tuRz0xlZc0cwiPZlbyvahWDLLPOs4wr8ibFco7ExTkFA1bVZ7aDH&#10;6Epm8zz/lvXG1dYZxr3H3YvRSNcpftNwFm6axvNAZEXxbiGtLq27uGbrMyhbB7YTbLoG/MMtFAiN&#10;SZ9DXUAAsnfir1BKMGe8acIJMyozTSMYTzVgNbP8XTX3HVieakFwvH2Gyf+/sOz6cOuIqCu6okSD&#10;whbdIWigW8nJKsLTW1+i1729dZPmUYy1Do1T8Y9VkCFB+vQMKR8CYbi5KlZf5wtKGJqW+Wq5XMSY&#10;2cth63z4zo0iUaiow+QJSDhc+TC6Hl1iLm+kqC+FlElx7W4rHTkAdrcolvNtMUV/4yY16ZGb82WO&#10;DGCALGskBBSVxbq9bikB2SJ9WXAp95vT/oMkKXkHNR9TL3L8jplH91Tjmzixigvw3XgkmeIRKJUI&#10;OAJSqIqexkDHSFJHK08knrCIvRjRj1IYdsPUkp2pn7CPzowE95ZdCsx3BT7cgkNGY+U4peEGl0Ya&#10;hMNMEiWdcb8/2o/+SDS0UtLjhCBUv/bgOCXyh0YKrmZFEUcqKcViOUfFvbbsXlv0Xm0NtmmG74Fl&#10;SYz+QR7Fxhn1iMO8iVnRBJph7rEpk7IN4+Tic8D4ZpPccIwshCt9b1kMHiGLSD8Mj+DsRKqAbLw2&#10;x2mC8h23Rt94UpvNPphGJOJFiEdcsZlRwRFMbZ2eizjjr/Xk9fKorf8AAAD//wMAUEsDBBQABgAI&#10;AAAAIQC42a073wAAAAkBAAAPAAAAZHJzL2Rvd25yZXYueG1sTI/RTsJAEEXfTfyHzZj4Jts2gFK6&#10;JQbjAzGRSP2ApTu0he5s7S60+vUOT/p4c27unMlWo23FBXvfOFIQTyIQSKUzDVUKPovXhycQPmgy&#10;unWECr7Rwyq/vcl0atxAH3jZhUrwCPlUK6hD6FIpfVmj1X7iOiRmB9dbHTj2lTS9HnjctjKJorm0&#10;uiG+UOsO1zWWp93ZKqiOxfHUrWm+2b7M3t6/tkW1GX6Uur8bn5cgAo7hrwxXfVaHnJ327kzGi1bB&#10;NEmmXGUQg2A+e4wXIPbXnCxA5pn8/0H+CwAA//8DAFBLAQItABQABgAIAAAAIQC2gziS/gAAAOEB&#10;AAATAAAAAAAAAAAAAAAAAAAAAABbQ29udGVudF9UeXBlc10ueG1sUEsBAi0AFAAGAAgAAAAhADj9&#10;If/WAAAAlAEAAAsAAAAAAAAAAAAAAAAALwEAAF9yZWxzLy5yZWxzUEsBAi0AFAAGAAgAAAAhAJJH&#10;ZjaDAgAAHAUAAA4AAAAAAAAAAAAAAAAALgIAAGRycy9lMm9Eb2MueG1sUEsBAi0AFAAGAAgAAAAh&#10;ALjZrTvfAAAACQEAAA8AAAAAAAAAAAAAAAAA3QQAAGRycy9kb3ducmV2LnhtbFBLBQYAAAAABAAE&#10;APMAAADpBQAAAAA=&#10;" fillcolor="#4472c4" strokecolor="#2f528f" strokeweight="1pt">
                <v:textbox>
                  <w:txbxContent>
                    <w:p w14:paraId="0362B3B0" w14:textId="77777777" w:rsidR="003142CE" w:rsidRPr="000232DC" w:rsidRDefault="003142CE" w:rsidP="00BE2C1D">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School as an Institution: Funding</w:t>
                      </w:r>
                    </w:p>
                  </w:txbxContent>
                </v:textbox>
                <w10:wrap anchorx="margin"/>
              </v:rect>
            </w:pict>
          </mc:Fallback>
        </mc:AlternateContent>
      </w:r>
    </w:p>
    <w:p w14:paraId="091F4F12" w14:textId="77777777" w:rsidR="00BE2C1D" w:rsidRPr="00BE2C1D" w:rsidRDefault="00BE2C1D" w:rsidP="00BE2C1D">
      <w:pPr>
        <w:spacing w:line="360" w:lineRule="auto"/>
        <w:rPr>
          <w:rFonts w:cstheme="minorHAnsi"/>
        </w:rPr>
      </w:pPr>
    </w:p>
    <w:p w14:paraId="112908D5" w14:textId="77777777" w:rsidR="00BE2C1D" w:rsidRPr="00BE2C1D" w:rsidRDefault="00BE2C1D" w:rsidP="00BE2C1D">
      <w:pPr>
        <w:spacing w:line="360" w:lineRule="auto"/>
        <w:rPr>
          <w:rFonts w:cstheme="minorHAnsi"/>
        </w:rPr>
      </w:pPr>
      <w:r w:rsidRPr="00BE2C1D">
        <w:rPr>
          <w:rFonts w:cstheme="minorHAnsi"/>
          <w:noProof/>
          <w:lang w:eastAsia="en-GB"/>
        </w:rPr>
        <mc:AlternateContent>
          <mc:Choice Requires="wps">
            <w:drawing>
              <wp:anchor distT="0" distB="0" distL="114300" distR="114300" simplePos="0" relativeHeight="251725824" behindDoc="0" locked="0" layoutInCell="1" allowOverlap="1" wp14:anchorId="57F2A847" wp14:editId="132E8C87">
                <wp:simplePos x="0" y="0"/>
                <wp:positionH relativeFrom="column">
                  <wp:posOffset>3716977</wp:posOffset>
                </wp:positionH>
                <wp:positionV relativeFrom="paragraph">
                  <wp:posOffset>34884</wp:posOffset>
                </wp:positionV>
                <wp:extent cx="426942" cy="510639"/>
                <wp:effectExtent l="0" t="0" r="30480" b="22860"/>
                <wp:wrapNone/>
                <wp:docPr id="98" name="Straight Connector 98"/>
                <wp:cNvGraphicFramePr/>
                <a:graphic xmlns:a="http://schemas.openxmlformats.org/drawingml/2006/main">
                  <a:graphicData uri="http://schemas.microsoft.com/office/word/2010/wordprocessingShape">
                    <wps:wsp>
                      <wps:cNvCnPr/>
                      <wps:spPr>
                        <a:xfrm>
                          <a:off x="0" y="0"/>
                          <a:ext cx="426942" cy="510639"/>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95D5EED" id="Straight Connector 98" o:spid="_x0000_s1026" style="position:absolute;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2.7pt,2.75pt" to="326.3pt,4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WHizgEAAHoDAAAOAAAAZHJzL2Uyb0RvYy54bWysU8tu2zAQvBfoPxC815IVxY0FyznYSC9F&#10;ayDpB6wpSiLAF5asZf99l7TqpO2tiA7UPkc7w9Xm8Ww0O0kMytmWLxclZ9IK1yk7tPzHy9OnB85C&#10;BNuBdla2/CIDf9x+/LCZfCMrNzrdSWQEYkMz+ZaPMfqmKIIYpYGwcF5aSvYODURycSg6hInQjS6q&#10;slwVk8POoxMyBIrur0m+zfh9L0X83vdBRqZbTrPFfGI+j+ksthtoBgQ/KjGPAf8xhQFl6aM3qD1E&#10;YD9R/QNllEAXXB8XwpnC9b0SMnMgNsvyLzbPI3iZuZA4wd9kCu8HK76dDshU1/I13ZQFQ3f0HBHU&#10;MEa2c9aSgg4ZJUmpyYeGGnb2gLMX/AET7XOPJr2JEDtndS83deU5MkHBulqt64ozQan7Zbm6WyfM&#10;4rXZY4hfpDMsGS3Xyiby0MDpa4jX0t8lKWzdk9Ka4tBoy6aWr+7u6YoF0Br1GiKZxhOxYAfOQA+0&#10;nyJiRgxOqy51p+aAw3GnkZ2AdqSuP1e7eh7sj7L06T2E8VqXU6kMGqMirbBWpuUPZXrmbm1TVuYl&#10;nAkkAa+SJevouktWskgeXXBWY17GtEFvfbLf/jLbXwAAAP//AwBQSwMEFAAGAAgAAAAhAO1SMXjf&#10;AAAACAEAAA8AAABkcnMvZG93bnJldi54bWxMj8FOwzAQRO9I/IO1SNyo0whHaYhTUSQOXFBpOcDN&#10;jZckEK9D7Kbh71lO5TarGc28Ldez68WEY+g8aVguEhBItbcdNRpe9483OYgQDVnTe0INPxhgXV1e&#10;lKaw/kQvOO1iI7iEQmE0tDEOhZShbtGZsPADEnsffnQm8jk20o7mxOWul2mSZNKZjnihNQM+tFh/&#10;7Y5Owz5T2zwut0/fyfvbZpWl+DltnrW+vprv70BEnOM5DH/4jA4VMx38kWwQvQaVq1uOslAg2M9U&#10;moE4aMjVCmRVyv8PVL8AAAD//wMAUEsBAi0AFAAGAAgAAAAhALaDOJL+AAAA4QEAABMAAAAAAAAA&#10;AAAAAAAAAAAAAFtDb250ZW50X1R5cGVzXS54bWxQSwECLQAUAAYACAAAACEAOP0h/9YAAACUAQAA&#10;CwAAAAAAAAAAAAAAAAAvAQAAX3JlbHMvLnJlbHNQSwECLQAUAAYACAAAACEAnQlh4s4BAAB6AwAA&#10;DgAAAAAAAAAAAAAAAAAuAgAAZHJzL2Uyb0RvYy54bWxQSwECLQAUAAYACAAAACEA7VIxeN8AAAAI&#10;AQAADwAAAAAAAAAAAAAAAAAoBAAAZHJzL2Rvd25yZXYueG1sUEsFBgAAAAAEAAQA8wAAADQFAAAA&#10;AA==&#10;" strokecolor="#4472c4" strokeweight=".5pt">
                <v:stroke joinstyle="miter"/>
              </v:line>
            </w:pict>
          </mc:Fallback>
        </mc:AlternateContent>
      </w:r>
      <w:r w:rsidRPr="00BE2C1D">
        <w:rPr>
          <w:rFonts w:cstheme="minorHAnsi"/>
          <w:noProof/>
          <w:lang w:eastAsia="en-GB"/>
        </w:rPr>
        <mc:AlternateContent>
          <mc:Choice Requires="wps">
            <w:drawing>
              <wp:anchor distT="0" distB="0" distL="114300" distR="114300" simplePos="0" relativeHeight="251731968" behindDoc="0" locked="0" layoutInCell="1" allowOverlap="1" wp14:anchorId="7BD1DD9F" wp14:editId="3D302103">
                <wp:simplePos x="0" y="0"/>
                <wp:positionH relativeFrom="column">
                  <wp:posOffset>2185059</wp:posOffset>
                </wp:positionH>
                <wp:positionV relativeFrom="paragraph">
                  <wp:posOffset>11133</wp:posOffset>
                </wp:positionV>
                <wp:extent cx="450891" cy="285008"/>
                <wp:effectExtent l="0" t="0" r="25400" b="20320"/>
                <wp:wrapNone/>
                <wp:docPr id="104" name="Straight Connector 104"/>
                <wp:cNvGraphicFramePr/>
                <a:graphic xmlns:a="http://schemas.openxmlformats.org/drawingml/2006/main">
                  <a:graphicData uri="http://schemas.microsoft.com/office/word/2010/wordprocessingShape">
                    <wps:wsp>
                      <wps:cNvCnPr/>
                      <wps:spPr>
                        <a:xfrm flipH="1">
                          <a:off x="0" y="0"/>
                          <a:ext cx="450891" cy="285008"/>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970200E" id="Straight Connector 104" o:spid="_x0000_s1026" style="position:absolute;flip:x;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2.05pt,.9pt" to="207.55pt,2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ERJ1gEAAIYDAAAOAAAAZHJzL2Uyb0RvYy54bWysU02P0zAQvSPxHyzfadLSLiFquodWCwcE&#10;lRZ+wNSxE0v+0tg07b9n7JRqWW6IHKz58vO8N5Pt48UadpYYtXcdXy5qzqQTvtdu6PiP70/vGs5i&#10;AteD8U52/Cojf9y9fbOdQitXfvSml8gIxMV2Ch0fUwptVUUxSgtx4YN0lFQeLSRycah6hInQralW&#10;df1QTR77gF7IGCl6mJN8V/CVkiJ9UyrKxEzHqbdUTiznKZ/VbgvtgBBGLW5twD90YUE7evQOdYAE&#10;7Cfqv6CsFuijV2khvK28UlrIwoHYLOtXbJ5HCLJwIXFiuMsU/x+s+Ho+ItM9za5ec+bA0pCeE4Ie&#10;xsT23jmS0CPLWdJqCrGlK3t3xJsXwxEz8YtCy5TR4TNBFSmIHLsUpa93peUlMUHB9aZuPi45E5Ra&#10;NZu6bjJ6NcNkuIAxfZLesmx03GiXhYAWzl9imkt/l+Sw80/aGIpDaxybOv7wfkPjFkArpQwkMm0g&#10;ktENnIEZaFdFwoIYvdF9vp0vRxxOe4PsDLQv6/WH1b7Qpsb+KMtPHyCOc11JzZtkdaJ1Ntp2vKnz&#10;d6NlXEaXZSFvBLKUs3jZOvn+WjStskfDLmrcFjNv00uf7Je/z+4XAAAA//8DAFBLAwQUAAYACAAA&#10;ACEAG/K4ANwAAAAIAQAADwAAAGRycy9kb3ducmV2LnhtbEyPwU7DMBBE70j8g7VI3KiTElIU4lQI&#10;xAEuqAHEdRsvcdTYDrGThr9nOZXbjt5odqbcLrYXM42h805BukpAkGu87lyr4P3t6eoWRIjoNPbe&#10;kYIfCrCtzs9KLLQ/uh3NdWwFh7hQoAIT41BIGRpDFsPKD+SYffnRYmQ5tlKPeORw28t1kuTSYuf4&#10;g8GBHgw1h3qyCp5r3OWv358pvawf58NHN21MMyl1ebHc34GItMSTGf7qc3WouNPeT04H0Su4zrKU&#10;rQx4AfMsvWG95yPfgKxK+X9A9QsAAP//AwBQSwECLQAUAAYACAAAACEAtoM4kv4AAADhAQAAEwAA&#10;AAAAAAAAAAAAAAAAAAAAW0NvbnRlbnRfVHlwZXNdLnhtbFBLAQItABQABgAIAAAAIQA4/SH/1gAA&#10;AJQBAAALAAAAAAAAAAAAAAAAAC8BAABfcmVscy8ucmVsc1BLAQItABQABgAIAAAAIQDXeERJ1gEA&#10;AIYDAAAOAAAAAAAAAAAAAAAAAC4CAABkcnMvZTJvRG9jLnhtbFBLAQItABQABgAIAAAAIQAb8rgA&#10;3AAAAAgBAAAPAAAAAAAAAAAAAAAAADAEAABkcnMvZG93bnJldi54bWxQSwUGAAAAAAQABADzAAAA&#10;OQUAAAAA&#10;" strokecolor="#4472c4" strokeweight=".5pt">
                <v:stroke joinstyle="miter"/>
              </v:line>
            </w:pict>
          </mc:Fallback>
        </mc:AlternateContent>
      </w:r>
      <w:r w:rsidRPr="00BE2C1D">
        <w:rPr>
          <w:rFonts w:cstheme="minorHAnsi"/>
          <w:noProof/>
          <w:lang w:eastAsia="en-GB"/>
        </w:rPr>
        <mc:AlternateContent>
          <mc:Choice Requires="wps">
            <w:drawing>
              <wp:anchor distT="0" distB="0" distL="114300" distR="114300" simplePos="0" relativeHeight="251734016" behindDoc="0" locked="0" layoutInCell="1" allowOverlap="1" wp14:anchorId="7A6F3A7E" wp14:editId="1823DBC7">
                <wp:simplePos x="0" y="0"/>
                <wp:positionH relativeFrom="column">
                  <wp:posOffset>3135086</wp:posOffset>
                </wp:positionH>
                <wp:positionV relativeFrom="paragraph">
                  <wp:posOffset>141762</wp:posOffset>
                </wp:positionV>
                <wp:extent cx="878774" cy="1389413"/>
                <wp:effectExtent l="0" t="0" r="36195" b="20320"/>
                <wp:wrapNone/>
                <wp:docPr id="106" name="Straight Connector 106"/>
                <wp:cNvGraphicFramePr/>
                <a:graphic xmlns:a="http://schemas.openxmlformats.org/drawingml/2006/main">
                  <a:graphicData uri="http://schemas.microsoft.com/office/word/2010/wordprocessingShape">
                    <wps:wsp>
                      <wps:cNvCnPr/>
                      <wps:spPr>
                        <a:xfrm>
                          <a:off x="0" y="0"/>
                          <a:ext cx="878774" cy="1389413"/>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20C60DB" id="Straight Connector 106" o:spid="_x0000_s1026" style="position:absolute;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6.85pt,11.15pt" to="316.05pt,12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TDxzQEAAH0DAAAOAAAAZHJzL2Uyb0RvYy54bWysU8uu0zAQ3SPxD5b3NOmDtkRN76LVZYOg&#10;0oUPmDp2YskvjU3T/j1jN5QL7BBZOPM8mXM82T1drWEXiVF71/L5rOZMOuE77fqWf/v6/G7LWUzg&#10;OjDeyZbfZORP+7dvdmNo5MIP3nQSGYG42Iyh5UNKoamqKAZpIc58kI6SyqOFRC72VYcwEro11aKu&#10;19XosQvohYyRosd7ku8LvlJSpC9KRZmYaTnNlsqJ5Tzns9rvoOkRwqDFNAb8wxQWtKOPPqCOkIB9&#10;R/0XlNUCffQqzYS3lVdKC1k4EJt5/QeblwGCLFxInBgeMsX/Bys+X07IdEd3V685c2Dpkl4Sgu6H&#10;xA7eOZLQI8tZ0moMsaGWgzvh5MVwwkz8qtDmN1Fi16Lv7aGvvCYmKLjdbDebFWeCUvPl9sNqvsyg&#10;1a/ugDF9lN6ybLTcaJf5QwOXTzHdS3+W5LDzz9oYikNjHBtbvl6+p1sWQJukDCQybSBu0fWcgelp&#10;RUXCghi90V3uzs0R+/PBILsArclqtVkcVtNgv5XlTx8hDve6kspl0FidaIuNtsSxzs/UbVzOyrKH&#10;E4Gs4F2zbJ19dytSVtmjOy5qTPuYl+i1T/brv2b/AwAA//8DAFBLAwQUAAYACAAAACEA0I+SseEA&#10;AAAKAQAADwAAAGRycy9kb3ducmV2LnhtbEyPsU7DMBCGdyTewTokNurYKaENcSqKxMCCSsvQbm58&#10;JIH4HGI3DW+PmWC8u0//fX+xmmzHRhx860iBmCXAkCpnWqoVvO2ebhbAfNBkdOcIFXyjh1V5eVHo&#10;3LgzveK4DTWLIeRzraAJoc8591WDVvuZ65Hi7d0NVoc4DjU3gz7HcNtxmSQZt7ql+KHRPT42WH1u&#10;T1bBLrvdLILYPH8lh/16mUn8GNcvSl1fTQ/3wAJO4Q+GX/2oDmV0OroTGc86BfNlehdRBVKmwCKQ&#10;pVIAO8bFXAjgZcH/Vyh/AAAA//8DAFBLAQItABQABgAIAAAAIQC2gziS/gAAAOEBAAATAAAAAAAA&#10;AAAAAAAAAAAAAABbQ29udGVudF9UeXBlc10ueG1sUEsBAi0AFAAGAAgAAAAhADj9If/WAAAAlAEA&#10;AAsAAAAAAAAAAAAAAAAALwEAAF9yZWxzLy5yZWxzUEsBAi0AFAAGAAgAAAAhACuhMPHNAQAAfQMA&#10;AA4AAAAAAAAAAAAAAAAALgIAAGRycy9lMm9Eb2MueG1sUEsBAi0AFAAGAAgAAAAhANCPkrHhAAAA&#10;CgEAAA8AAAAAAAAAAAAAAAAAJwQAAGRycy9kb3ducmV2LnhtbFBLBQYAAAAABAAEAPMAAAA1BQAA&#10;AAA=&#10;" strokecolor="#4472c4" strokeweight=".5pt">
                <v:stroke joinstyle="miter"/>
              </v:line>
            </w:pict>
          </mc:Fallback>
        </mc:AlternateContent>
      </w:r>
      <w:r w:rsidRPr="00BE2C1D">
        <w:rPr>
          <w:rFonts w:cstheme="minorHAnsi"/>
          <w:noProof/>
          <w:lang w:eastAsia="en-GB"/>
        </w:rPr>
        <mc:AlternateContent>
          <mc:Choice Requires="wps">
            <w:drawing>
              <wp:anchor distT="0" distB="0" distL="114300" distR="114300" simplePos="0" relativeHeight="251732992" behindDoc="0" locked="0" layoutInCell="1" allowOverlap="1" wp14:anchorId="32B31944" wp14:editId="1BDD137B">
                <wp:simplePos x="0" y="0"/>
                <wp:positionH relativeFrom="margin">
                  <wp:posOffset>2422566</wp:posOffset>
                </wp:positionH>
                <wp:positionV relativeFrom="paragraph">
                  <wp:posOffset>129886</wp:posOffset>
                </wp:positionV>
                <wp:extent cx="664590" cy="1341838"/>
                <wp:effectExtent l="0" t="0" r="21590" b="29845"/>
                <wp:wrapNone/>
                <wp:docPr id="105" name="Straight Connector 105"/>
                <wp:cNvGraphicFramePr/>
                <a:graphic xmlns:a="http://schemas.openxmlformats.org/drawingml/2006/main">
                  <a:graphicData uri="http://schemas.microsoft.com/office/word/2010/wordprocessingShape">
                    <wps:wsp>
                      <wps:cNvCnPr/>
                      <wps:spPr>
                        <a:xfrm flipV="1">
                          <a:off x="0" y="0"/>
                          <a:ext cx="664590" cy="1341838"/>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48AAA58" id="Straight Connector 105" o:spid="_x0000_s1026" style="position:absolute;flip:y;z-index:251732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90.75pt,10.25pt" to="243.1pt,1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hdd0wEAAIcDAAAOAAAAZHJzL2Uyb0RvYy54bWysU8uu0zAQ3SPxD5b3NOmTEjW9i1aXDYJK&#10;F9hPHTux5JfGpmn/nrEbqgvsEFlYntfxnDOT3dPVGnaRGLV3LZ/Pas6kE77Trm/5t6/P77acxQSu&#10;A+OdbPlNRv60f/tmN4ZGLvzgTSeREYiLzRhaPqQUmqqKYpAW4swH6SioPFpIZGJfdQgjoVtTLep6&#10;U40eu4BeyBjJe7wH+b7gKyVF+qJUlImZllNvqZxYznM+q/0Omh4hDFpMbcA/dGFBO3r0AXWEBOwH&#10;6r+grBboo1dpJrytvFJayMKB2MzrP9i8DBBk4ULixPCQKf4/WPH5ckKmO5pdvebMgaUhvSQE3Q+J&#10;HbxzJKFHlqOk1RhiQyUHd8LJiuGEmfhVoWXK6PCdoIoURI5di9K3h9Lympgg52azWn+geQgKzZer&#10;+Xa5zfDVHSfjBYzpo/SW5UvLjXZZCWjg8imme+qvlOx2/lkbQ35ojGMjvbBcZ3ygnVIGEl1tIJbR&#10;9ZyB6WlZRcKCGL3RXa7OxRH788EguwAtzGr1fnFYTY39lpafPkIc7nkllNOgsTrRPhttW76t8zdV&#10;G5ejsmzkRCBreVcv386+uxVRq2zRtIsa02bmdXpt0/31/7P/CQAA//8DAFBLAwQUAAYACAAAACEA&#10;WXhhd98AAAAKAQAADwAAAGRycy9kb3ducmV2LnhtbEyPwU7DMAyG70i8Q2QkbixtB6UqTScE4gAX&#10;tMK0q9eaplqTlCbtyttjTuNk2f70+3OxWUwvZhp956yCeBWBIFu7prOtgs+Pl5sMhA9oG+ydJQU/&#10;5GFTXl4UmDfuZLc0V6EVHGJ9jgp0CEMupa81GfQrN5Dl3ZcbDQZux1Y2I5443PQyiaJUGuwsX9A4&#10;0JOm+lhNRsFrhdv0/Xsf01vyPB933XSv60mp66vl8QFEoCWcYfjTZ3Uo2engJtt40StYZ/EdowqS&#10;iCsDt1magDjwYB1nIMtC/n+h/AUAAP//AwBQSwECLQAUAAYACAAAACEAtoM4kv4AAADhAQAAEwAA&#10;AAAAAAAAAAAAAAAAAAAAW0NvbnRlbnRfVHlwZXNdLnhtbFBLAQItABQABgAIAAAAIQA4/SH/1gAA&#10;AJQBAAALAAAAAAAAAAAAAAAAAC8BAABfcmVscy8ucmVsc1BLAQItABQABgAIAAAAIQAbchdd0wEA&#10;AIcDAAAOAAAAAAAAAAAAAAAAAC4CAABkcnMvZTJvRG9jLnhtbFBLAQItABQABgAIAAAAIQBZeGF3&#10;3wAAAAoBAAAPAAAAAAAAAAAAAAAAAC0EAABkcnMvZG93bnJldi54bWxQSwUGAAAAAAQABADzAAAA&#10;OQUAAAAA&#10;" strokecolor="#4472c4" strokeweight=".5pt">
                <v:stroke joinstyle="miter"/>
                <w10:wrap anchorx="margin"/>
              </v:line>
            </w:pict>
          </mc:Fallback>
        </mc:AlternateContent>
      </w:r>
      <w:r w:rsidRPr="00BE2C1D">
        <w:rPr>
          <w:rFonts w:cstheme="minorHAnsi"/>
          <w:noProof/>
          <w:lang w:eastAsia="en-GB"/>
        </w:rPr>
        <mc:AlternateContent>
          <mc:Choice Requires="wps">
            <w:drawing>
              <wp:anchor distT="0" distB="0" distL="114300" distR="114300" simplePos="0" relativeHeight="251728896" behindDoc="0" locked="0" layoutInCell="1" allowOverlap="1" wp14:anchorId="0B411DFE" wp14:editId="5C28579D">
                <wp:simplePos x="0" y="0"/>
                <wp:positionH relativeFrom="column">
                  <wp:posOffset>3123210</wp:posOffset>
                </wp:positionH>
                <wp:positionV relativeFrom="paragraph">
                  <wp:posOffset>165512</wp:posOffset>
                </wp:positionV>
                <wp:extent cx="106878" cy="1864426"/>
                <wp:effectExtent l="0" t="0" r="26670" b="21590"/>
                <wp:wrapNone/>
                <wp:docPr id="101" name="Straight Connector 101"/>
                <wp:cNvGraphicFramePr/>
                <a:graphic xmlns:a="http://schemas.openxmlformats.org/drawingml/2006/main">
                  <a:graphicData uri="http://schemas.microsoft.com/office/word/2010/wordprocessingShape">
                    <wps:wsp>
                      <wps:cNvCnPr/>
                      <wps:spPr>
                        <a:xfrm>
                          <a:off x="0" y="0"/>
                          <a:ext cx="106878" cy="1864426"/>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7B953AE" id="Straight Connector 101" o:spid="_x0000_s1026" style="position:absolute;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5.9pt,13.05pt" to="254.3pt,15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cf5zgEAAH0DAAAOAAAAZHJzL2Uyb0RvYy54bWysU8uO0zAU3SPNP1jeT5OUkKmiprNoNWwQ&#10;VBr4gFvHSSz5pWvTtH/PtRvKADtEFs59557jk+3zxWh2lhiUsx2vViVn0grXKzt2/NvXl8cNZyGC&#10;7UE7Kzt+lYE/7x7ebWffyrWbnO4lMhpiQzv7jk8x+rYogpikgbByXlpKDg4NRHJxLHqEmaYbXazL&#10;silmh71HJ2QIFD3cknyX5w+DFPHLMAQZme447Rbzifk8pbPYbaEdEfykxLIG/MMWBpSlj95HHSAC&#10;+47qr1FGCXTBDXElnCncMCghMwZCU5V/oHmdwMuMhcgJ/k5T+H9jxefzEZnq6e7KijMLhi7pNSKo&#10;cYps76wlCh2ylCWuZh9aatnbIy5e8EdMwC8DmvQmSOyS+b3e+ZWXyAQFq7LZPJEgBKWqTVPX6yYN&#10;LX51ewzxo3SGJaPjWtmEH1o4fwrxVvqzJIWte1FaUxxabdnc8eb9B7plAaSkQUMk03jCFuzIGeiR&#10;JCoi5onBadWn7tQccDztNbIzkEzq+mm9r5fFfitLnz5AmG51OZXKoDUqkoq1Mh3flOlZurVNWZl1&#10;uABIDN44S9bJ9ddMZZE8uuPMxqLHJKK3Ptlv/5rdDwAAAP//AwBQSwMEFAAGAAgAAAAhAJVPma7h&#10;AAAACgEAAA8AAABkcnMvZG93bnJldi54bWxMjzFPwzAUhHck/oP1kNio7UBNEuJUFImBBZWWATY3&#10;eSSB+DnEbhr+fc0E4+lOd98Vq9n2bMLRd440yIUAhlS5uqNGw+vu8SoF5oOh2vSOUMMPeliV52eF&#10;yWt3pBectqFhsYR8bjS0IQw5575q0Rq/cANS9D7caE2Icmx4PZpjLLc9T4RQ3JqO4kJrBnxosfra&#10;HqyGnVpu0iA3T9/i/W2dqQQ/p/Wz1pcX8/0dsIBz+AvDL35EhzIy7d2Bas96DTeZjOhBQ6IksBhY&#10;ilQB22u4ltkt8LLg/y+UJwAAAP//AwBQSwECLQAUAAYACAAAACEAtoM4kv4AAADhAQAAEwAAAAAA&#10;AAAAAAAAAAAAAAAAW0NvbnRlbnRfVHlwZXNdLnhtbFBLAQItABQABgAIAAAAIQA4/SH/1gAAAJQB&#10;AAALAAAAAAAAAAAAAAAAAC8BAABfcmVscy8ucmVsc1BLAQItABQABgAIAAAAIQDdYcf5zgEAAH0D&#10;AAAOAAAAAAAAAAAAAAAAAC4CAABkcnMvZTJvRG9jLnhtbFBLAQItABQABgAIAAAAIQCVT5mu4QAA&#10;AAoBAAAPAAAAAAAAAAAAAAAAACgEAABkcnMvZG93bnJldi54bWxQSwUGAAAAAAQABADzAAAANgUA&#10;AAAA&#10;" strokecolor="#4472c4" strokeweight=".5pt">
                <v:stroke joinstyle="miter"/>
              </v:line>
            </w:pict>
          </mc:Fallback>
        </mc:AlternateContent>
      </w:r>
    </w:p>
    <w:p w14:paraId="6E449C0F" w14:textId="77777777" w:rsidR="00BE2C1D" w:rsidRPr="00BE2C1D" w:rsidRDefault="00BE2C1D" w:rsidP="00BE2C1D">
      <w:pPr>
        <w:spacing w:line="360" w:lineRule="auto"/>
        <w:rPr>
          <w:rFonts w:cstheme="minorHAnsi"/>
        </w:rPr>
      </w:pPr>
      <w:r w:rsidRPr="00BE2C1D">
        <w:rPr>
          <w:rFonts w:cstheme="minorHAnsi"/>
          <w:noProof/>
          <w:lang w:eastAsia="en-GB"/>
        </w:rPr>
        <mc:AlternateContent>
          <mc:Choice Requires="wps">
            <w:drawing>
              <wp:anchor distT="0" distB="0" distL="114300" distR="114300" simplePos="0" relativeHeight="251661312" behindDoc="0" locked="0" layoutInCell="1" allowOverlap="1" wp14:anchorId="12B600AC" wp14:editId="6B4489C5">
                <wp:simplePos x="0" y="0"/>
                <wp:positionH relativeFrom="margin">
                  <wp:posOffset>4200705</wp:posOffset>
                </wp:positionH>
                <wp:positionV relativeFrom="paragraph">
                  <wp:posOffset>234255</wp:posOffset>
                </wp:positionV>
                <wp:extent cx="1069676" cy="819509"/>
                <wp:effectExtent l="0" t="0" r="16510" b="19050"/>
                <wp:wrapNone/>
                <wp:docPr id="6" name="Rectangle 6"/>
                <wp:cNvGraphicFramePr/>
                <a:graphic xmlns:a="http://schemas.openxmlformats.org/drawingml/2006/main">
                  <a:graphicData uri="http://schemas.microsoft.com/office/word/2010/wordprocessingShape">
                    <wps:wsp>
                      <wps:cNvSpPr/>
                      <wps:spPr>
                        <a:xfrm>
                          <a:off x="0" y="0"/>
                          <a:ext cx="1069676" cy="819509"/>
                        </a:xfrm>
                        <a:prstGeom prst="rect">
                          <a:avLst/>
                        </a:prstGeom>
                        <a:solidFill>
                          <a:srgbClr val="4472C4"/>
                        </a:solidFill>
                        <a:ln w="12700" cap="flat" cmpd="sng" algn="ctr">
                          <a:solidFill>
                            <a:srgbClr val="4472C4">
                              <a:shade val="50000"/>
                            </a:srgbClr>
                          </a:solidFill>
                          <a:prstDash val="solid"/>
                          <a:miter lim="800000"/>
                        </a:ln>
                        <a:effectLst/>
                      </wps:spPr>
                      <wps:txbx>
                        <w:txbxContent>
                          <w:p w14:paraId="5692D685" w14:textId="77777777" w:rsidR="003142CE" w:rsidRDefault="003142CE" w:rsidP="00BE2C1D">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Statement/</w:t>
                            </w:r>
                          </w:p>
                          <w:p w14:paraId="5A3C95E4" w14:textId="77777777" w:rsidR="003142CE" w:rsidRPr="000232DC" w:rsidRDefault="003142CE" w:rsidP="00BE2C1D">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Labels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B600AC" id="Rectangle 6" o:spid="_x0000_s1027" style="position:absolute;margin-left:330.75pt;margin-top:18.45pt;width:84.25pt;height:64.5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Ar0hQIAACQFAAAOAAAAZHJzL2Uyb0RvYy54bWysVEtv2zAMvg/YfxB0X20HadIYdYogRYcB&#10;RVu0HXpmZNkWoNckJXb360fJTl/raZgPMilSH8WPpM4vBiXJgTsvjK5ocZJTwjUztdBtRX8+Xn07&#10;o8QH0DVIo3lFn7mnF+uvX857W/KZ6YysuSMIon3Z24p2IdgyyzzruAJ/YizXaGyMUxBQdW1WO+gR&#10;XclslueLrDeuts4w7j3uXo5Guk74TcNZuG0azwORFcW7hbS6tO7imq3PoWwd2E6w6RrwD7dQIDQG&#10;fYG6hABk78RfUEowZ7xpwgkzKjNNIxhPOWA2Rf4hm4cOLE+5IDnevtDk/x8suzncOSLqii4o0aCw&#10;RPdIGuhWcrKI9PTWl+j1YO/cpHkUY65D41T8YxZkSJQ+v1DKh0AYbhb5YrVYIjZD21mxOs1XETR7&#10;PW2dD9+5USQKFXUYPTEJh2sfRtejSwzmjRT1lZAyKa7dbaUjB8DyzufL2XY+ob9zk5r0eJXZMscW&#10;YIBt1kgIKCqLiXvdUgKyxf5lwaXY7077T4Kk4B3UfAx9muN3jDy6pxzf4cQsLsF345FkikegVCLg&#10;DEihkKEIdESSOlp56uKJi1iMkf4ohWE3pNoVESju7Ez9jPV0Zmx0b9mVwLDX4MMdOOxsJACnNdzi&#10;0kiDrJhJoqQz7vdn+9EfGw6tlPQ4KcjYrz04Ton8obEVV8V8HkcrKfPT5QwV99aye2vRe7U1WK0C&#10;3wXLkhj9gzyKjTPqCYd6E6OiCTTD2GNtJmUbxgnGZ4HxzSa54ThZCNf6wbIIHpmLhD8OT+Ds1FsB&#10;u/LGHKcKyg8tNvrGk9ps9sE0IvXfK69Y06jgKKbqTs9GnPW3evJ6fdzWfwAAAP//AwBQSwMEFAAG&#10;AAgAAAAhAJvqIfbgAAAACgEAAA8AAABkcnMvZG93bnJldi54bWxMj0FOwzAQRfdI3MGaSuyoXapa&#10;JcSpUBGLComqDQdwY9dJG49D7DaB0zOsYDmap//fz1ejb9nV9rEJqGA2FcAsVsE06BR8lK/3S2Ax&#10;aTS6DWgVfNkIq+L2JteZCQPu7HWfHKMQjJlWUKfUZZzHqrZex2noLNLvGHqvE52946bXA4X7lj8I&#10;IbnXDVJDrTu7rm113l+8AncqT+dujXKzfVm8vX9uS7cZvpW6m4zPT8CSHdMfDL/6pA4FOR3CBU1k&#10;rQIpZwtCFczlIzAClnNB4w5ESimAFzn/P6H4AQAA//8DAFBLAQItABQABgAIAAAAIQC2gziS/gAA&#10;AOEBAAATAAAAAAAAAAAAAAAAAAAAAABbQ29udGVudF9UeXBlc10ueG1sUEsBAi0AFAAGAAgAAAAh&#10;ADj9If/WAAAAlAEAAAsAAAAAAAAAAAAAAAAALwEAAF9yZWxzLy5yZWxzUEsBAi0AFAAGAAgAAAAh&#10;AGFcCvSFAgAAJAUAAA4AAAAAAAAAAAAAAAAALgIAAGRycy9lMm9Eb2MueG1sUEsBAi0AFAAGAAgA&#10;AAAhAJvqIfbgAAAACgEAAA8AAAAAAAAAAAAAAAAA3wQAAGRycy9kb3ducmV2LnhtbFBLBQYAAAAA&#10;BAAEAPMAAADsBQAAAAA=&#10;" fillcolor="#4472c4" strokecolor="#2f528f" strokeweight="1pt">
                <v:textbox>
                  <w:txbxContent>
                    <w:p w14:paraId="5692D685" w14:textId="77777777" w:rsidR="003142CE" w:rsidRDefault="003142CE" w:rsidP="00BE2C1D">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Statement/</w:t>
                      </w:r>
                    </w:p>
                    <w:p w14:paraId="5A3C95E4" w14:textId="77777777" w:rsidR="003142CE" w:rsidRPr="000232DC" w:rsidRDefault="003142CE" w:rsidP="00BE2C1D">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Labels</w:t>
                      </w:r>
                    </w:p>
                  </w:txbxContent>
                </v:textbox>
                <w10:wrap anchorx="margin"/>
              </v:rect>
            </w:pict>
          </mc:Fallback>
        </mc:AlternateContent>
      </w:r>
      <w:r w:rsidRPr="00BE2C1D">
        <w:rPr>
          <w:rFonts w:cstheme="minorHAnsi"/>
          <w:noProof/>
          <w:lang w:eastAsia="en-GB"/>
        </w:rPr>
        <mc:AlternateContent>
          <mc:Choice Requires="wps">
            <w:drawing>
              <wp:anchor distT="0" distB="0" distL="114300" distR="114300" simplePos="0" relativeHeight="251662336" behindDoc="0" locked="0" layoutInCell="1" allowOverlap="1" wp14:anchorId="3F6628C0" wp14:editId="4D363407">
                <wp:simplePos x="0" y="0"/>
                <wp:positionH relativeFrom="margin">
                  <wp:posOffset>1319842</wp:posOffset>
                </wp:positionH>
                <wp:positionV relativeFrom="paragraph">
                  <wp:posOffset>9777</wp:posOffset>
                </wp:positionV>
                <wp:extent cx="949325" cy="957532"/>
                <wp:effectExtent l="0" t="0" r="22225" b="14605"/>
                <wp:wrapNone/>
                <wp:docPr id="7" name="Rectangle 7"/>
                <wp:cNvGraphicFramePr/>
                <a:graphic xmlns:a="http://schemas.openxmlformats.org/drawingml/2006/main">
                  <a:graphicData uri="http://schemas.microsoft.com/office/word/2010/wordprocessingShape">
                    <wps:wsp>
                      <wps:cNvSpPr/>
                      <wps:spPr>
                        <a:xfrm>
                          <a:off x="0" y="0"/>
                          <a:ext cx="949325" cy="957532"/>
                        </a:xfrm>
                        <a:prstGeom prst="rect">
                          <a:avLst/>
                        </a:prstGeom>
                        <a:solidFill>
                          <a:srgbClr val="4472C4"/>
                        </a:solidFill>
                        <a:ln w="12700" cap="flat" cmpd="sng" algn="ctr">
                          <a:solidFill>
                            <a:srgbClr val="4472C4">
                              <a:shade val="50000"/>
                            </a:srgbClr>
                          </a:solidFill>
                          <a:prstDash val="solid"/>
                          <a:miter lim="800000"/>
                        </a:ln>
                        <a:effectLst/>
                      </wps:spPr>
                      <wps:txbx>
                        <w:txbxContent>
                          <w:p w14:paraId="34004752" w14:textId="77777777" w:rsidR="003142CE" w:rsidRPr="000232DC" w:rsidRDefault="003142CE" w:rsidP="00BE2C1D">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School Professionals (SENCOs, OTs)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6628C0" id="Rectangle 7" o:spid="_x0000_s1028" style="position:absolute;margin-left:103.9pt;margin-top:.75pt;width:74.75pt;height:75.4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UUEhQIAACMFAAAOAAAAZHJzL2Uyb0RvYy54bWysVEtv2zAMvg/YfxB0X524ztIYdYogRYcB&#10;RVusHXpmZNkWoNckJXb360fJTl/raZgPMilSpPjxo84vBiXJgTsvjK7o/GRGCdfM1EK3Ff35cPXl&#10;jBIfQNcgjeYVfeKeXqw/fzrvbclz0xlZc0cwiPZlbyvahWDLLPOs4wr8ibFco7ExTkFA1bVZ7aDH&#10;6Epm+Wz2NeuNq60zjHuPu5ejka5T/KbhLNw2jeeByIri3UJaXVp3cc3W51C2Dmwn2HQN+IdbKBAa&#10;kz6HuoQAZO/EX6GUYM5404QTZlRmmkYwnmrAauazd9Xcd2B5qgXB8fYZJv//wrKbw50joq7okhIN&#10;Clv0A0ED3UpOlhGe3voSve7tnZs0j2KsdWicin+sggwJ0qdnSPkQCMPNVbE6zReUMDStFsvFaR5j&#10;Zi+HrfPhGzeKRKGiDpMnIOFw7cPoenSJubyRor4SUibFtbutdOQA2N2iWObbYor+xk1q0iM38+UM&#10;GcAAWdZICCgqi3V73VICskX6suBS7jen/QdJUvIOaj6mXszwO2Ye3VONb+LEKi7Bd+ORZIpHoFQi&#10;4AhIoSp6FgMdI0kdrTyReMIi9mJEP0ph2A2pdQnTuLMz9RO205mR596yK4Fpr8GHO3BIbAQAhzXc&#10;4tJIg6iYSaKkM+73R/vRH/mGVkp6HBRE7NceHKdEftfIxNW8KOJkJaVYLHNU3GvL7rVF79XWYLfm&#10;+CxYlsToH+RRbJxRjzjTm5gVTaAZ5h57MynbMA4wvgqMbzbJDafJQrjW95bF4BG5CPjD8AjOTtwK&#10;SMobcxwqKN9RbPSNJ7XZ7INpROLfC67Y06jgJKbuTq9GHPXXevJ6edvWfwAAAP//AwBQSwMEFAAG&#10;AAgAAAAhACpLH8rfAAAACQEAAA8AAABkcnMvZG93bnJldi54bWxMj0FOwzAQRfdI3MEaJHbUIVFa&#10;lMapUBGLComKhgO48TRJG49D7DaB0zNdwfLrjf5/k68m24kLDr51pOBxFoFAqpxpqVbwWb4+PIHw&#10;QZPRnSNU8I0eVsXtTa4z40b6wMsu1IJLyGdaQRNCn0npqwat9jPXIzE7uMHqwHGopRn0yOW2k3EU&#10;zaXVLfFCo3tcN1iddmeroD6Wx1O/pvlm+5K+vX9ty3oz/ih1fzc9L0EEnMLfMVz1WR0Kdtq7Mxkv&#10;OgVxtGD1wCAFwTxJFwmI/TXHCcgil/8/KH4BAAD//wMAUEsBAi0AFAAGAAgAAAAhALaDOJL+AAAA&#10;4QEAABMAAAAAAAAAAAAAAAAAAAAAAFtDb250ZW50X1R5cGVzXS54bWxQSwECLQAUAAYACAAAACEA&#10;OP0h/9YAAACUAQAACwAAAAAAAAAAAAAAAAAvAQAAX3JlbHMvLnJlbHNQSwECLQAUAAYACAAAACEA&#10;1UlFBIUCAAAjBQAADgAAAAAAAAAAAAAAAAAuAgAAZHJzL2Uyb0RvYy54bWxQSwECLQAUAAYACAAA&#10;ACEAKksfyt8AAAAJAQAADwAAAAAAAAAAAAAAAADfBAAAZHJzL2Rvd25yZXYueG1sUEsFBgAAAAAE&#10;AAQA8wAAAOsFAAAAAA==&#10;" fillcolor="#4472c4" strokecolor="#2f528f" strokeweight="1pt">
                <v:textbox>
                  <w:txbxContent>
                    <w:p w14:paraId="34004752" w14:textId="77777777" w:rsidR="003142CE" w:rsidRPr="000232DC" w:rsidRDefault="003142CE" w:rsidP="00BE2C1D">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School Professionals (SENCOs, OTs)</w:t>
                      </w:r>
                    </w:p>
                  </w:txbxContent>
                </v:textbox>
                <w10:wrap anchorx="margin"/>
              </v:rect>
            </w:pict>
          </mc:Fallback>
        </mc:AlternateContent>
      </w:r>
    </w:p>
    <w:p w14:paraId="5923CCA1" w14:textId="77777777" w:rsidR="00BE2C1D" w:rsidRPr="00BE2C1D" w:rsidRDefault="00BE2C1D" w:rsidP="00BE2C1D">
      <w:pPr>
        <w:spacing w:line="360" w:lineRule="auto"/>
        <w:rPr>
          <w:rFonts w:cstheme="minorHAnsi"/>
        </w:rPr>
      </w:pPr>
      <w:r w:rsidRPr="00BE2C1D">
        <w:rPr>
          <w:rFonts w:cstheme="minorHAnsi"/>
          <w:noProof/>
          <w:lang w:eastAsia="en-GB"/>
        </w:rPr>
        <mc:AlternateContent>
          <mc:Choice Requires="wps">
            <w:drawing>
              <wp:anchor distT="0" distB="0" distL="114300" distR="114300" simplePos="0" relativeHeight="251735040" behindDoc="0" locked="0" layoutInCell="1" allowOverlap="1" wp14:anchorId="3376C80F" wp14:editId="6EE5C748">
                <wp:simplePos x="0" y="0"/>
                <wp:positionH relativeFrom="column">
                  <wp:posOffset>2339439</wp:posOffset>
                </wp:positionH>
                <wp:positionV relativeFrom="paragraph">
                  <wp:posOffset>281775</wp:posOffset>
                </wp:positionV>
                <wp:extent cx="1745244" cy="59286"/>
                <wp:effectExtent l="0" t="0" r="26670" b="36195"/>
                <wp:wrapNone/>
                <wp:docPr id="107" name="Straight Connector 107"/>
                <wp:cNvGraphicFramePr/>
                <a:graphic xmlns:a="http://schemas.openxmlformats.org/drawingml/2006/main">
                  <a:graphicData uri="http://schemas.microsoft.com/office/word/2010/wordprocessingShape">
                    <wps:wsp>
                      <wps:cNvCnPr/>
                      <wps:spPr>
                        <a:xfrm>
                          <a:off x="0" y="0"/>
                          <a:ext cx="1745244" cy="59286"/>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413B7B2" id="Straight Connector 107" o:spid="_x0000_s1026" style="position:absolute;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4.2pt,22.2pt" to="321.6pt,2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UvWzQEAAHwDAAAOAAAAZHJzL2Uyb0RvYy54bWysU8uu0zAQ3SPxD5b3NGlIH0RN76LVZYOg&#10;0oUPmDpOYskvjU3T/j1jN5QL7BBZOPM8mXM82T1djWYXiUE52/LlouRMWuE6ZYeWf/v6/G7LWYhg&#10;O9DOypbfZOBP+7dvdpNvZOVGpzuJjEBsaCbf8jFG3xRFEKM0EBbOS0vJ3qGBSC4ORYcwEbrRRVWW&#10;62Jy2Hl0QoZA0eM9yfcZv++liF/6PsjIdMtptphPzOc5ncV+B82A4Ecl5jHgH6YwoCx99AF1hAjs&#10;O6q/oIwS6ILr40I4U7i+V0JmDsRmWf7B5mUELzMXEif4h0zh/8GKz5cTMtXR3ZUbziwYuqSXiKCG&#10;MbKDs5YkdMhSlrSafGio5WBPOHvBnzARv/Zo0psosWvW9/bQV14jExRcbupVVdecCcqtPlTbdcIs&#10;fjV7DPGjdIYlo+Va2UQfGrh8CvFe+rMkha17VlpTHBpt2dTy9fsVXbIAWqReQyTTeKIW7MAZ6IE2&#10;VETMiMFp1aXu1BxwOB80sgvQltT1pjrU82C/laVPHyGM97qcSmXQGBVpibUyLd+W6Zm7tU1Zmddw&#10;JpAEvEuWrLPrblnJInl0xVmNeR3TDr32yX790+x/AAAA//8DAFBLAwQUAAYACAAAACEAnV3zzOAA&#10;AAAJAQAADwAAAGRycy9kb3ducmV2LnhtbEyPwU6DQBCG7ya+w2ZMvNmlQBGRobEmHryY2nrQ25Yd&#10;AWVnkd1SfHvXk54mk/nyz/eX69n0YqLRdZYRlosIBHFtdccNwsv+4SoH4bxirXrLhPBNDtbV+Vmp&#10;Cm1P/EzTzjcihLArFELr/VBI6eqWjHILOxCH27sdjfJhHRupR3UK4aaXcRRl0qiOw4dWDXTfUv25&#10;OxqEfbba5n65ffyK3l43N1lMH9PmCfHyYr67BeFp9n8w/OoHdaiC08EeWTvRIyRZngYUIU3DDECW&#10;JjGIA8IquQZZlfJ/g+oHAAD//wMAUEsBAi0AFAAGAAgAAAAhALaDOJL+AAAA4QEAABMAAAAAAAAA&#10;AAAAAAAAAAAAAFtDb250ZW50X1R5cGVzXS54bWxQSwECLQAUAAYACAAAACEAOP0h/9YAAACUAQAA&#10;CwAAAAAAAAAAAAAAAAAvAQAAX3JlbHMvLnJlbHNQSwECLQAUAAYACAAAACEA0AFL1s0BAAB8AwAA&#10;DgAAAAAAAAAAAAAAAAAuAgAAZHJzL2Uyb0RvYy54bWxQSwECLQAUAAYACAAAACEAnV3zzOAAAAAJ&#10;AQAADwAAAAAAAAAAAAAAAAAnBAAAZHJzL2Rvd25yZXYueG1sUEsFBgAAAAAEAAQA8wAAADQFAAAA&#10;AA==&#10;" strokecolor="#4472c4" strokeweight=".5pt">
                <v:stroke joinstyle="miter"/>
              </v:line>
            </w:pict>
          </mc:Fallback>
        </mc:AlternateContent>
      </w:r>
    </w:p>
    <w:p w14:paraId="4D6E2CF5" w14:textId="77777777" w:rsidR="00BE2C1D" w:rsidRPr="00BE2C1D" w:rsidRDefault="00BE2C1D" w:rsidP="00BE2C1D">
      <w:pPr>
        <w:spacing w:line="360" w:lineRule="auto"/>
        <w:rPr>
          <w:rFonts w:cstheme="minorHAnsi"/>
        </w:rPr>
      </w:pPr>
      <w:r w:rsidRPr="00BE2C1D">
        <w:rPr>
          <w:rFonts w:cstheme="minorHAnsi"/>
          <w:noProof/>
          <w:lang w:eastAsia="en-GB"/>
        </w:rPr>
        <mc:AlternateContent>
          <mc:Choice Requires="wps">
            <w:drawing>
              <wp:anchor distT="0" distB="0" distL="114300" distR="114300" simplePos="0" relativeHeight="251740160" behindDoc="0" locked="0" layoutInCell="1" allowOverlap="1" wp14:anchorId="001AFB36" wp14:editId="26240961">
                <wp:simplePos x="0" y="0"/>
                <wp:positionH relativeFrom="column">
                  <wp:posOffset>1899211</wp:posOffset>
                </wp:positionH>
                <wp:positionV relativeFrom="paragraph">
                  <wp:posOffset>269289</wp:posOffset>
                </wp:positionV>
                <wp:extent cx="12716" cy="189420"/>
                <wp:effectExtent l="0" t="0" r="25400" b="20320"/>
                <wp:wrapNone/>
                <wp:docPr id="112" name="Straight Connector 112"/>
                <wp:cNvGraphicFramePr/>
                <a:graphic xmlns:a="http://schemas.openxmlformats.org/drawingml/2006/main">
                  <a:graphicData uri="http://schemas.microsoft.com/office/word/2010/wordprocessingShape">
                    <wps:wsp>
                      <wps:cNvCnPr/>
                      <wps:spPr>
                        <a:xfrm flipH="1">
                          <a:off x="0" y="0"/>
                          <a:ext cx="12716" cy="18942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E1BB5A8" id="Straight Connector 112" o:spid="_x0000_s1026" style="position:absolute;flip:x;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9.55pt,21.2pt" to="150.55pt,3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gpe1wEAAIUDAAAOAAAAZHJzL2Uyb0RvYy54bWysU02P0zAQvSPxHyzfaZpQuiVquodWCwcE&#10;lRZ+wNSxE0v+0tg07b9n7IZqWW6IHCyPZ/zG783L9vFiDTtLjNq7jteLJWfSCd9rN3T8x/endxvO&#10;YgLXg/FOdvwqI3/cvX2znUIrGz9600tkBOJiO4WOjymFtqqiGKWFuPBBOkoqjxYShThUPcJE6NZU&#10;zXK5riaPfUAvZIx0ergl+a7gKyVF+qZUlImZjtPbUlmxrKe8VrsttANCGLWYnwH/8AoL2lHTO9QB&#10;ErCfqP+Cslqgj16lhfC28kppIQsHYlMvX7F5HiHIwoXEieEuU/x/sOLr+YhM9zS7uuHMgaUhPScE&#10;PYyJ7b1zJKFHlrOk1RRiS1f27ohzFMMRM/GLQsuU0eEzQRUpiBy7FKWvd6XlJTFBh3XzUK85E5Sp&#10;Nx9XTRlEdUPJaAFj+iS9ZXnTcaNd1gFaOH+JiTpT6e+SfOz8kzamzNI4NnV8/f4DTVsAOUoZSLS1&#10;gThGN3AGZiCrioQFMXqj+3w740QcTnuD7Axkl9XqodmvMmvq9kdZbn2AON7qSupmJKsTudlo2/HN&#10;Mn/zbeMyuix+nAlkJW/a5d3J99ciaZUjmnVpOvsym+llTPuXf8/uFwAAAP//AwBQSwMEFAAGAAgA&#10;AAAhAOfAGgjfAAAACQEAAA8AAABkcnMvZG93bnJldi54bWxMj01PwzAMhu9I/IfISNxY2jDtozSd&#10;EIgDXNAKE9esNU21xilN2pV/jznB0faj18+b72bXiQmH0HrSkC4SEEiVr1tqNLy/Pd1sQIRoqDad&#10;J9TwjQF2xeVFbrLan2mPUxkbwSEUMqPBxthnUobKojNh4Xskvn36wZnI49DIejBnDnedVEmyks60&#10;xB+s6fHBYnUqR6fhuTT71evXR4ov6nE6HdpxbatR6+ur+f4ORMQ5/sHwq8/qULDT0Y9UB9FpUNtt&#10;yqiGpVqCYOA2SXlx1LBWCmSRy/8Nih8AAAD//wMAUEsBAi0AFAAGAAgAAAAhALaDOJL+AAAA4QEA&#10;ABMAAAAAAAAAAAAAAAAAAAAAAFtDb250ZW50X1R5cGVzXS54bWxQSwECLQAUAAYACAAAACEAOP0h&#10;/9YAAACUAQAACwAAAAAAAAAAAAAAAAAvAQAAX3JlbHMvLnJlbHNQSwECLQAUAAYACAAAACEA0uIK&#10;XtcBAACFAwAADgAAAAAAAAAAAAAAAAAuAgAAZHJzL2Uyb0RvYy54bWxQSwECLQAUAAYACAAAACEA&#10;58AaCN8AAAAJAQAADwAAAAAAAAAAAAAAAAAxBAAAZHJzL2Rvd25yZXYueG1sUEsFBgAAAAAEAAQA&#10;8wAAAD0FAAAAAA==&#10;" strokecolor="#4472c4" strokeweight=".5pt">
                <v:stroke joinstyle="miter"/>
              </v:line>
            </w:pict>
          </mc:Fallback>
        </mc:AlternateContent>
      </w:r>
      <w:r w:rsidRPr="00BE2C1D">
        <w:rPr>
          <w:rFonts w:cstheme="minorHAnsi"/>
          <w:noProof/>
          <w:lang w:eastAsia="en-GB"/>
        </w:rPr>
        <mc:AlternateContent>
          <mc:Choice Requires="wps">
            <w:drawing>
              <wp:anchor distT="0" distB="0" distL="114300" distR="114300" simplePos="0" relativeHeight="251739136" behindDoc="0" locked="0" layoutInCell="1" allowOverlap="1" wp14:anchorId="4F88A202" wp14:editId="47BC11CD">
                <wp:simplePos x="0" y="0"/>
                <wp:positionH relativeFrom="column">
                  <wp:posOffset>2410691</wp:posOffset>
                </wp:positionH>
                <wp:positionV relativeFrom="paragraph">
                  <wp:posOffset>8033</wp:posOffset>
                </wp:positionV>
                <wp:extent cx="1578989" cy="724304"/>
                <wp:effectExtent l="0" t="0" r="21590" b="19050"/>
                <wp:wrapNone/>
                <wp:docPr id="111" name="Straight Connector 111"/>
                <wp:cNvGraphicFramePr/>
                <a:graphic xmlns:a="http://schemas.openxmlformats.org/drawingml/2006/main">
                  <a:graphicData uri="http://schemas.microsoft.com/office/word/2010/wordprocessingShape">
                    <wps:wsp>
                      <wps:cNvCnPr/>
                      <wps:spPr>
                        <a:xfrm>
                          <a:off x="0" y="0"/>
                          <a:ext cx="1578989" cy="724304"/>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A681C7D" id="Straight Connector 111" o:spid="_x0000_s1026" style="position:absolute;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9.8pt,.65pt" to="314.15pt,5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p9J0AEAAH0DAAAOAAAAZHJzL2Uyb0RvYy54bWysU8tu2zAQvBfoPxC815IcJ3YEyznYSC9F&#10;ayDtB6wpSiLAF5asZf99l5TipO2tqA7UPrijndnV9uliNDtLDMrZhleLkjNphWuV7Rv+4/vzpw1n&#10;IYJtQTsrG36VgT/tPn7Yjr6WSzc43UpkBGJDPfqGDzH6uiiCGKSBsHBeWkp2Dg1EcrEvWoSR0I0u&#10;lmX5UIwOW49OyBAoepiSfJfxu06K+K3rgoxMN5x6i/nEfJ7SWey2UPcIflBibgP+oQsDytJHb1AH&#10;iMB+ovoLyiiBLrguLoQzhes6JWTmQGyq8g82LwN4mbmQOMHfZAr/D1Z8PR+RqZZmV1WcWTA0pJeI&#10;oPohsr2zliR0yFKWtBp9qKlkb484e8EfMRG/dGjSmyixS9b3etNXXiITFKzu15vHzSNngnLr5equ&#10;XCXQ4q3aY4ifpTMsGQ3Xyib+UMP5S4jT1dcrKWzds9Ka4lBry8aGP9zd05QF0CZ1GiKZxhO3YHvO&#10;QPe0oiJiRgxOqzZVp+KA/WmvkZ2B1mS1Wi/3r439di19+gBhmO7l1LRARkXaYq1MwzdlemZa2iZ0&#10;mfdwJpAUnDRL1sm11yxlkTyacVZj3se0RO99st//NbtfAAAA//8DAFBLAwQUAAYACAAAACEAetwI&#10;nt8AAAAJAQAADwAAAGRycy9kb3ducmV2LnhtbEyPwU7DMBBE70j8g7VI3KiTlJo0xKkoEgcuqLQc&#10;2pubLEkgXofYTcPfs5zgtqM3mp3JV5PtxIiDbx1piGcRCKTSVS3VGt52TzcpCB8MVaZzhBq+0cOq&#10;uLzITVa5M73iuA214BDymdHQhNBnUvqyQWv8zPVIzN7dYE1gOdSyGsyZw20nkyhS0pqW+ENjenxs&#10;sPzcnqyGnVps0hBvnr+iw369VAl+jOsXra+vpod7EAGn8GeG3/pcHQrudHQnqrzoNMzvloqtDOYg&#10;mKsk5ePIOl7cgixy+X9B8QMAAP//AwBQSwECLQAUAAYACAAAACEAtoM4kv4AAADhAQAAEwAAAAAA&#10;AAAAAAAAAAAAAAAAW0NvbnRlbnRfVHlwZXNdLnhtbFBLAQItABQABgAIAAAAIQA4/SH/1gAAAJQB&#10;AAALAAAAAAAAAAAAAAAAAC8BAABfcmVscy8ucmVsc1BLAQItABQABgAIAAAAIQBaxp9J0AEAAH0D&#10;AAAOAAAAAAAAAAAAAAAAAC4CAABkcnMvZTJvRG9jLnhtbFBLAQItABQABgAIAAAAIQB63Aie3wAA&#10;AAkBAAAPAAAAAAAAAAAAAAAAACoEAABkcnMvZG93bnJldi54bWxQSwUGAAAAAAQABADzAAAANgUA&#10;AAAA&#10;" strokecolor="#4472c4" strokeweight=".5pt">
                <v:stroke joinstyle="miter"/>
              </v:line>
            </w:pict>
          </mc:Fallback>
        </mc:AlternateContent>
      </w:r>
      <w:r w:rsidRPr="00BE2C1D">
        <w:rPr>
          <w:rFonts w:cstheme="minorHAnsi"/>
          <w:noProof/>
          <w:lang w:eastAsia="en-GB"/>
        </w:rPr>
        <mc:AlternateContent>
          <mc:Choice Requires="wps">
            <w:drawing>
              <wp:anchor distT="0" distB="0" distL="114300" distR="114300" simplePos="0" relativeHeight="251736064" behindDoc="0" locked="0" layoutInCell="1" allowOverlap="1" wp14:anchorId="1503AE9B" wp14:editId="494E2E93">
                <wp:simplePos x="0" y="0"/>
                <wp:positionH relativeFrom="column">
                  <wp:posOffset>2410691</wp:posOffset>
                </wp:positionH>
                <wp:positionV relativeFrom="paragraph">
                  <wp:posOffset>31692</wp:posOffset>
                </wp:positionV>
                <wp:extent cx="1697743" cy="475104"/>
                <wp:effectExtent l="0" t="0" r="36195" b="20320"/>
                <wp:wrapNone/>
                <wp:docPr id="108" name="Straight Connector 108"/>
                <wp:cNvGraphicFramePr/>
                <a:graphic xmlns:a="http://schemas.openxmlformats.org/drawingml/2006/main">
                  <a:graphicData uri="http://schemas.microsoft.com/office/word/2010/wordprocessingShape">
                    <wps:wsp>
                      <wps:cNvCnPr/>
                      <wps:spPr>
                        <a:xfrm flipV="1">
                          <a:off x="0" y="0"/>
                          <a:ext cx="1697743" cy="475104"/>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E0AF4A9" id="Straight Connector 108" o:spid="_x0000_s1026" style="position:absolute;flip:y;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9.8pt,2.5pt" to="323.5pt,3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lMz1gEAAIcDAAAOAAAAZHJzL2Uyb0RvYy54bWysU8tu2zAQvBfoPxC8x5Idx04EyznYSC9F&#10;ayBt72uKlAjwhSVr2X/fJeUYaXsrqgOxLw53Zleb57M17CQxau9aPp/VnEknfKdd3/Lv317uHjmL&#10;CVwHxjvZ8ouM/Hn78cNmDI1c+MGbTiIjEBebMbR8SCk0VRXFIC3EmQ/SUVJ5tJDIxb7qEEZCt6Za&#10;1PWqGj12Ab2QMVJ0PyX5tuArJUX6qlSUiZmWU2+pnFjOYz6r7QaaHiEMWlzbgH/owoJ29OgNag8J&#10;2E/Uf0FZLdBHr9JMeFt5pbSQhQOxmdd/sHkdIMjChcSJ4SZT/H+w4svpgEx3NLuaRuXA0pBeE4Lu&#10;h8R23jmS0CPLWdJqDLGhKzt3wKsXwwEz8bNCy5TR4QdBFSmIHDsXpS83peU5MUHB+eppvV7ecyYo&#10;t1w/zOtlhq8mnIwXMKZP0luWjZYb7bIS0MDpc0xT6VtJDjv/oo2hODTGsbHlq/sHmrcA2illIJFp&#10;A7GMrucMTE/LKhIWxOiN7vLtfDlif9wZZCeghVku14vdW2O/leWn9xCHqa6kplWyOtE+G21b/ljn&#10;70rLuIwuy0ZeCWQtJ/WydfTdpYhaZY+mXdS4bmZep/c+2e//n+0vAAAA//8DAFBLAwQUAAYACAAA&#10;ACEAlkljQt4AAAAIAQAADwAAAGRycy9kb3ducmV2LnhtbEyPwU7DMBBE70j8g7VI3KjTAkkbsqkQ&#10;iANcqgYQVzde4qixHWInDX/PcoLbjmY0+6bYzrYTEw2h9Q5huUhAkKu9bl2D8Pb6dLUGEaJyWnXe&#10;EcI3BdiW52eFyrU/uT1NVWwEl7iQKwQTY59LGWpDVoWF78mx9+kHqyLLoZF6UCcut51cJUkqrWod&#10;fzCqpwdD9bEaLcJzpfbp7utjSS+rx+n43o6ZqUfEy4v5/g5EpDn+heEXn9GhZKaDH50OokO4zjYp&#10;RxFueRL76U3GxwEh26xBloX8P6D8AQAA//8DAFBLAQItABQABgAIAAAAIQC2gziS/gAAAOEBAAAT&#10;AAAAAAAAAAAAAAAAAAAAAABbQ29udGVudF9UeXBlc10ueG1sUEsBAi0AFAAGAAgAAAAhADj9If/W&#10;AAAAlAEAAAsAAAAAAAAAAAAAAAAALwEAAF9yZWxzLy5yZWxzUEsBAi0AFAAGAAgAAAAhANc2UzPW&#10;AQAAhwMAAA4AAAAAAAAAAAAAAAAALgIAAGRycy9lMm9Eb2MueG1sUEsBAi0AFAAGAAgAAAAhAJZJ&#10;Y0LeAAAACAEAAA8AAAAAAAAAAAAAAAAAMAQAAGRycy9kb3ducmV2LnhtbFBLBQYAAAAABAAEAPMA&#10;AAA7BQAAAAA=&#10;" strokecolor="#4472c4" strokeweight=".5pt">
                <v:stroke joinstyle="miter"/>
              </v:line>
            </w:pict>
          </mc:Fallback>
        </mc:AlternateContent>
      </w:r>
      <w:r w:rsidRPr="00BE2C1D">
        <w:rPr>
          <w:rFonts w:cstheme="minorHAnsi"/>
          <w:noProof/>
          <w:lang w:eastAsia="en-GB"/>
        </w:rPr>
        <mc:AlternateContent>
          <mc:Choice Requires="wps">
            <w:drawing>
              <wp:anchor distT="0" distB="0" distL="114300" distR="114300" simplePos="0" relativeHeight="251727872" behindDoc="0" locked="0" layoutInCell="1" allowOverlap="1" wp14:anchorId="575D9511" wp14:editId="3C2C9AF2">
                <wp:simplePos x="0" y="0"/>
                <wp:positionH relativeFrom="column">
                  <wp:posOffset>2375064</wp:posOffset>
                </wp:positionH>
                <wp:positionV relativeFrom="paragraph">
                  <wp:posOffset>8032</wp:posOffset>
                </wp:positionV>
                <wp:extent cx="783771" cy="902525"/>
                <wp:effectExtent l="0" t="0" r="35560" b="31115"/>
                <wp:wrapNone/>
                <wp:docPr id="100" name="Straight Connector 100"/>
                <wp:cNvGraphicFramePr/>
                <a:graphic xmlns:a="http://schemas.openxmlformats.org/drawingml/2006/main">
                  <a:graphicData uri="http://schemas.microsoft.com/office/word/2010/wordprocessingShape">
                    <wps:wsp>
                      <wps:cNvCnPr/>
                      <wps:spPr>
                        <a:xfrm>
                          <a:off x="0" y="0"/>
                          <a:ext cx="783771" cy="902525"/>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539A981" id="Straight Connector 100" o:spid="_x0000_s1026" style="position:absolute;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7pt,.65pt" to="248.7pt,7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WxNzQEAAHwDAAAOAAAAZHJzL2Uyb0RvYy54bWysU02P2jAQvVfqf7B8LwksLDQi7AG0vVQt&#10;0m5/wODYiSV/aewS+Pcdm5Ru21vVHJz5fJn3PNk+XaxhZ4lRe9fy+azmTDrhO+36ln97ff6w4Swm&#10;cB0Y72TLrzLyp937d9sxNHLhB286iYxAXGzG0PIhpdBUVRSDtBBnPkhHSeXRQiIX+6pDGAndmmpR&#10;14/V6LEL6IWMkaKHW5LvCr5SUqSvSkWZmGk5zZbKieU85bPabaHpEcKgxTQG/MMUFrSjj96hDpCA&#10;fUf9F5TVAn30Ks2Et5VXSgtZOBCbef0Hm5cBgixcSJwY7jLF/wcrvpyPyHRHd1eTPg4sXdJLQtD9&#10;kNjeO0cSemQ5S1qNITbUsndHnLwYjpiJXxTa/CZK7FL0vd71lZfEBAXXm4f1es6ZoNTHerFarDJm&#10;9as5YEyfpLcsGy032mX60MD5c0y30p8lOez8szaG4tAYx8aWPz6siIQAWiRlIJFpA1GLrucMTE8b&#10;KhIWxOiN7nJ3bo7Yn/YG2RloS5bL9WK/nAb7rSx/+gBxuNWVVC6DxupES2y0bfmmzs/UbVzOyrKG&#10;E4Es4E2ybJ18dy1KVtmjKy5qTOuYd+itT/bbn2b3AwAA//8DAFBLAwQUAAYACAAAACEAKVDoDuAA&#10;AAAJAQAADwAAAGRycy9kb3ducmV2LnhtbEyPMU/DMBCFdyT+g3VIbNRpY9I2xKkoEgMLKi1Du7nJ&#10;kQTic4jdNPz7HhOMT9/p3fey1WhbMWDvG0cappMIBFLhyoYqDe+757sFCB8MlaZ1hBp+0MMqv77K&#10;TFq6M73hsA2V4BLyqdFQh9ClUvqiRmv8xHVIzD5cb03g2Fey7M2Zy20rZ1GUSGsa4g+16fCpxuJr&#10;e7Iadsn9ZhGmm5fv6LBfL5MZfg7rV61vb8bHBxABx/B3DL/6rA45Ox3diUovWg3xXPGWwCAGwVwt&#10;5wrEkbOKFcg8k/8X5BcAAAD//wMAUEsBAi0AFAAGAAgAAAAhALaDOJL+AAAA4QEAABMAAAAAAAAA&#10;AAAAAAAAAAAAAFtDb250ZW50X1R5cGVzXS54bWxQSwECLQAUAAYACAAAACEAOP0h/9YAAACUAQAA&#10;CwAAAAAAAAAAAAAAAAAvAQAAX3JlbHMvLnJlbHNQSwECLQAUAAYACAAAACEATkFsTc0BAAB8AwAA&#10;DgAAAAAAAAAAAAAAAAAuAgAAZHJzL2Uyb0RvYy54bWxQSwECLQAUAAYACAAAACEAKVDoDuAAAAAJ&#10;AQAADwAAAAAAAAAAAAAAAAAnBAAAZHJzL2Rvd25yZXYueG1sUEsFBgAAAAAEAAQA8wAAADQFAAAA&#10;AA==&#10;" strokecolor="#4472c4" strokeweight=".5pt">
                <v:stroke joinstyle="miter"/>
              </v:line>
            </w:pict>
          </mc:Fallback>
        </mc:AlternateContent>
      </w:r>
      <w:r w:rsidRPr="00BE2C1D">
        <w:rPr>
          <w:rFonts w:cstheme="minorHAnsi"/>
          <w:noProof/>
          <w:lang w:eastAsia="en-GB"/>
        </w:rPr>
        <mc:AlternateContent>
          <mc:Choice Requires="wps">
            <w:drawing>
              <wp:anchor distT="0" distB="0" distL="114300" distR="114300" simplePos="0" relativeHeight="251729920" behindDoc="0" locked="0" layoutInCell="1" allowOverlap="1" wp14:anchorId="164113BA" wp14:editId="599E89EE">
                <wp:simplePos x="0" y="0"/>
                <wp:positionH relativeFrom="column">
                  <wp:posOffset>3265713</wp:posOffset>
                </wp:positionH>
                <wp:positionV relativeFrom="paragraph">
                  <wp:posOffset>31693</wp:posOffset>
                </wp:positionV>
                <wp:extent cx="878774" cy="949944"/>
                <wp:effectExtent l="0" t="0" r="17145" b="22225"/>
                <wp:wrapNone/>
                <wp:docPr id="102" name="Straight Connector 102"/>
                <wp:cNvGraphicFramePr/>
                <a:graphic xmlns:a="http://schemas.openxmlformats.org/drawingml/2006/main">
                  <a:graphicData uri="http://schemas.microsoft.com/office/word/2010/wordprocessingShape">
                    <wps:wsp>
                      <wps:cNvCnPr/>
                      <wps:spPr>
                        <a:xfrm flipH="1">
                          <a:off x="0" y="0"/>
                          <a:ext cx="878774" cy="949944"/>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F22223C" id="Straight Connector 102" o:spid="_x0000_s1026" style="position:absolute;flip:x;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7.15pt,2.5pt" to="326.35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60t/1QEAAIYDAAAOAAAAZHJzL2Uyb0RvYy54bWysU02P0zAQvSPxHyzfabIlbNuo6R5aLRwQ&#10;rLTwA6aOnVjyl8amaf89Y6dbLcsNkYM1X36e92ayfThbw04So/au43eLmjPphO+1Gzr+88fjhzVn&#10;MYHrwXgnO36RkT/s3r/bTqGVSz9600tkBOJiO4WOjymFtqqiGKWFuPBBOkoqjxYSuThUPcJE6NZU&#10;y7q+ryaPfUAvZIwUPcxJviv4SkmRvisVZWKm49RbKieW85jPareFdkAIoxbXNuAfurCgHT16gzpA&#10;AvYL9V9QVgv00au0EN5WXiktZOFAbO7qN2yeRwiycCFxYrjJFP8frPh2ekKme5pdveTMgaUhPScE&#10;PYyJ7b1zJKFHlrOk1RRiS1f27gmvXgxPmImfFVqmjA5fCKpIQeTYuSh9uSktz4kJCq5X69Wq4UxQ&#10;atNsNk2T0asZJsMFjOmz9JZlo+NGuywEtHD6GtNc+lKSw84/amMoDq1xbOr4/cdPNG4BtFLKQCLT&#10;BiIZ3cAZmIF2VSQsiNEb3efb+XLE4bg3yE5A+9I0q+X+pbE/yvLTB4jjXFdS8yZZnWidjbZEsc7f&#10;lZZxGV2WhbwSyFLO4mXr6PtL0bTKHg27qHFdzLxNr32yX/8+u98AAAD//wMAUEsDBBQABgAIAAAA&#10;IQBnBPGv3gAAAAkBAAAPAAAAZHJzL2Rvd25yZXYueG1sTI9BT4NAEIXvJv6HzZh4swtYqEGWxmg8&#10;6MUUbXqdwsiSsrvILhT/veNJb/Pyvrx5r9guphczjb5zVkG8ikCQrV3T2VbBx/vzzR0IH9A22DtL&#10;Cr7Jw7a8vCgwb9zZ7miuQis4xPocFegQhlxKX2sy6FduIMvepxsNBpZjK5sRzxxueplEUSYNdpY/&#10;aBzoUVN9qiaj4KXCXfb2dYjpNXmaT/tu2uh6Uur6anm4BxFoCX8w/Nbn6lByp6ObbONFryCN17eM&#10;8sGT2M/SZAPiyGC6zkCWhfy/oPwBAAD//wMAUEsBAi0AFAAGAAgAAAAhALaDOJL+AAAA4QEAABMA&#10;AAAAAAAAAAAAAAAAAAAAAFtDb250ZW50X1R5cGVzXS54bWxQSwECLQAUAAYACAAAACEAOP0h/9YA&#10;AACUAQAACwAAAAAAAAAAAAAAAAAvAQAAX3JlbHMvLnJlbHNQSwECLQAUAAYACAAAACEAOOtLf9UB&#10;AACGAwAADgAAAAAAAAAAAAAAAAAuAgAAZHJzL2Uyb0RvYy54bWxQSwECLQAUAAYACAAAACEAZwTx&#10;r94AAAAJAQAADwAAAAAAAAAAAAAAAAAvBAAAZHJzL2Rvd25yZXYueG1sUEsFBgAAAAAEAAQA8wAA&#10;ADoFAAAAAA==&#10;" strokecolor="#4472c4" strokeweight=".5pt">
                <v:stroke joinstyle="miter"/>
              </v:line>
            </w:pict>
          </mc:Fallback>
        </mc:AlternateContent>
      </w:r>
    </w:p>
    <w:p w14:paraId="16BF7F22" w14:textId="77777777" w:rsidR="00BE2C1D" w:rsidRPr="00BE2C1D" w:rsidRDefault="00BE2C1D" w:rsidP="00BE2C1D">
      <w:pPr>
        <w:spacing w:line="360" w:lineRule="auto"/>
        <w:rPr>
          <w:rFonts w:cstheme="minorHAnsi"/>
        </w:rPr>
      </w:pPr>
      <w:r w:rsidRPr="00BE2C1D">
        <w:rPr>
          <w:rFonts w:cstheme="minorHAnsi"/>
          <w:noProof/>
          <w:lang w:eastAsia="en-GB"/>
        </w:rPr>
        <mc:AlternateContent>
          <mc:Choice Requires="wps">
            <w:drawing>
              <wp:anchor distT="0" distB="0" distL="114300" distR="114300" simplePos="0" relativeHeight="251738112" behindDoc="0" locked="0" layoutInCell="1" allowOverlap="1" wp14:anchorId="321E549E" wp14:editId="50A0ED1E">
                <wp:simplePos x="0" y="0"/>
                <wp:positionH relativeFrom="column">
                  <wp:posOffset>2434442</wp:posOffset>
                </wp:positionH>
                <wp:positionV relativeFrom="paragraph">
                  <wp:posOffset>196652</wp:posOffset>
                </wp:positionV>
                <wp:extent cx="1554735" cy="213195"/>
                <wp:effectExtent l="0" t="0" r="26670" b="34925"/>
                <wp:wrapNone/>
                <wp:docPr id="110" name="Straight Connector 110"/>
                <wp:cNvGraphicFramePr/>
                <a:graphic xmlns:a="http://schemas.openxmlformats.org/drawingml/2006/main">
                  <a:graphicData uri="http://schemas.microsoft.com/office/word/2010/wordprocessingShape">
                    <wps:wsp>
                      <wps:cNvCnPr/>
                      <wps:spPr>
                        <a:xfrm>
                          <a:off x="0" y="0"/>
                          <a:ext cx="1554735" cy="213195"/>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C128DB6" id="Straight Connector 110" o:spid="_x0000_s1026" style="position:absolute;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1.7pt,15.5pt" to="314.1pt,3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SVTzwEAAH0DAAAOAAAAZHJzL2Uyb0RvYy54bWysU8tu2zAQvBfoPxC815JsK0kFyznYSC9F&#10;ayDpB6wpSiLAF5asZf99l7TqpO2tiA7UPkc7w9Xm8Ww0O0kMytmWV4uSM2mF65QdWv7j5enTA2ch&#10;gu1AOytbfpGBP24/fthMvpFLNzrdSWQEYkMz+ZaPMfqmKIIYpYGwcF5aSvYODURycSg6hInQjS6W&#10;ZXlXTA47j07IECi6vyb5NuP3vRTxe98HGZluOc0W84n5PKaz2G6gGRD8qMQ8BvzHFAaUpY/eoPYQ&#10;gf1E9Q+UUQJdcH1cCGcK1/dKyMyB2FTlX2yeR/AycyFxgr/JFN4PVnw7HZCpju6uIn0sGLqk54ig&#10;hjGynbOWJHTIUpa0mnxoqGVnDzh7wR8wET/3aNKbKLFz1vdy01eeIxMUrOp6fb+qOROUW1ar6nOd&#10;QIvXbo8hfpHOsGS0XCub+EMDp68hXkt/l6SwdU9Ka4pDoy2bWn63qomFANqkXkMk03jiFuzAGeiB&#10;VlREzIjBadWl7tQccDjuNLIT0Jqs1/fL3Xoe7I+y9Ok9hPFal1OpDBqjIm2xVqblD2V65m5tU1bm&#10;PZwJJAWvmiXr6LpLlrJIHt1xVmPex7REb32y3/41218AAAD//wMAUEsDBBQABgAIAAAAIQD7grdv&#10;3wAAAAkBAAAPAAAAZHJzL2Rvd25yZXYueG1sTI/BTsMwEETvSPyDtUjcqJO0WCHEqSgSBy6otBzg&#10;5sZLEojXIXbT8PcsJ7jNaJ9mZ8r17Hox4Rg6TxrSRQICqfa2o0bDy/7hKgcRoiFrek+o4RsDrKvz&#10;s9IU1p/oGaddbASHUCiMhjbGoZAy1C06ExZ+QOLbux+diWzHRtrRnDjc9TJLEiWd6Yg/tGbA+xbr&#10;z93Radir620e0+3jV/L2urlRGX5MmyetLy/mu1sQEef4B8Nvfa4OFXc6+CPZIHoNy3y5YpRFypsY&#10;UFmegTiwWCmQVSn/L6h+AAAA//8DAFBLAQItABQABgAIAAAAIQC2gziS/gAAAOEBAAATAAAAAAAA&#10;AAAAAAAAAAAAAABbQ29udGVudF9UeXBlc10ueG1sUEsBAi0AFAAGAAgAAAAhADj9If/WAAAAlAEA&#10;AAsAAAAAAAAAAAAAAAAALwEAAF9yZWxzLy5yZWxzUEsBAi0AFAAGAAgAAAAhAJ9VJVPPAQAAfQMA&#10;AA4AAAAAAAAAAAAAAAAALgIAAGRycy9lMm9Eb2MueG1sUEsBAi0AFAAGAAgAAAAhAPuCt2/fAAAA&#10;CQEAAA8AAAAAAAAAAAAAAAAAKQQAAGRycy9kb3ducmV2LnhtbFBLBQYAAAAABAAEAPMAAAA1BQAA&#10;AAA=&#10;" strokecolor="#4472c4" strokeweight=".5pt">
                <v:stroke joinstyle="miter"/>
              </v:line>
            </w:pict>
          </mc:Fallback>
        </mc:AlternateContent>
      </w:r>
      <w:r w:rsidRPr="00BE2C1D">
        <w:rPr>
          <w:rFonts w:cstheme="minorHAnsi"/>
          <w:noProof/>
          <w:lang w:eastAsia="en-GB"/>
        </w:rPr>
        <mc:AlternateContent>
          <mc:Choice Requires="wps">
            <w:drawing>
              <wp:anchor distT="0" distB="0" distL="114300" distR="114300" simplePos="0" relativeHeight="251737088" behindDoc="0" locked="0" layoutInCell="1" allowOverlap="1" wp14:anchorId="48B568D2" wp14:editId="728320B8">
                <wp:simplePos x="0" y="0"/>
                <wp:positionH relativeFrom="column">
                  <wp:posOffset>4500747</wp:posOffset>
                </wp:positionH>
                <wp:positionV relativeFrom="paragraph">
                  <wp:posOffset>6787</wp:posOffset>
                </wp:positionV>
                <wp:extent cx="35049" cy="190005"/>
                <wp:effectExtent l="0" t="0" r="22225" b="19685"/>
                <wp:wrapNone/>
                <wp:docPr id="109" name="Straight Connector 109"/>
                <wp:cNvGraphicFramePr/>
                <a:graphic xmlns:a="http://schemas.openxmlformats.org/drawingml/2006/main">
                  <a:graphicData uri="http://schemas.microsoft.com/office/word/2010/wordprocessingShape">
                    <wps:wsp>
                      <wps:cNvCnPr/>
                      <wps:spPr>
                        <a:xfrm flipH="1">
                          <a:off x="0" y="0"/>
                          <a:ext cx="35049" cy="190005"/>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BC5102D" id="Straight Connector 109" o:spid="_x0000_s1026" style="position:absolute;flip:x;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4.4pt,.55pt" to="357.1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VU11QEAAIUDAAAOAAAAZHJzL2Uyb0RvYy54bWysU8uOEzEQvCPxD5bvZJyQXXZHmewh0cIB&#10;QaSFD+h47BlLfqltMsnf0/aEaIEb4mL1y9Vd5fbm6ewsOylMJviOLxeCM+Vl6I0fOv792/O7B85S&#10;Bt+DDV51/KISf9q+fbOZYqtWYQy2V8gIxKd2ih0fc45t0yQ5KgdpEaLylNQBHWRycWh6hInQnW1W&#10;Qtw3U8A+YpAqJYru5yTfVnytlcxftU4qM9txmi3XE+t5LGez3UA7IMTRyOsY8A9TODCemt6g9pCB&#10;/UDzF5QzEkMKOi9kcE3Q2khVORCbpfiDzcsIUVUuJE6KN5nS/4OVX04HZKantxOPnHlw9EgvGcEM&#10;Y2a74D1JGJCVLGk1xdTSlZ0/4NVL8YCF+FmjY9qa+ImgqhREjp2r0peb0uqcmaTg+zuxpnaSMstH&#10;IcRdAW9mlIIWMeWPKjhWjI5b44sO0MLpc8pz6a+SEvbh2VhLcWitZ1PH76kBwQNtlLaQyXSROCY/&#10;cAZ2oFWVGStiCtb05Xa5nHA47iyyE9C6rNcfVrv1dbDfykrrPaRxrqupUgatM5m22RrX8QdiJep+&#10;ES3rS1bVfbwSKErO2hXrGPpLlbQpHr11VeO6l2WZXvtkv/49258AAAD//wMAUEsDBBQABgAIAAAA&#10;IQBgfupI3QAAAAgBAAAPAAAAZHJzL2Rvd25yZXYueG1sTI/BTsMwEETvSPyDtUjcqO0WNVUap0Ig&#10;DnBBDSCu23gbR43tEDtp+HvMiR5XbzTzttjNtmMTDaH1ToFcCGDkaq9b1yj4eH++2wALEZ3GzjtS&#10;8EMBduX1VYG59me3p6mKDUslLuSowMTY55yH2pDFsPA9ucSOfrAY0zk0XA94TuW240sh1txi69KC&#10;wZ4eDdWnarQKXircr9++vyS9Lp+m02c7ZqYelbq9mR+2wCLN8T8Mf/pJHcrkdPCj04F1CjKxSeox&#10;AQks8Uzer4AdFKykAF4W/PKB8hcAAP//AwBQSwECLQAUAAYACAAAACEAtoM4kv4AAADhAQAAEwAA&#10;AAAAAAAAAAAAAAAAAAAAW0NvbnRlbnRfVHlwZXNdLnhtbFBLAQItABQABgAIAAAAIQA4/SH/1gAA&#10;AJQBAAALAAAAAAAAAAAAAAAAAC8BAABfcmVscy8ucmVsc1BLAQItABQABgAIAAAAIQBXvVU11QEA&#10;AIUDAAAOAAAAAAAAAAAAAAAAAC4CAABkcnMvZTJvRG9jLnhtbFBLAQItABQABgAIAAAAIQBgfupI&#10;3QAAAAgBAAAPAAAAAAAAAAAAAAAAAC8EAABkcnMvZG93bnJldi54bWxQSwUGAAAAAAQABADzAAAA&#10;OQUAAAAA&#10;" strokecolor="#4472c4" strokeweight=".5pt">
                <v:stroke joinstyle="miter"/>
              </v:line>
            </w:pict>
          </mc:Fallback>
        </mc:AlternateContent>
      </w:r>
      <w:r w:rsidRPr="00BE2C1D">
        <w:rPr>
          <w:rFonts w:cstheme="minorHAnsi"/>
          <w:noProof/>
          <w:lang w:eastAsia="en-GB"/>
        </w:rPr>
        <mc:AlternateContent>
          <mc:Choice Requires="wps">
            <w:drawing>
              <wp:anchor distT="0" distB="0" distL="114300" distR="114300" simplePos="0" relativeHeight="251726848" behindDoc="0" locked="0" layoutInCell="1" allowOverlap="1" wp14:anchorId="2B8B2A48" wp14:editId="14E1D451">
                <wp:simplePos x="0" y="0"/>
                <wp:positionH relativeFrom="column">
                  <wp:posOffset>2398650</wp:posOffset>
                </wp:positionH>
                <wp:positionV relativeFrom="paragraph">
                  <wp:posOffset>199060</wp:posOffset>
                </wp:positionV>
                <wp:extent cx="688769" cy="391886"/>
                <wp:effectExtent l="0" t="0" r="35560" b="27305"/>
                <wp:wrapNone/>
                <wp:docPr id="99" name="Straight Connector 99"/>
                <wp:cNvGraphicFramePr/>
                <a:graphic xmlns:a="http://schemas.openxmlformats.org/drawingml/2006/main">
                  <a:graphicData uri="http://schemas.microsoft.com/office/word/2010/wordprocessingShape">
                    <wps:wsp>
                      <wps:cNvCnPr/>
                      <wps:spPr>
                        <a:xfrm>
                          <a:off x="0" y="0"/>
                          <a:ext cx="688769" cy="391886"/>
                        </a:xfrm>
                        <a:prstGeom prst="line">
                          <a:avLst/>
                        </a:prstGeom>
                        <a:noFill/>
                        <a:ln w="6350" cap="flat" cmpd="sng" algn="ctr">
                          <a:solidFill>
                            <a:srgbClr val="4472C4"/>
                          </a:solidFill>
                          <a:prstDash val="solid"/>
                          <a:miter lim="800000"/>
                        </a:ln>
                        <a:effectLst/>
                      </wps:spPr>
                      <wps:bodyPr/>
                    </wps:wsp>
                  </a:graphicData>
                </a:graphic>
              </wp:anchor>
            </w:drawing>
          </mc:Choice>
          <mc:Fallback>
            <w:pict>
              <v:line w14:anchorId="485DE99E" id="Straight Connector 99" o:spid="_x0000_s1026" style="position:absolute;z-index:251726848;visibility:visible;mso-wrap-style:square;mso-wrap-distance-left:9pt;mso-wrap-distance-top:0;mso-wrap-distance-right:9pt;mso-wrap-distance-bottom:0;mso-position-horizontal:absolute;mso-position-horizontal-relative:text;mso-position-vertical:absolute;mso-position-vertical-relative:text" from="188.85pt,15.65pt" to="243.1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T9MzgEAAHoDAAAOAAAAZHJzL2Uyb0RvYy54bWysU02PGjEMvVfqf4hyLwMsZYcRwx5A20vV&#10;Iu32B5hMMhMpX3JSBv59nTCl2/ZWlUOwY/vZ78WzfbpYw84So/au5YvZnDPphO+061v+7fX5Q81Z&#10;TOA6MN7Jll9l5E+79++2Y2jk0g/edBIZgbjYjKHlQ0qhqaooBmkhznyQjoLKo4VELvZVhzASujXV&#10;cj5fV6PHLqAXMka6PdyCfFfwlZIifVUqysRMy2m2VE4s5ymf1W4LTY8QBi2mMeAfprCgHTW9Qx0g&#10;AfuO+i8oqwX66FWaCW8rr5QWsnAgNov5H2xeBgiycCFxYrjLFP8frPhyPiLTXcs3G84cWHqjl4Sg&#10;+yGxvXeOFPTIKEhKjSE2VLB3R5y8GI6YaV8U2vxPhNilqHu9qysviQm6XNf145qaCAo9bBZ1vc6Y&#10;1a/igDF9kt6ybLTcaJfJQwPnzzHdUn+m5Gvnn7UxdA+NcWykBg8f6YkF0BopA4lMG4hYdD1nYHra&#10;T5GwIEZvdJerc3HE/rQ3yM5AO7JaPS73q2mw39Jy6wPE4ZZXQjkNGqsTrbDRtuX1PP+mauNyVJYl&#10;nAhkAW+SZevku2tRssoePXBRY1rGvEFvfbLffjK7HwAAAP//AwBQSwMEFAAGAAgAAAAhAAB7y1Lh&#10;AAAACQEAAA8AAABkcnMvZG93bnJldi54bWxMj7FOwzAQhnck3sE6JDZqJ4EkTeNUFImBBZWWgW5u&#10;fCSB+BxiNw1vj5lgu9N9+u/7y/Vsejbh6DpLEqKFAIZUW91RI+F1/3iTA3NekVa9JZTwjQ7W1eVF&#10;qQptz/SC0843LISQK5SE1vuh4NzVLRrlFnZACrd3Oxrlwzo2XI/qHMJNz2MhUm5UR+FDqwZ8aLH+&#10;3J2MhH16t819tH36Eoe3zTKN8WPaPEt5fTXfr4B5nP0fDL/6QR2q4HS0J9KO9RKSLMsCGoYoARaA&#10;2zyNgR0lLBMBvCr5/wbVDwAAAP//AwBQSwECLQAUAAYACAAAACEAtoM4kv4AAADhAQAAEwAAAAAA&#10;AAAAAAAAAAAAAAAAW0NvbnRlbnRfVHlwZXNdLnhtbFBLAQItABQABgAIAAAAIQA4/SH/1gAAAJQB&#10;AAALAAAAAAAAAAAAAAAAAC8BAABfcmVscy8ucmVsc1BLAQItABQABgAIAAAAIQC5BT9MzgEAAHoD&#10;AAAOAAAAAAAAAAAAAAAAAC4CAABkcnMvZTJvRG9jLnhtbFBLAQItABQABgAIAAAAIQAAe8tS4QAA&#10;AAkBAAAPAAAAAAAAAAAAAAAAACgEAABkcnMvZG93bnJldi54bWxQSwUGAAAAAAQABADzAAAANgUA&#10;AAAA&#10;" strokecolor="#4472c4" strokeweight=".5pt">
                <v:stroke joinstyle="miter"/>
              </v:line>
            </w:pict>
          </mc:Fallback>
        </mc:AlternateContent>
      </w:r>
      <w:r w:rsidRPr="00BE2C1D">
        <w:rPr>
          <w:rFonts w:cstheme="minorHAnsi"/>
          <w:noProof/>
          <w:lang w:eastAsia="en-GB"/>
        </w:rPr>
        <mc:AlternateContent>
          <mc:Choice Requires="wps">
            <w:drawing>
              <wp:anchor distT="0" distB="0" distL="114300" distR="114300" simplePos="0" relativeHeight="251660288" behindDoc="0" locked="0" layoutInCell="1" allowOverlap="1" wp14:anchorId="369AD7D5" wp14:editId="6D56C6E4">
                <wp:simplePos x="0" y="0"/>
                <wp:positionH relativeFrom="margin">
                  <wp:posOffset>4088921</wp:posOffset>
                </wp:positionH>
                <wp:positionV relativeFrom="paragraph">
                  <wp:posOffset>297048</wp:posOffset>
                </wp:positionV>
                <wp:extent cx="949325" cy="785004"/>
                <wp:effectExtent l="0" t="0" r="22225" b="15240"/>
                <wp:wrapNone/>
                <wp:docPr id="5" name="Rectangle 5"/>
                <wp:cNvGraphicFramePr/>
                <a:graphic xmlns:a="http://schemas.openxmlformats.org/drawingml/2006/main">
                  <a:graphicData uri="http://schemas.microsoft.com/office/word/2010/wordprocessingShape">
                    <wps:wsp>
                      <wps:cNvSpPr/>
                      <wps:spPr>
                        <a:xfrm>
                          <a:off x="0" y="0"/>
                          <a:ext cx="949325" cy="785004"/>
                        </a:xfrm>
                        <a:prstGeom prst="rect">
                          <a:avLst/>
                        </a:prstGeom>
                        <a:solidFill>
                          <a:srgbClr val="4472C4"/>
                        </a:solidFill>
                        <a:ln w="12700" cap="flat" cmpd="sng" algn="ctr">
                          <a:solidFill>
                            <a:srgbClr val="4472C4">
                              <a:shade val="50000"/>
                            </a:srgbClr>
                          </a:solidFill>
                          <a:prstDash val="solid"/>
                          <a:miter lim="800000"/>
                        </a:ln>
                        <a:effectLst/>
                      </wps:spPr>
                      <wps:txbx>
                        <w:txbxContent>
                          <w:p w14:paraId="2EA898D8" w14:textId="77777777" w:rsidR="003142CE" w:rsidRPr="000232DC" w:rsidRDefault="003142CE" w:rsidP="00BE2C1D">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Disabled Young People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9AD7D5" id="Rectangle 5" o:spid="_x0000_s1029" style="position:absolute;margin-left:321.95pt;margin-top:23.4pt;width:74.75pt;height:61.8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N1uhAIAACMFAAAOAAAAZHJzL2Uyb0RvYy54bWysVE1v2zAMvQ/YfxB0X+2kztIadYogRYcB&#10;RRusHXpmZNkWoK9JSuzu14+SnX6tp2EXWxSpR/HxUReXg5LkwJ0XRld0dpJTwjUztdBtRX8+XH85&#10;o8QH0DVIo3lFn7inl6vPny56W/K56YysuSMIon3Z24p2IdgyyzzruAJ/YizX6GyMUxDQdG1WO+gR&#10;Xclsnudfs9642jrDuPe4ezU66SrhNw1n4a5pPA9EVhTvFtLXpe8ufrPVBZStA9sJNl0D/uEWCoTG&#10;pM9QVxCA7J34C0oJ5ow3TThhRmWmaQTjqQasZpa/q+a+A8tTLUiOt880+f8Hy24PW0dEXdEFJRoU&#10;tugHkga6lZwsIj299SVG3dutmyyPy1jr0DgV/1gFGRKlT8+U8iEQhpvnxfnpHKEZupZnizwvImb2&#10;ctg6H75xo0hcVNRh8kQkHG58GEOPITGXN1LU10LKZLh2t5GOHAC7WxTL+eaI/iZMatKjNufLHBXA&#10;AFXWSAi4VBbr9rqlBGSL8mXBpdxvTvsPkqTkHdR8TI1lIfR42Sk81fgGJ1ZxBb4bjyRXPAKlEgFH&#10;QApV0bMIdESSOnp5EvHERezFyH5chWE3pNadRqC4szP1E7bTmVHn3rJrgWlvwIctOBQ2EoDDGu7w&#10;00iDrJhpRUln3O+P9mM86g29lPQ4KMjYrz04Ton8rlGJ57OiiJOVjGKxnKPhXnt2rz16rzYGuzXD&#10;Z8GytIzxQR6XjTPqEWd6HbOiCzTD3GNvJmMTxgHGV4Hx9TqF4TRZCDf63rIIHpmLhD8Mj+DspK2A&#10;orw1x6GC8p3Exth4Upv1PphGJP298Io9jQZOYuru9GrEUX9tp6iXt231BwAA//8DAFBLAwQUAAYA&#10;CAAAACEAPZoi2OEAAAAKAQAADwAAAGRycy9kb3ducmV2LnhtbEyPQU7DMBBF90jcwRokdtSBhrQN&#10;cSpUxKJCakXTA7jJ4KSNxyF2m8DpGVawHM3T/+9ny9G24oK9bxwpuJ9EIJBKVzVkFOyL17s5CB80&#10;Vbp1hAq+0MMyv77KdFq5gd7xsgtGcAj5VCuoQ+hSKX1Zo9V+4jok/n243urAZ29k1euBw20rH6Io&#10;kVY3xA217nBVY3nana0CcyyOp25FyXr78vi2+dwWZj18K3V7Mz4/gQg4hj8YfvVZHXJ2OrgzVV60&#10;CpJ4umBUQZzwBAZmi2kM4sDkLIpB5pn8PyH/AQAA//8DAFBLAQItABQABgAIAAAAIQC2gziS/gAA&#10;AOEBAAATAAAAAAAAAAAAAAAAAAAAAABbQ29udGVudF9UeXBlc10ueG1sUEsBAi0AFAAGAAgAAAAh&#10;ADj9If/WAAAAlAEAAAsAAAAAAAAAAAAAAAAALwEAAF9yZWxzLy5yZWxzUEsBAi0AFAAGAAgAAAAh&#10;AKZk3W6EAgAAIwUAAA4AAAAAAAAAAAAAAAAALgIAAGRycy9lMm9Eb2MueG1sUEsBAi0AFAAGAAgA&#10;AAAhAD2aItjhAAAACgEAAA8AAAAAAAAAAAAAAAAA3gQAAGRycy9kb3ducmV2LnhtbFBLBQYAAAAA&#10;BAAEAPMAAADsBQAAAAA=&#10;" fillcolor="#4472c4" strokecolor="#2f528f" strokeweight="1pt">
                <v:textbox>
                  <w:txbxContent>
                    <w:p w14:paraId="2EA898D8" w14:textId="77777777" w:rsidR="003142CE" w:rsidRPr="000232DC" w:rsidRDefault="003142CE" w:rsidP="00BE2C1D">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Disabled Young People</w:t>
                      </w:r>
                    </w:p>
                  </w:txbxContent>
                </v:textbox>
                <w10:wrap anchorx="margin"/>
              </v:rect>
            </w:pict>
          </mc:Fallback>
        </mc:AlternateContent>
      </w:r>
      <w:r w:rsidRPr="00BE2C1D">
        <w:rPr>
          <w:rFonts w:cstheme="minorHAnsi"/>
          <w:noProof/>
          <w:lang w:eastAsia="en-GB"/>
        </w:rPr>
        <mc:AlternateContent>
          <mc:Choice Requires="wps">
            <w:drawing>
              <wp:anchor distT="0" distB="0" distL="114300" distR="114300" simplePos="0" relativeHeight="251663360" behindDoc="0" locked="0" layoutInCell="1" allowOverlap="1" wp14:anchorId="351901BB" wp14:editId="1B6421CD">
                <wp:simplePos x="0" y="0"/>
                <wp:positionH relativeFrom="margin">
                  <wp:posOffset>1362387</wp:posOffset>
                </wp:positionH>
                <wp:positionV relativeFrom="paragraph">
                  <wp:posOffset>98533</wp:posOffset>
                </wp:positionV>
                <wp:extent cx="949325" cy="966158"/>
                <wp:effectExtent l="0" t="0" r="22225" b="24765"/>
                <wp:wrapNone/>
                <wp:docPr id="8" name="Rectangle 8"/>
                <wp:cNvGraphicFramePr/>
                <a:graphic xmlns:a="http://schemas.openxmlformats.org/drawingml/2006/main">
                  <a:graphicData uri="http://schemas.microsoft.com/office/word/2010/wordprocessingShape">
                    <wps:wsp>
                      <wps:cNvSpPr/>
                      <wps:spPr>
                        <a:xfrm>
                          <a:off x="0" y="0"/>
                          <a:ext cx="949325" cy="966158"/>
                        </a:xfrm>
                        <a:prstGeom prst="rect">
                          <a:avLst/>
                        </a:prstGeom>
                        <a:solidFill>
                          <a:srgbClr val="4472C4"/>
                        </a:solidFill>
                        <a:ln w="12700" cap="flat" cmpd="sng" algn="ctr">
                          <a:solidFill>
                            <a:srgbClr val="4472C4">
                              <a:shade val="50000"/>
                            </a:srgbClr>
                          </a:solidFill>
                          <a:prstDash val="solid"/>
                          <a:miter lim="800000"/>
                        </a:ln>
                        <a:effectLst/>
                      </wps:spPr>
                      <wps:txbx>
                        <w:txbxContent>
                          <w:p w14:paraId="328A4297" w14:textId="77777777" w:rsidR="003142CE" w:rsidRPr="000232DC" w:rsidRDefault="003142CE" w:rsidP="00BE2C1D">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Parents of Disabled Young People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1901BB" id="Rectangle 8" o:spid="_x0000_s1030" style="position:absolute;margin-left:107.25pt;margin-top:7.75pt;width:74.75pt;height:76.1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qmUhQIAACMFAAAOAAAAZHJzL2Uyb0RvYy54bWysVEtv2zAMvg/YfxB0X51kTtsYcYogQYcB&#10;RVu0HXpmZNkWoNckJXb360fJTt+nYT7IpEjxEz+SWl70SpIDd14YXdLpyYQSrpmphG5K+uvh8ts5&#10;JT6ArkAazUv6xD29WH39suxswWemNbLijmAQ7YvOlrQNwRZZ5lnLFfgTY7lGY22cgoCqa7LKQYfR&#10;lcxmk8lp1hlXWWcY9x53t4ORrlL8uuYs3NS154HIkuLdQlpdWndxzVZLKBoHthVsvAb8wy0UCI2g&#10;z6G2EIDsnfgQSgnmjDd1OGFGZaauBeMpB8xmOnmXzX0LlqdckBxvn2ny/y8suz7cOiKqkmKhNCgs&#10;0R2SBrqRnJxHejrrC/S6t7du1DyKMde+dir+MQvSJ0qfninlfSAMNxf54vtsTglD0+L0dDpPMbOX&#10;w9b58IMbRaJQUofgiUg4XPmAgOh6dIlY3khRXQopk+Ka3UY6cgCsbp6fzTZ5vDEeeeMmNemwN2dn&#10;E+wABthltYSAorKYt9cNJSAbbF8WXMJ+c9p/ApLAW6j4AD2f4HdEHtw/3iJmsQXfDkcSRDwChRIB&#10;R0AKhTWIgY6RpI5Wnpp45CLWYmA/SqHf9al0Keu4szPVE5bTmaHPvWWXAmGvwIdbcNjYSAAOa7jB&#10;pZYGWTGjRElr3J/P9qM/9htaKelwUJCx33twnBL5U2MnLqZ5HicrKfn8bIaKe23ZvbbovdoYrNYU&#10;nwXLkhj9gzyKtTPqEWd6HVHRBJoh9lCbUdmEYYDxVWB8vU5uOE0WwpW+tywGj8xFwh/6R3B27K2A&#10;TXltjkMFxbsWG3zjSW3W+2BqkfrvhVesaVRwElN1x1cjjvprPXm9vG2rvwAAAP//AwBQSwMEFAAG&#10;AAgAAAAhAPSyqi3hAAAACgEAAA8AAABkcnMvZG93bnJldi54bWxMj0FPwkAQhe8m/ofNmHiTLUgL&#10;Kd0Sg/FATCRSf8DSHdtCd7Z2F1r99Q4nPU1m3sub72Xr0bbigr1vHCmYTiIQSKUzDVUKPoqXhyUI&#10;HzQZ3TpCBd/oYZ3f3mQ6NW6gd7zsQyU4hHyqFdQhdKmUvqzRaj9xHRJrn663OvDaV9L0euBw28pZ&#10;FCXS6ob4Q6073NRYnvZnq6A6FsdTt6Fku3uOX9++dkW1HX6Uur8bn1YgAo7hzwxXfEaHnJkO7kzG&#10;i1bBbDqP2cpCzJMNj8mcyx34kCwWIPNM/q+Q/wIAAP//AwBQSwECLQAUAAYACAAAACEAtoM4kv4A&#10;AADhAQAAEwAAAAAAAAAAAAAAAAAAAAAAW0NvbnRlbnRfVHlwZXNdLnhtbFBLAQItABQABgAIAAAA&#10;IQA4/SH/1gAAAJQBAAALAAAAAAAAAAAAAAAAAC8BAABfcmVscy8ucmVsc1BLAQItABQABgAIAAAA&#10;IQDahqmUhQIAACMFAAAOAAAAAAAAAAAAAAAAAC4CAABkcnMvZTJvRG9jLnhtbFBLAQItABQABgAI&#10;AAAAIQD0sqot4QAAAAoBAAAPAAAAAAAAAAAAAAAAAN8EAABkcnMvZG93bnJldi54bWxQSwUGAAAA&#10;AAQABADzAAAA7QUAAAAA&#10;" fillcolor="#4472c4" strokecolor="#2f528f" strokeweight="1pt">
                <v:textbox>
                  <w:txbxContent>
                    <w:p w14:paraId="328A4297" w14:textId="77777777" w:rsidR="003142CE" w:rsidRPr="000232DC" w:rsidRDefault="003142CE" w:rsidP="00BE2C1D">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Parents of Disabled Young People</w:t>
                      </w:r>
                    </w:p>
                  </w:txbxContent>
                </v:textbox>
                <w10:wrap anchorx="margin"/>
              </v:rect>
            </w:pict>
          </mc:Fallback>
        </mc:AlternateContent>
      </w:r>
    </w:p>
    <w:p w14:paraId="4B7D03CF" w14:textId="77777777" w:rsidR="00BE2C1D" w:rsidRPr="00BE2C1D" w:rsidRDefault="00BE2C1D" w:rsidP="00BE2C1D">
      <w:pPr>
        <w:spacing w:line="360" w:lineRule="auto"/>
        <w:rPr>
          <w:rFonts w:cstheme="minorHAnsi"/>
        </w:rPr>
      </w:pPr>
      <w:r w:rsidRPr="00BE2C1D">
        <w:rPr>
          <w:rFonts w:cstheme="minorHAnsi"/>
          <w:noProof/>
          <w:lang w:eastAsia="en-GB"/>
        </w:rPr>
        <mc:AlternateContent>
          <mc:Choice Requires="wps">
            <w:drawing>
              <wp:anchor distT="0" distB="0" distL="114300" distR="114300" simplePos="0" relativeHeight="251730944" behindDoc="0" locked="0" layoutInCell="1" allowOverlap="1" wp14:anchorId="6B717828" wp14:editId="7B1B89B1">
                <wp:simplePos x="0" y="0"/>
                <wp:positionH relativeFrom="column">
                  <wp:posOffset>3431969</wp:posOffset>
                </wp:positionH>
                <wp:positionV relativeFrom="paragraph">
                  <wp:posOffset>17417</wp:posOffset>
                </wp:positionV>
                <wp:extent cx="558140" cy="284521"/>
                <wp:effectExtent l="0" t="0" r="13970" b="20320"/>
                <wp:wrapNone/>
                <wp:docPr id="103" name="Straight Connector 103"/>
                <wp:cNvGraphicFramePr/>
                <a:graphic xmlns:a="http://schemas.openxmlformats.org/drawingml/2006/main">
                  <a:graphicData uri="http://schemas.microsoft.com/office/word/2010/wordprocessingShape">
                    <wps:wsp>
                      <wps:cNvCnPr/>
                      <wps:spPr>
                        <a:xfrm flipH="1">
                          <a:off x="0" y="0"/>
                          <a:ext cx="558140" cy="284521"/>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51A7B8B" id="Straight Connector 103" o:spid="_x0000_s1026" style="position:absolute;flip:x;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0.25pt,1.35pt" to="314.2pt,2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ZHd1QEAAIYDAAAOAAAAZHJzL2Uyb0RvYy54bWysU02P0zAQvSPxHyzfadJsu1RR0z20Wjgg&#10;qLTLD5g6dmLJXxqbpv33jN1QLXBD5GB5vp7nvZlsny7WsLPEqL3r+HJRcyad8L12Q8e/vz5/2HAW&#10;E7gejHey41cZ+dPu/bvtFFrZ+NGbXiIjEBfbKXR8TCm0VRXFKC3EhQ/SUVB5tJDIxKHqESZCt6Zq&#10;6vqxmjz2Ab2QMZL3cAvyXcFXSor0TakoEzMdp95SObGcp3xWuy20A0IYtZjbgH/owoJ29Ogd6gAJ&#10;2A/Uf0FZLdBHr9JCeFt5pbSQhQOxWdZ/sHkZIcjChcSJ4S5T/H+w4uv5iEz3NLv6gTMHlob0khD0&#10;MCa2986RhB5ZjpJWU4gtlezdEWcrhiNm4heFlimjw2eCKlIQOXYpSl/vSstLYoKc6/VmuaJ5CAo1&#10;m9W6WWb06gaT4QLG9El6y/Kl40a7LAS0cP4S0y31V0p2O/+sjSE/tMaxqeOPD+sMD7RSykCiqw1E&#10;MrqBMzAD7apIWBCjN7rP1bk44nDaG2RnoH1ZrT42+9Xc2G9p+ekDxPGWV0I5DVqrE62z0bbjmzp/&#10;c7VxOSrLQs4EspQ38fLt5Ptr0bTKFg27qDEvZt6mtzbd3/4+u58AAAD//wMAUEsDBBQABgAIAAAA&#10;IQB8PYkL3gAAAAgBAAAPAAAAZHJzL2Rvd25yZXYueG1sTI9PT4QwFMTvJn6H5pl4c8sS/myQsjEa&#10;D3oxixqvb+kTyNJXpIXFb2896XEyk5nflPvVDGKhyfWWFWw3EQjixuqeWwVvr483OxDOI2scLJOC&#10;b3Kwry4vSiy0PfOBltq3IpSwK1BB5/1YSOmajgy6jR2Jg/dpJ4M+yKmVesJzKDeDjKMokwZ7Dgsd&#10;jnTfUXOqZ6PgqcZD9vL1saXn+GE5vfdz3jWzUtdX690tCE+r/wvDL35AhyowHe3M2olBQZpEaYgq&#10;iHMQwc/iXQLiqCDJU5BVKf8fqH4AAAD//wMAUEsBAi0AFAAGAAgAAAAhALaDOJL+AAAA4QEAABMA&#10;AAAAAAAAAAAAAAAAAAAAAFtDb250ZW50X1R5cGVzXS54bWxQSwECLQAUAAYACAAAACEAOP0h/9YA&#10;AACUAQAACwAAAAAAAAAAAAAAAAAvAQAAX3JlbHMvLnJlbHNQSwECLQAUAAYACAAAACEAo0mR3dUB&#10;AACGAwAADgAAAAAAAAAAAAAAAAAuAgAAZHJzL2Uyb0RvYy54bWxQSwECLQAUAAYACAAAACEAfD2J&#10;C94AAAAIAQAADwAAAAAAAAAAAAAAAAAvBAAAZHJzL2Rvd25yZXYueG1sUEsFBgAAAAAEAAQA8wAA&#10;ADoFAAAAAA==&#10;" strokecolor="#4472c4" strokeweight=".5pt">
                <v:stroke joinstyle="miter"/>
              </v:line>
            </w:pict>
          </mc:Fallback>
        </mc:AlternateContent>
      </w:r>
    </w:p>
    <w:p w14:paraId="1607E87B" w14:textId="77777777" w:rsidR="00BE2C1D" w:rsidRPr="00BE2C1D" w:rsidRDefault="00BE2C1D" w:rsidP="00BE2C1D">
      <w:pPr>
        <w:spacing w:line="360" w:lineRule="auto"/>
        <w:rPr>
          <w:rFonts w:cstheme="minorHAnsi"/>
        </w:rPr>
      </w:pPr>
      <w:r w:rsidRPr="00BE2C1D">
        <w:rPr>
          <w:rFonts w:cstheme="minorHAnsi"/>
          <w:noProof/>
          <w:lang w:eastAsia="en-GB"/>
        </w:rPr>
        <mc:AlternateContent>
          <mc:Choice Requires="wps">
            <w:drawing>
              <wp:anchor distT="0" distB="0" distL="114300" distR="114300" simplePos="0" relativeHeight="251659264" behindDoc="0" locked="0" layoutInCell="1" allowOverlap="1" wp14:anchorId="6A7E528B" wp14:editId="0B319975">
                <wp:simplePos x="0" y="0"/>
                <wp:positionH relativeFrom="margin">
                  <wp:posOffset>2733555</wp:posOffset>
                </wp:positionH>
                <wp:positionV relativeFrom="paragraph">
                  <wp:posOffset>1689</wp:posOffset>
                </wp:positionV>
                <wp:extent cx="949325" cy="709775"/>
                <wp:effectExtent l="0" t="0" r="22225" b="14605"/>
                <wp:wrapNone/>
                <wp:docPr id="4" name="Rectangle 4"/>
                <wp:cNvGraphicFramePr/>
                <a:graphic xmlns:a="http://schemas.openxmlformats.org/drawingml/2006/main">
                  <a:graphicData uri="http://schemas.microsoft.com/office/word/2010/wordprocessingShape">
                    <wps:wsp>
                      <wps:cNvSpPr/>
                      <wps:spPr>
                        <a:xfrm>
                          <a:off x="0" y="0"/>
                          <a:ext cx="949325" cy="709775"/>
                        </a:xfrm>
                        <a:prstGeom prst="rect">
                          <a:avLst/>
                        </a:prstGeom>
                        <a:solidFill>
                          <a:srgbClr val="4472C4"/>
                        </a:solidFill>
                        <a:ln w="12700" cap="flat" cmpd="sng" algn="ctr">
                          <a:solidFill>
                            <a:srgbClr val="4472C4">
                              <a:shade val="50000"/>
                            </a:srgbClr>
                          </a:solidFill>
                          <a:prstDash val="solid"/>
                          <a:miter lim="800000"/>
                        </a:ln>
                        <a:effectLst/>
                      </wps:spPr>
                      <wps:txbx>
                        <w:txbxContent>
                          <w:p w14:paraId="37696520" w14:textId="77777777" w:rsidR="003142CE" w:rsidRPr="000232DC" w:rsidRDefault="003142CE" w:rsidP="00BE2C1D">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Equipment/Aid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7E528B" id="Rectangle 4" o:spid="_x0000_s1031" style="position:absolute;margin-left:215.25pt;margin-top:.15pt;width:74.75pt;height:55.9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r2xhgIAACMFAAAOAAAAZHJzL2Uyb0RvYy54bWysVEtv2zAMvg/YfxB0X+1kztIYdYogRYcB&#10;RVu0HXpmZNkWoNckJXb360fJTl/raZgPMilSpPjxo87OByXJgTsvjK7o7CSnhGtmaqHbiv58uPxy&#10;SokPoGuQRvOKPnFPz9efP531tuRz0xlZc0cwiPZlbyvahWDLLPOs4wr8ibFco7ExTkFA1bVZ7aDH&#10;6Epm8zz/lvXG1dYZxr3H3YvRSNcpftNwFm6axvNAZEXxbiGtLq27uGbrMyhbB7YTbLoG/MMtFAiN&#10;SZ9DXUAAsnfir1BKMGe8acIJMyozTSMYTzVgNbP8XTX3HVieakFwvH2Gyf+/sOz6cOuIqCtaUKJB&#10;YYvuEDTQreSkiPD01pfodW9v3aR5FGOtQ+NU/GMVZEiQPj1DyodAGG6uitXX+YIShqZlvlouFzFm&#10;9nLYOh++c6NIFCrqMHkCEg5XPoyuR5eYyxsp6kshZVJcu9tKRw6A3S2K5XybbozR37hJTXrk5nyZ&#10;IwMYIMsaCQFFZbFur1tKQLZIXxZcyv3mtP8gSUreQc3H1Iscv6muyT3V+CZOrOICfDceSaZ4BEol&#10;Ao6AFKqipzHQMZLU0coTiScsYi9G9KMUht2QWpcwjTs7Uz9hO50Zee4tuxSY9gp8uAWHxEYAcFjD&#10;DS6NNIiKmSRKOuN+f7Qf/ZFvaKWkx0FBxH7twXFK5A+NTFzNiiJOVlKKxXKOintt2b226L3aGuzW&#10;DJ8Fy5IY/YM8io0z6hFnehOzogk0w9xjbyZlG8YBxleB8c0mueE0WQhX+t6yGDwiFwF/GB7B2Ylb&#10;AUl5bY5DBeU7io2+8aQ2m30wjUj8e8EVexoVnMTU3enViKP+Wk9eL2/b+g8AAAD//wMAUEsDBBQA&#10;BgAIAAAAIQDaBO953wAAAAgBAAAPAAAAZHJzL2Rvd25yZXYueG1sTI9BTsMwEEX3SNzBGiR21ElL&#10;qirEqVARiwqJioYDuPHgpI3HIXabwOkZVrAc/ac/7xfryXXigkNoPSlIZwkIpNqblqyC9+r5bgUi&#10;RE1Gd55QwRcGWJfXV4XOjR/pDS/7aAWXUMi1gibGPpcy1A06HWa+R+Lsww9ORz4HK82gRy53nZwn&#10;yVI63RJ/aHSPmwbr0/7sFNhjdTz1G1pud0/Zy+vnrrLb8Vup25vp8QFExCn+wfCrz+pQstPBn8kE&#10;0Sm4XyQZowoWIDjOVglPOzCXzlOQZSH/Dyh/AAAA//8DAFBLAQItABQABgAIAAAAIQC2gziS/gAA&#10;AOEBAAATAAAAAAAAAAAAAAAAAAAAAABbQ29udGVudF9UeXBlc10ueG1sUEsBAi0AFAAGAAgAAAAh&#10;ADj9If/WAAAAlAEAAAsAAAAAAAAAAAAAAAAALwEAAF9yZWxzLy5yZWxzUEsBAi0AFAAGAAgAAAAh&#10;APGWvbGGAgAAIwUAAA4AAAAAAAAAAAAAAAAALgIAAGRycy9lMm9Eb2MueG1sUEsBAi0AFAAGAAgA&#10;AAAhANoE73nfAAAACAEAAA8AAAAAAAAAAAAAAAAA4AQAAGRycy9kb3ducmV2LnhtbFBLBQYAAAAA&#10;BAAEAPMAAADsBQAAAAA=&#10;" fillcolor="#4472c4" strokecolor="#2f528f" strokeweight="1pt">
                <v:textbox>
                  <w:txbxContent>
                    <w:p w14:paraId="37696520" w14:textId="77777777" w:rsidR="003142CE" w:rsidRPr="000232DC" w:rsidRDefault="003142CE" w:rsidP="00BE2C1D">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Equipment/Aid</w:t>
                      </w:r>
                    </w:p>
                  </w:txbxContent>
                </v:textbox>
                <w10:wrap anchorx="margin"/>
              </v:rect>
            </w:pict>
          </mc:Fallback>
        </mc:AlternateContent>
      </w:r>
      <w:r w:rsidRPr="00BE2C1D">
        <w:rPr>
          <w:rFonts w:cstheme="minorHAnsi"/>
        </w:rPr>
        <w:t xml:space="preserve"> </w:t>
      </w:r>
    </w:p>
    <w:p w14:paraId="486E66B6" w14:textId="77777777" w:rsidR="00BE2C1D" w:rsidRPr="00BE2C1D" w:rsidRDefault="00BE2C1D" w:rsidP="00BE2C1D">
      <w:pPr>
        <w:spacing w:line="360" w:lineRule="auto"/>
        <w:rPr>
          <w:rFonts w:cstheme="minorHAnsi"/>
        </w:rPr>
      </w:pPr>
    </w:p>
    <w:p w14:paraId="4E673E84" w14:textId="77777777" w:rsidR="00BE2C1D" w:rsidRPr="00BE2C1D" w:rsidRDefault="00BE2C1D" w:rsidP="00BE2C1D">
      <w:pPr>
        <w:spacing w:line="360" w:lineRule="auto"/>
        <w:jc w:val="both"/>
        <w:rPr>
          <w:rFonts w:cstheme="minorHAnsi"/>
        </w:rPr>
      </w:pPr>
      <w:r w:rsidRPr="00BE2C1D">
        <w:rPr>
          <w:rFonts w:cstheme="minorHAnsi"/>
        </w:rPr>
        <w:t xml:space="preserve">In the next part, I consider what benefits and drawbacks the young people identified in using such equipment. </w:t>
      </w:r>
    </w:p>
    <w:p w14:paraId="69D62518" w14:textId="77777777" w:rsidR="00BE2C1D" w:rsidRPr="00BE2C1D" w:rsidRDefault="00BE2C1D" w:rsidP="00BE2C1D">
      <w:pPr>
        <w:keepNext/>
        <w:keepLines/>
        <w:spacing w:before="40" w:after="0" w:line="360" w:lineRule="auto"/>
        <w:jc w:val="both"/>
        <w:outlineLvl w:val="2"/>
        <w:rPr>
          <w:rFonts w:asciiTheme="majorHAnsi" w:eastAsiaTheme="majorEastAsia" w:hAnsiTheme="majorHAnsi" w:cstheme="majorBidi"/>
          <w:color w:val="1F3763" w:themeColor="accent1" w:themeShade="7F"/>
          <w:sz w:val="24"/>
          <w:szCs w:val="24"/>
        </w:rPr>
      </w:pPr>
      <w:bookmarkStart w:id="112" w:name="_Toc39585248"/>
      <w:r w:rsidRPr="00BE2C1D">
        <w:rPr>
          <w:rFonts w:asciiTheme="majorHAnsi" w:eastAsiaTheme="majorEastAsia" w:hAnsiTheme="majorHAnsi" w:cstheme="majorBidi"/>
          <w:color w:val="1F3763" w:themeColor="accent1" w:themeShade="7F"/>
          <w:sz w:val="24"/>
          <w:szCs w:val="24"/>
        </w:rPr>
        <w:t>Negotiating Equipment in the Assemblage of Access</w:t>
      </w:r>
      <w:bookmarkEnd w:id="112"/>
    </w:p>
    <w:p w14:paraId="5759ED13" w14:textId="77777777" w:rsidR="00BE2C1D" w:rsidRPr="00BE2C1D" w:rsidRDefault="00BE2C1D" w:rsidP="00BE2C1D">
      <w:pPr>
        <w:spacing w:line="360" w:lineRule="auto"/>
        <w:jc w:val="both"/>
      </w:pPr>
      <w:r w:rsidRPr="00BE2C1D">
        <w:t xml:space="preserve">Taking as a point of departure the earlier discussion on what labels give and what they take away (Goodley 2014), in this section I consider what adaptations gave to the young people and what they took away. The participants discussed both the benefits and the drawbacks of using specific equipment. </w:t>
      </w:r>
    </w:p>
    <w:p w14:paraId="2FE8C633" w14:textId="77777777" w:rsidR="00BE2C1D" w:rsidRPr="00BE2C1D" w:rsidRDefault="00BE2C1D" w:rsidP="00BE2C1D">
      <w:pPr>
        <w:spacing w:line="360" w:lineRule="auto"/>
        <w:jc w:val="both"/>
      </w:pPr>
      <w:r w:rsidRPr="00BE2C1D">
        <w:t xml:space="preserve">Paul described his relationship with his special chair as a healthy conflict: </w:t>
      </w:r>
    </w:p>
    <w:p w14:paraId="10085345" w14:textId="77777777" w:rsidR="00BE2C1D" w:rsidRPr="00BE2C1D" w:rsidRDefault="00BE2C1D" w:rsidP="00BE2C1D">
      <w:pPr>
        <w:spacing w:line="360" w:lineRule="auto"/>
        <w:ind w:left="720"/>
        <w:jc w:val="both"/>
        <w:rPr>
          <w:rFonts w:cstheme="minorHAnsi"/>
          <w:sz w:val="20"/>
          <w:szCs w:val="20"/>
        </w:rPr>
      </w:pPr>
      <w:r w:rsidRPr="00BE2C1D">
        <w:rPr>
          <w:rFonts w:cstheme="minorHAnsi"/>
          <w:sz w:val="20"/>
          <w:szCs w:val="20"/>
        </w:rPr>
        <w:t>Paul:</w:t>
      </w:r>
      <w:bookmarkStart w:id="113" w:name="_Hlk509449193"/>
      <w:r w:rsidRPr="00BE2C1D">
        <w:rPr>
          <w:rFonts w:cstheme="minorHAnsi"/>
          <w:sz w:val="20"/>
          <w:szCs w:val="20"/>
        </w:rPr>
        <w:t xml:space="preserve"> I had a special chair throughout my secondary school. It did look quite different to the other students’ chairs, but it helped me out with my back[…]. So, it helped me with my back, that did credit towards not having surgeries nowadays, because I was sitting down a lot. But, as a student, there’s a healthy trade off that when the students were looking at this chair thinking, well it looks different. So, you know, in fact, I kind of grew a healthy/unhealthy relationship with this chair (giggle), that was out of a healthy tension in my brain thinking this chair looks very different, all the other students are looking at it and I am not fitting in at this particular point. Well, I knew that it was doing a great good at that particular point, so that was one trade off that I had to have</w:t>
      </w:r>
      <w:bookmarkEnd w:id="113"/>
      <w:r w:rsidRPr="00BE2C1D">
        <w:rPr>
          <w:rFonts w:cstheme="minorHAnsi"/>
          <w:sz w:val="20"/>
          <w:szCs w:val="20"/>
        </w:rPr>
        <w:t>[…]It was a healthy conflict really.</w:t>
      </w:r>
    </w:p>
    <w:p w14:paraId="2A6F2F25" w14:textId="77777777" w:rsidR="00BE2C1D" w:rsidRPr="00BE2C1D" w:rsidRDefault="00BE2C1D" w:rsidP="00BE2C1D">
      <w:pPr>
        <w:spacing w:line="360" w:lineRule="auto"/>
        <w:jc w:val="both"/>
        <w:rPr>
          <w:rFonts w:cstheme="minorHAnsi"/>
        </w:rPr>
      </w:pPr>
      <w:r w:rsidRPr="00BE2C1D">
        <w:rPr>
          <w:rFonts w:cstheme="minorHAnsi"/>
        </w:rPr>
        <w:lastRenderedPageBreak/>
        <w:t xml:space="preserve">On the one hand, Paul acknowledged the present and future health benefit(s) of having a special chair e.g. posture, benefit(s), which were also acknowledged by the parents in the above stories. On the other hand, what the special chair took away from him was the chance to fit in, to be seen like everyone else. Paul expressed his apprehension that his chair intonated his difference, especially since it did not look like his peers’ chairs. Stephens et al. (2015: 213) referred to this desire of fitting in as ‘the need for social conformity’, a desire disrupted by such equipment, when it was constructed as an ‘additional marker of difference’. </w:t>
      </w:r>
    </w:p>
    <w:p w14:paraId="0670774F" w14:textId="77777777" w:rsidR="00BE2C1D" w:rsidRPr="00BE2C1D" w:rsidRDefault="00BE2C1D" w:rsidP="00BE2C1D">
      <w:pPr>
        <w:spacing w:line="360" w:lineRule="auto"/>
        <w:jc w:val="both"/>
        <w:rPr>
          <w:rFonts w:cstheme="minorHAnsi"/>
          <w:b/>
        </w:rPr>
      </w:pPr>
      <w:r w:rsidRPr="00BE2C1D">
        <w:rPr>
          <w:rFonts w:cstheme="minorHAnsi"/>
        </w:rPr>
        <w:t xml:space="preserve">A similar narrative was shared by some teenage participants, who were aware of the health benefits of using such a chair, but they were also conscious of the possibility of standing out because of the chair:   </w:t>
      </w:r>
    </w:p>
    <w:p w14:paraId="239DD583" w14:textId="77777777" w:rsidR="00BE2C1D" w:rsidRPr="00BE2C1D" w:rsidRDefault="00BE2C1D" w:rsidP="00BE2C1D">
      <w:pPr>
        <w:spacing w:line="360" w:lineRule="auto"/>
        <w:ind w:left="720"/>
        <w:jc w:val="both"/>
        <w:rPr>
          <w:rFonts w:cstheme="minorHAnsi"/>
          <w:sz w:val="20"/>
          <w:szCs w:val="20"/>
        </w:rPr>
      </w:pPr>
      <w:r w:rsidRPr="00BE2C1D">
        <w:rPr>
          <w:rFonts w:cstheme="minorHAnsi"/>
          <w:sz w:val="20"/>
          <w:szCs w:val="20"/>
        </w:rPr>
        <w:t>Harry: Yeah. So originally I was quite, I was bit sceptic, coz I thought I would stand out a lot,  but I realised it is really the best thing for me to have the chairs, em, coz just obviously they are much better for me and yeah, I am really happy with them now.[…]That is better, like they support my back better, gave me better posture, like physically  it was a lot better for me.</w:t>
      </w:r>
    </w:p>
    <w:p w14:paraId="7914C4D3" w14:textId="77777777" w:rsidR="00BE2C1D" w:rsidRPr="00BE2C1D" w:rsidRDefault="00BE2C1D" w:rsidP="00BE2C1D">
      <w:pPr>
        <w:spacing w:line="360" w:lineRule="auto"/>
        <w:ind w:left="720"/>
        <w:jc w:val="both"/>
        <w:rPr>
          <w:rFonts w:cstheme="minorHAnsi"/>
          <w:sz w:val="20"/>
          <w:szCs w:val="20"/>
        </w:rPr>
      </w:pPr>
      <w:r w:rsidRPr="00BE2C1D">
        <w:rPr>
          <w:rFonts w:cstheme="minorHAnsi"/>
          <w:sz w:val="20"/>
          <w:szCs w:val="20"/>
        </w:rPr>
        <w:t xml:space="preserve">Rania: Eh, my chairs, my chairs were a bit of a </w:t>
      </w:r>
      <w:r w:rsidRPr="00BE2C1D">
        <w:rPr>
          <w:rFonts w:cstheme="minorHAnsi"/>
          <w:bCs/>
          <w:sz w:val="20"/>
          <w:szCs w:val="20"/>
        </w:rPr>
        <w:t>nuisance.</w:t>
      </w:r>
      <w:r w:rsidRPr="00BE2C1D">
        <w:rPr>
          <w:rFonts w:cstheme="minorHAnsi"/>
          <w:sz w:val="20"/>
          <w:szCs w:val="20"/>
        </w:rPr>
        <w:t xml:space="preserve"> Wow, I mean they were good that they were there, but then I felt a little bit self-conscious about them at first, because, yeah, I felt a little bit suppressed</w:t>
      </w:r>
      <w:r w:rsidRPr="00BE2C1D">
        <w:rPr>
          <w:rFonts w:cstheme="minorHAnsi"/>
          <w:color w:val="FF0000"/>
          <w:sz w:val="20"/>
          <w:szCs w:val="20"/>
        </w:rPr>
        <w:t xml:space="preserve"> </w:t>
      </w:r>
      <w:r w:rsidRPr="00BE2C1D">
        <w:rPr>
          <w:rFonts w:cstheme="minorHAnsi"/>
          <w:sz w:val="20"/>
          <w:szCs w:val="20"/>
        </w:rPr>
        <w:t>at first […]It is more important that when you are younger to have this support in the spine coz that when you get problems.</w:t>
      </w:r>
    </w:p>
    <w:p w14:paraId="2CCFC25F" w14:textId="77777777" w:rsidR="00BE2C1D" w:rsidRPr="00BE2C1D" w:rsidRDefault="00BE2C1D" w:rsidP="00BE2C1D">
      <w:pPr>
        <w:spacing w:line="360" w:lineRule="auto"/>
        <w:rPr>
          <w:rFonts w:cstheme="minorHAnsi"/>
        </w:rPr>
      </w:pPr>
      <w:r w:rsidRPr="00BE2C1D">
        <w:rPr>
          <w:rFonts w:cstheme="minorHAnsi"/>
        </w:rPr>
        <w:t xml:space="preserve">Both Harry and Rania drew on the medical discourse which acknowledged the health benefits for their spine. However, they expressed their apprehension about how the chair would single them out. This feeling of self-consciousness of how such equipment could stress their difference was also brought up by disabled young people in other studies (De Schauwer et al. 2009; McArthur et al. 2007). </w:t>
      </w:r>
    </w:p>
    <w:p w14:paraId="396089C2" w14:textId="77777777" w:rsidR="00BE2C1D" w:rsidRPr="00BE2C1D" w:rsidRDefault="00BE2C1D" w:rsidP="00BE2C1D">
      <w:pPr>
        <w:spacing w:line="360" w:lineRule="auto"/>
        <w:jc w:val="both"/>
        <w:rPr>
          <w:rFonts w:cstheme="minorHAnsi"/>
        </w:rPr>
      </w:pPr>
      <w:r w:rsidRPr="00BE2C1D">
        <w:rPr>
          <w:rFonts w:cstheme="minorHAnsi"/>
        </w:rPr>
        <w:t xml:space="preserve">What mitigated such a feeling was the inclusion of the voice of disabled young people in the design process:   </w:t>
      </w:r>
    </w:p>
    <w:p w14:paraId="4791A9BF" w14:textId="77777777" w:rsidR="00BE2C1D" w:rsidRPr="00BE2C1D" w:rsidRDefault="00BE2C1D" w:rsidP="00BE2C1D">
      <w:pPr>
        <w:spacing w:line="360" w:lineRule="auto"/>
        <w:ind w:left="720"/>
        <w:jc w:val="both"/>
        <w:rPr>
          <w:rFonts w:cstheme="minorHAnsi"/>
          <w:sz w:val="20"/>
          <w:szCs w:val="20"/>
        </w:rPr>
      </w:pPr>
      <w:r w:rsidRPr="00BE2C1D">
        <w:rPr>
          <w:rFonts w:cstheme="minorHAnsi"/>
          <w:sz w:val="20"/>
          <w:szCs w:val="20"/>
        </w:rPr>
        <w:t xml:space="preserve">Harry: Yeah, we, well, we sort of helped design them and then I could pick my colour. So, I just picked the normal colour which the seats are in the classroom, so like blue and green. […] Coz that was good, coz we actually had an input in what the chairs could look like and, eh, you know, how they could really facilitate my needs. </w:t>
      </w:r>
    </w:p>
    <w:p w14:paraId="3A29EF29" w14:textId="77777777" w:rsidR="00BE2C1D" w:rsidRPr="00BE2C1D" w:rsidRDefault="00BE2C1D" w:rsidP="00BE2C1D">
      <w:pPr>
        <w:spacing w:line="360" w:lineRule="auto"/>
        <w:jc w:val="both"/>
        <w:rPr>
          <w:rFonts w:cstheme="minorHAnsi"/>
        </w:rPr>
      </w:pPr>
      <w:r w:rsidRPr="00BE2C1D">
        <w:rPr>
          <w:rFonts w:cstheme="minorHAnsi"/>
        </w:rPr>
        <w:t xml:space="preserve">Unlike Paul (and the majority of the young people), who had no input on what they would like their chair to look like, Harry’s opinion was taken into consideration by the designer. By choosing the same colour for his chair like the rest of the chairs in the classroom and by having his voice listened to, Harry’s need for physical support as well as for social conformity were met. Stephens et al. (2015) </w:t>
      </w:r>
      <w:r w:rsidRPr="00BE2C1D">
        <w:rPr>
          <w:rFonts w:cstheme="minorHAnsi"/>
        </w:rPr>
        <w:lastRenderedPageBreak/>
        <w:t xml:space="preserve">emphasised the importance of including disabled young people in the consultation process when designing adaptations. </w:t>
      </w:r>
    </w:p>
    <w:p w14:paraId="75C8CB83" w14:textId="77777777" w:rsidR="00BE2C1D" w:rsidRPr="00BE2C1D" w:rsidRDefault="00BE2C1D" w:rsidP="00BE2C1D">
      <w:pPr>
        <w:spacing w:line="360" w:lineRule="auto"/>
        <w:jc w:val="both"/>
      </w:pPr>
      <w:r w:rsidRPr="00BE2C1D">
        <w:t xml:space="preserve">Besides intonating their difference, young people referred to other reasons for their negative feelings towards such equipment. </w:t>
      </w:r>
      <w:r w:rsidRPr="00BE2C1D">
        <w:rPr>
          <w:rFonts w:cstheme="minorHAnsi"/>
        </w:rPr>
        <w:t>For instance, Mary</w:t>
      </w:r>
      <w:r w:rsidRPr="00BE2C1D">
        <w:rPr>
          <w:rFonts w:cstheme="minorHAnsi"/>
          <w:color w:val="FF0000"/>
        </w:rPr>
        <w:t xml:space="preserve"> </w:t>
      </w:r>
      <w:r w:rsidRPr="00BE2C1D">
        <w:rPr>
          <w:rFonts w:cstheme="minorHAnsi"/>
        </w:rPr>
        <w:t xml:space="preserve">referred to the hazard of falling over when she had to use stools: </w:t>
      </w:r>
    </w:p>
    <w:p w14:paraId="333455B4" w14:textId="77777777" w:rsidR="00BE2C1D" w:rsidRPr="00BE2C1D" w:rsidRDefault="00BE2C1D" w:rsidP="00BE2C1D">
      <w:pPr>
        <w:spacing w:line="360" w:lineRule="auto"/>
        <w:ind w:left="720"/>
        <w:jc w:val="both"/>
        <w:rPr>
          <w:rFonts w:cstheme="minorHAnsi"/>
          <w:sz w:val="20"/>
          <w:szCs w:val="20"/>
          <w:lang w:val="en-US"/>
        </w:rPr>
      </w:pPr>
      <w:r w:rsidRPr="00BE2C1D">
        <w:rPr>
          <w:rFonts w:cstheme="minorHAnsi"/>
          <w:sz w:val="20"/>
          <w:szCs w:val="20"/>
          <w:lang w:val="en-US"/>
        </w:rPr>
        <w:t>Mary: Like I said, with the stool, I’ve got a stool, so they measured that, and then I got these plastic ones, which are really hard not to fall over and I hate them, but they are not in every single room.</w:t>
      </w:r>
    </w:p>
    <w:p w14:paraId="79C8B0A1" w14:textId="77777777" w:rsidR="00BE2C1D" w:rsidRPr="00BE2C1D" w:rsidRDefault="00BE2C1D" w:rsidP="00BE2C1D">
      <w:pPr>
        <w:spacing w:line="360" w:lineRule="auto"/>
        <w:jc w:val="both"/>
        <w:rPr>
          <w:rFonts w:cstheme="minorHAnsi"/>
        </w:rPr>
      </w:pPr>
      <w:r w:rsidRPr="00BE2C1D">
        <w:rPr>
          <w:rFonts w:cstheme="minorHAnsi"/>
        </w:rPr>
        <w:t>While discourses of risk in schools are usually exacerbated for disabled young people and occasionally result in their exclusion (Burns et al. 2013), the above narratives indicated a reversed situation, whereby Mary was at risk, but the school did not do anything about it e.g. providing them with stools that would be safer. Moreover, some young people discussed how the use of a special chair determined their place in the classroom:</w:t>
      </w:r>
    </w:p>
    <w:p w14:paraId="232D1351" w14:textId="77777777" w:rsidR="00BE2C1D" w:rsidRPr="00BE2C1D" w:rsidRDefault="00BE2C1D" w:rsidP="00BE2C1D">
      <w:pPr>
        <w:spacing w:line="360" w:lineRule="auto"/>
        <w:ind w:left="720"/>
        <w:jc w:val="both"/>
        <w:rPr>
          <w:rFonts w:cstheme="minorHAnsi"/>
          <w:sz w:val="20"/>
          <w:szCs w:val="20"/>
        </w:rPr>
      </w:pPr>
      <w:r w:rsidRPr="00BE2C1D">
        <w:rPr>
          <w:rFonts w:cstheme="minorHAnsi"/>
          <w:sz w:val="20"/>
          <w:szCs w:val="20"/>
        </w:rPr>
        <w:t xml:space="preserve">Louise: Obviously, with a chair like that you could sit only in a certain place in the class. So, if you could sit wherever you want, I then won’t be able to sit in once in the place that all my friends would sit from where I want. So I feel restricted by that and obviously they have to like take the chair around the corridors and you just feel inconvenience. </w:t>
      </w:r>
    </w:p>
    <w:p w14:paraId="134AC399" w14:textId="77777777" w:rsidR="00BE2C1D" w:rsidRPr="00BE2C1D" w:rsidRDefault="00BE2C1D" w:rsidP="00BE2C1D">
      <w:pPr>
        <w:spacing w:line="360" w:lineRule="auto"/>
        <w:ind w:left="720"/>
        <w:jc w:val="both"/>
        <w:rPr>
          <w:rFonts w:cstheme="minorHAnsi"/>
          <w:sz w:val="20"/>
          <w:szCs w:val="20"/>
        </w:rPr>
      </w:pPr>
      <w:r w:rsidRPr="00BE2C1D">
        <w:rPr>
          <w:rFonts w:cstheme="minorHAnsi"/>
          <w:sz w:val="20"/>
          <w:szCs w:val="20"/>
        </w:rPr>
        <w:t xml:space="preserve">John: Yeah, for me I still, I have a chair as well. But then, eventually I did get an electric wheelchair which is a bit easier, so I could like take it around, but it was still restricted to different places and like it was hard to get to lessons and after leave earlier on, I just missed little things. </w:t>
      </w:r>
    </w:p>
    <w:p w14:paraId="363E8EC3" w14:textId="77777777" w:rsidR="00BE2C1D" w:rsidRPr="00BE2C1D" w:rsidRDefault="00BE2C1D" w:rsidP="00BE2C1D">
      <w:pPr>
        <w:spacing w:line="360" w:lineRule="auto"/>
        <w:ind w:left="720"/>
        <w:jc w:val="both"/>
        <w:rPr>
          <w:rFonts w:cstheme="minorHAnsi"/>
          <w:sz w:val="20"/>
          <w:szCs w:val="20"/>
        </w:rPr>
      </w:pPr>
      <w:r w:rsidRPr="00BE2C1D">
        <w:rPr>
          <w:rFonts w:cstheme="minorHAnsi"/>
          <w:sz w:val="20"/>
          <w:szCs w:val="20"/>
        </w:rPr>
        <w:t xml:space="preserve">Louise: </w:t>
      </w:r>
      <w:bookmarkStart w:id="114" w:name="_Hlk509628853"/>
      <w:r w:rsidRPr="00BE2C1D">
        <w:rPr>
          <w:rFonts w:cstheme="minorHAnsi"/>
          <w:sz w:val="20"/>
          <w:szCs w:val="20"/>
        </w:rPr>
        <w:t>Yeah. Cause obviously it was electronic, so it had a massive battery, so this is like really inconvenient and big. So, obviously, I couldn’t get it all through. So like if you want to sit at the back you couldn’t get it through the tables to sit at the back, you’d have to sit wherever was convenient. Obviously that restricted where you sat in the class. Yeah.</w:t>
      </w:r>
      <w:bookmarkEnd w:id="114"/>
    </w:p>
    <w:p w14:paraId="18F7A1F0" w14:textId="77777777" w:rsidR="00BE2C1D" w:rsidRPr="00BE2C1D" w:rsidRDefault="00BE2C1D" w:rsidP="00BE2C1D">
      <w:pPr>
        <w:spacing w:line="360" w:lineRule="auto"/>
        <w:jc w:val="both"/>
        <w:rPr>
          <w:rFonts w:cstheme="minorHAnsi"/>
          <w:sz w:val="20"/>
          <w:szCs w:val="20"/>
        </w:rPr>
      </w:pPr>
      <w:r w:rsidRPr="00BE2C1D">
        <w:rPr>
          <w:rFonts w:cstheme="minorHAnsi"/>
          <w:sz w:val="20"/>
          <w:szCs w:val="20"/>
        </w:rPr>
        <w:t xml:space="preserve"> </w:t>
      </w:r>
      <w:r w:rsidRPr="00BE2C1D">
        <w:rPr>
          <w:rFonts w:cstheme="minorHAnsi"/>
          <w:sz w:val="20"/>
          <w:szCs w:val="20"/>
        </w:rPr>
        <w:tab/>
        <w:t xml:space="preserve">John: Yeah, it’s the same with my chair. </w:t>
      </w:r>
    </w:p>
    <w:p w14:paraId="6F0C3885" w14:textId="77777777" w:rsidR="00BE2C1D" w:rsidRPr="00BE2C1D" w:rsidRDefault="00BE2C1D" w:rsidP="00BE2C1D">
      <w:pPr>
        <w:spacing w:line="360" w:lineRule="auto"/>
        <w:jc w:val="both"/>
        <w:rPr>
          <w:rFonts w:cstheme="minorHAnsi"/>
          <w:sz w:val="20"/>
          <w:szCs w:val="20"/>
        </w:rPr>
      </w:pPr>
      <w:r w:rsidRPr="00BE2C1D">
        <w:rPr>
          <w:rFonts w:cstheme="minorHAnsi"/>
          <w:sz w:val="20"/>
          <w:szCs w:val="20"/>
        </w:rPr>
        <w:t xml:space="preserve"> </w:t>
      </w:r>
      <w:r w:rsidRPr="00BE2C1D">
        <w:rPr>
          <w:rFonts w:cstheme="minorHAnsi"/>
          <w:sz w:val="20"/>
          <w:szCs w:val="20"/>
        </w:rPr>
        <w:tab/>
        <w:t>Me: So, you couldn’t sit, for example, at the same desks with your friends?</w:t>
      </w:r>
    </w:p>
    <w:p w14:paraId="42E13955" w14:textId="77777777" w:rsidR="00BE2C1D" w:rsidRPr="00BE2C1D" w:rsidRDefault="00BE2C1D" w:rsidP="00BE2C1D">
      <w:pPr>
        <w:spacing w:line="360" w:lineRule="auto"/>
        <w:jc w:val="both"/>
        <w:rPr>
          <w:rFonts w:cstheme="minorHAnsi"/>
          <w:sz w:val="20"/>
          <w:szCs w:val="20"/>
        </w:rPr>
      </w:pPr>
      <w:r w:rsidRPr="00BE2C1D">
        <w:rPr>
          <w:rFonts w:cstheme="minorHAnsi"/>
          <w:sz w:val="20"/>
          <w:szCs w:val="20"/>
        </w:rPr>
        <w:t xml:space="preserve"> </w:t>
      </w:r>
      <w:r w:rsidRPr="00BE2C1D">
        <w:rPr>
          <w:rFonts w:cstheme="minorHAnsi"/>
          <w:sz w:val="20"/>
          <w:szCs w:val="20"/>
        </w:rPr>
        <w:tab/>
        <w:t>Louise: Unless they sat with you. Then I couldn’t.</w:t>
      </w:r>
    </w:p>
    <w:p w14:paraId="556144D3" w14:textId="77777777" w:rsidR="00BE2C1D" w:rsidRPr="00BE2C1D" w:rsidRDefault="00BE2C1D" w:rsidP="00BE2C1D">
      <w:pPr>
        <w:spacing w:line="360" w:lineRule="auto"/>
        <w:jc w:val="both"/>
        <w:rPr>
          <w:color w:val="FF0000"/>
        </w:rPr>
      </w:pPr>
      <w:r w:rsidRPr="00BE2C1D">
        <w:rPr>
          <w:rFonts w:cstheme="minorHAnsi"/>
        </w:rPr>
        <w:t xml:space="preserve">Louise and John were restricted to sit in a particular place in their classrooms due to the size of their chairs, which meant that they could not sit next to their friends, contributing to their feeling of exclusion and stressing their difference (Holt 2007; Stephens et al. 2015). Furthermore, a classroom’s layout is instrumental to how young people move around when it comes to collaborative and group work activities (Dovey and Fisher 2014). Therefore, both young people were deprived of such opportunities too. Thirdly, Louise and John related the inconvenience of having such a chair to the fact </w:t>
      </w:r>
      <w:r w:rsidRPr="00BE2C1D">
        <w:rPr>
          <w:rFonts w:cstheme="minorHAnsi"/>
        </w:rPr>
        <w:lastRenderedPageBreak/>
        <w:t xml:space="preserve">that they could not move around easily due to the class layout. The same issue was brought up by Melrose:    </w:t>
      </w:r>
    </w:p>
    <w:p w14:paraId="0F9A2F6B" w14:textId="77777777" w:rsidR="00BE2C1D" w:rsidRPr="00BE2C1D" w:rsidRDefault="00BE2C1D" w:rsidP="00BE2C1D">
      <w:pPr>
        <w:spacing w:line="360" w:lineRule="auto"/>
        <w:ind w:left="720"/>
        <w:jc w:val="both"/>
        <w:rPr>
          <w:rFonts w:cstheme="minorHAnsi"/>
          <w:iCs/>
          <w:sz w:val="20"/>
          <w:szCs w:val="20"/>
        </w:rPr>
      </w:pPr>
      <w:r w:rsidRPr="00BE2C1D">
        <w:rPr>
          <w:rFonts w:cstheme="minorHAnsi"/>
          <w:iCs/>
          <w:sz w:val="20"/>
          <w:szCs w:val="20"/>
        </w:rPr>
        <w:t>Melrose: I remember trying to get into the classroom and not being able to, cause the tables were so close together and thinking: ‘Oh, no, every time I get in, someone has to move, you know, cause they are in my road, so someone has to move the table behind, so I got enough room’. So I remember that being a big thing. And physically that was my first, you know, analysis of the school. What is it like to get around? Am I gonna fit in?”</w:t>
      </w:r>
    </w:p>
    <w:p w14:paraId="2919CA67" w14:textId="77777777" w:rsidR="00BE2C1D" w:rsidRPr="00BE2C1D" w:rsidRDefault="00BE2C1D" w:rsidP="00BE2C1D">
      <w:pPr>
        <w:spacing w:line="360" w:lineRule="auto"/>
        <w:jc w:val="both"/>
        <w:rPr>
          <w:rFonts w:cstheme="minorHAnsi"/>
          <w:iCs/>
        </w:rPr>
      </w:pPr>
      <w:r w:rsidRPr="00BE2C1D">
        <w:rPr>
          <w:rFonts w:cstheme="minorHAnsi"/>
          <w:iCs/>
        </w:rPr>
        <w:t>One of Melrose’s first and main concerns was how she could navigate a space that was not designed with her in mind. What she was also worried about was that her presence could be read as a source of discomfort to others, who would have to move their tables for her to have enough space to go around. Moreover, what Melrose referred to as an ‘analysis of the school’ was what I discussed in the previous section as ‘geographic maturity’: disabled young people (have to) ‘analyse’ a space the very moment they enter it.</w:t>
      </w:r>
    </w:p>
    <w:p w14:paraId="5D76A38A" w14:textId="77777777" w:rsidR="00BE2C1D" w:rsidRPr="00BE2C1D" w:rsidRDefault="00BE2C1D" w:rsidP="00BE2C1D">
      <w:pPr>
        <w:spacing w:line="360" w:lineRule="auto"/>
        <w:jc w:val="both"/>
        <w:rPr>
          <w:rFonts w:cstheme="minorHAnsi"/>
          <w:iCs/>
        </w:rPr>
      </w:pPr>
      <w:r w:rsidRPr="00BE2C1D">
        <w:rPr>
          <w:rFonts w:cstheme="minorHAnsi"/>
          <w:iCs/>
        </w:rPr>
        <w:t xml:space="preserve">In a summary, while the young people drew on a medical discourse to acknowledge the benefit of having such a chair for their spine, they were equally quite concerned about how it would make them stand out and be perceived as different. When the young people were involved in the counselling process of how the chair should look like, then feelings of standing out were mitigated. Meanwhile, the young people also referred to other negative experiences stemming from the use of such equipment, such as being at risk of hurting themselves, being restrained in certain places in the classroom and the difficulty of navigating the classrooms due to how they were set out.  </w:t>
      </w:r>
    </w:p>
    <w:p w14:paraId="2B6CC1F8" w14:textId="77777777" w:rsidR="00BE2C1D" w:rsidRPr="00BE2C1D" w:rsidRDefault="00BE2C1D" w:rsidP="00BE2C1D">
      <w:pPr>
        <w:spacing w:line="360" w:lineRule="auto"/>
        <w:jc w:val="center"/>
        <w:rPr>
          <w:rFonts w:cstheme="minorHAnsi"/>
          <w:b/>
          <w:bCs/>
          <w:sz w:val="24"/>
          <w:szCs w:val="24"/>
        </w:rPr>
      </w:pPr>
    </w:p>
    <w:p w14:paraId="065A22F6" w14:textId="77777777" w:rsidR="00BE2C1D" w:rsidRPr="00BE2C1D" w:rsidRDefault="00BE2C1D" w:rsidP="00BE2C1D">
      <w:pPr>
        <w:spacing w:line="360" w:lineRule="auto"/>
        <w:jc w:val="center"/>
        <w:rPr>
          <w:rFonts w:cstheme="minorHAnsi"/>
          <w:b/>
          <w:bCs/>
          <w:sz w:val="24"/>
          <w:szCs w:val="24"/>
        </w:rPr>
      </w:pPr>
    </w:p>
    <w:p w14:paraId="4AFBDF01" w14:textId="77777777" w:rsidR="00BE2C1D" w:rsidRPr="00BE2C1D" w:rsidRDefault="00BE2C1D" w:rsidP="00BE2C1D">
      <w:pPr>
        <w:spacing w:line="360" w:lineRule="auto"/>
        <w:jc w:val="center"/>
        <w:rPr>
          <w:rFonts w:cstheme="minorHAnsi"/>
          <w:b/>
          <w:bCs/>
          <w:sz w:val="24"/>
          <w:szCs w:val="24"/>
        </w:rPr>
      </w:pPr>
    </w:p>
    <w:p w14:paraId="3BA70693" w14:textId="77777777" w:rsidR="00BE2C1D" w:rsidRPr="00BE2C1D" w:rsidRDefault="00BE2C1D" w:rsidP="00BE2C1D">
      <w:pPr>
        <w:spacing w:line="360" w:lineRule="auto"/>
        <w:jc w:val="center"/>
        <w:rPr>
          <w:rFonts w:cstheme="minorHAnsi"/>
          <w:b/>
          <w:bCs/>
          <w:sz w:val="24"/>
          <w:szCs w:val="24"/>
        </w:rPr>
      </w:pPr>
    </w:p>
    <w:p w14:paraId="11B40DBF" w14:textId="73894DD4" w:rsidR="00BE2C1D" w:rsidRDefault="00BE2C1D" w:rsidP="00BE2C1D">
      <w:pPr>
        <w:spacing w:line="360" w:lineRule="auto"/>
        <w:jc w:val="center"/>
        <w:rPr>
          <w:rFonts w:cstheme="minorHAnsi"/>
          <w:b/>
          <w:bCs/>
          <w:sz w:val="24"/>
          <w:szCs w:val="24"/>
        </w:rPr>
      </w:pPr>
    </w:p>
    <w:p w14:paraId="757BBEAA" w14:textId="77777777" w:rsidR="0009778C" w:rsidRPr="00BE2C1D" w:rsidRDefault="0009778C" w:rsidP="00BE2C1D">
      <w:pPr>
        <w:spacing w:line="360" w:lineRule="auto"/>
        <w:jc w:val="center"/>
        <w:rPr>
          <w:rFonts w:cstheme="minorHAnsi"/>
          <w:b/>
          <w:bCs/>
          <w:sz w:val="24"/>
          <w:szCs w:val="24"/>
        </w:rPr>
      </w:pPr>
    </w:p>
    <w:p w14:paraId="438011C8" w14:textId="77777777" w:rsidR="00BE2C1D" w:rsidRPr="00BE2C1D" w:rsidRDefault="00BE2C1D" w:rsidP="00BE2C1D">
      <w:pPr>
        <w:spacing w:line="360" w:lineRule="auto"/>
        <w:jc w:val="center"/>
        <w:rPr>
          <w:rFonts w:cstheme="minorHAnsi"/>
          <w:b/>
          <w:bCs/>
          <w:sz w:val="24"/>
          <w:szCs w:val="24"/>
        </w:rPr>
      </w:pPr>
    </w:p>
    <w:p w14:paraId="233704BE" w14:textId="77777777" w:rsidR="00BE2C1D" w:rsidRPr="00BE2C1D" w:rsidRDefault="00BE2C1D" w:rsidP="00BE2C1D">
      <w:pPr>
        <w:spacing w:line="360" w:lineRule="auto"/>
        <w:jc w:val="center"/>
        <w:rPr>
          <w:rFonts w:cstheme="minorHAnsi"/>
          <w:b/>
          <w:bCs/>
          <w:sz w:val="24"/>
          <w:szCs w:val="24"/>
        </w:rPr>
      </w:pPr>
    </w:p>
    <w:p w14:paraId="10BDB3C2" w14:textId="77777777" w:rsidR="00BE2C1D" w:rsidRPr="00BE2C1D" w:rsidRDefault="00BE2C1D" w:rsidP="00BE2C1D">
      <w:pPr>
        <w:spacing w:line="360" w:lineRule="auto"/>
        <w:jc w:val="center"/>
        <w:rPr>
          <w:rFonts w:cstheme="minorHAnsi"/>
          <w:b/>
          <w:bCs/>
          <w:sz w:val="24"/>
          <w:szCs w:val="24"/>
        </w:rPr>
      </w:pPr>
    </w:p>
    <w:p w14:paraId="58A5DEEF" w14:textId="701CF937" w:rsidR="00BE2C1D" w:rsidRPr="00BE2C1D" w:rsidRDefault="00CB0FF8" w:rsidP="00BE2C1D">
      <w:pPr>
        <w:spacing w:line="360" w:lineRule="auto"/>
        <w:jc w:val="center"/>
        <w:rPr>
          <w:rFonts w:cstheme="minorHAnsi"/>
          <w:b/>
          <w:bCs/>
          <w:sz w:val="24"/>
          <w:szCs w:val="24"/>
        </w:rPr>
      </w:pPr>
      <w:r>
        <w:rPr>
          <w:rFonts w:cstheme="minorHAnsi"/>
          <w:b/>
          <w:bCs/>
          <w:sz w:val="24"/>
          <w:szCs w:val="24"/>
        </w:rPr>
        <w:lastRenderedPageBreak/>
        <w:t xml:space="preserve">Figure 2: </w:t>
      </w:r>
      <w:r w:rsidR="00BE2C1D" w:rsidRPr="00BE2C1D">
        <w:rPr>
          <w:rFonts w:cstheme="minorHAnsi"/>
          <w:b/>
          <w:bCs/>
          <w:sz w:val="24"/>
          <w:szCs w:val="24"/>
        </w:rPr>
        <w:t>Negotiating Equipment</w:t>
      </w:r>
    </w:p>
    <w:p w14:paraId="6E665F46" w14:textId="77777777" w:rsidR="00BE2C1D" w:rsidRPr="00BE2C1D" w:rsidRDefault="00BE2C1D" w:rsidP="00BE2C1D">
      <w:pPr>
        <w:spacing w:line="360" w:lineRule="auto"/>
        <w:rPr>
          <w:rFonts w:cstheme="minorHAnsi"/>
        </w:rPr>
      </w:pPr>
      <w:r w:rsidRPr="00BE2C1D">
        <w:rPr>
          <w:rFonts w:cstheme="minorHAnsi"/>
          <w:noProof/>
          <w:lang w:eastAsia="en-GB"/>
        </w:rPr>
        <mc:AlternateContent>
          <mc:Choice Requires="wps">
            <w:drawing>
              <wp:anchor distT="0" distB="0" distL="114300" distR="114300" simplePos="0" relativeHeight="251666432" behindDoc="0" locked="0" layoutInCell="1" allowOverlap="1" wp14:anchorId="08D8D3C1" wp14:editId="01405A13">
                <wp:simplePos x="0" y="0"/>
                <wp:positionH relativeFrom="margin">
                  <wp:posOffset>2113280</wp:posOffset>
                </wp:positionH>
                <wp:positionV relativeFrom="paragraph">
                  <wp:posOffset>171450</wp:posOffset>
                </wp:positionV>
                <wp:extent cx="1304925" cy="972185"/>
                <wp:effectExtent l="0" t="0" r="28575" b="18415"/>
                <wp:wrapNone/>
                <wp:docPr id="25" name="Rectangle 25"/>
                <wp:cNvGraphicFramePr/>
                <a:graphic xmlns:a="http://schemas.openxmlformats.org/drawingml/2006/main">
                  <a:graphicData uri="http://schemas.microsoft.com/office/word/2010/wordprocessingShape">
                    <wps:wsp>
                      <wps:cNvSpPr/>
                      <wps:spPr>
                        <a:xfrm>
                          <a:off x="0" y="0"/>
                          <a:ext cx="1304925" cy="972185"/>
                        </a:xfrm>
                        <a:prstGeom prst="rect">
                          <a:avLst/>
                        </a:prstGeom>
                        <a:solidFill>
                          <a:srgbClr val="4472C4"/>
                        </a:solidFill>
                        <a:ln w="12700" cap="flat" cmpd="sng" algn="ctr">
                          <a:solidFill>
                            <a:srgbClr val="4472C4">
                              <a:shade val="50000"/>
                            </a:srgbClr>
                          </a:solidFill>
                          <a:prstDash val="solid"/>
                          <a:miter lim="800000"/>
                        </a:ln>
                        <a:effectLst/>
                      </wps:spPr>
                      <wps:txbx>
                        <w:txbxContent>
                          <w:p w14:paraId="3AB02C67" w14:textId="77777777" w:rsidR="003142CE" w:rsidRPr="000232DC" w:rsidRDefault="003142CE" w:rsidP="00BE2C1D">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Disabled Young People: Inclusion/Exclusion of their Voice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D8D3C1" id="Rectangle 25" o:spid="_x0000_s1032" style="position:absolute;margin-left:166.4pt;margin-top:13.5pt;width:102.75pt;height:76.5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Hc8hwIAACYFAAAOAAAAZHJzL2Uyb0RvYy54bWysVEtv2zAMvg/YfxB0X+14btMadYogRYcB&#10;RVusHXpmZNkWoNckJXb360fJTp87DfNBJkWKn/iR1PnFqCTZc+eF0TVdHOWUcM1MI3RX058PV19O&#10;KfEBdAPSaF7TJ+7pxerzp/PBVrwwvZENdwSDaF8NtqZ9CLbKMs96rsAfGcs1GlvjFARUXZc1DgaM&#10;rmRW5PlJNhjXWGcY9x53LycjXaX4bctZuG1bzwORNcW7hbS6tG7jmq3Ooeoc2F6w+RrwD7dQIDSC&#10;Poe6hABk58SHUEowZ7xpwxEzKjNtKxhPOWA2i/xdNvc9WJ5yQXK8fabJ/7+w7GZ/54hoalocU6JB&#10;YY1+IGugO8kJ7iFBg/UV+t3bOzdrHsWY7dg6Ff+YBxkTqU/PpPIxEIabi695eRaDM7SdLYvFaQqa&#10;vZy2zodv3CgShZo6hE9cwv7aB0RE14NLBPNGiuZKSJkU12030pE9YIHLcllsynhlPPLGTWoy4FWK&#10;ZY5NwAAbrZUQUFQWU/e6owRkhx3MgkvYb077v4Ak8B4aPkEf5/gdkCf3j7eIWVyC76cjCSIegUqJ&#10;gFMgharpaQx0iCR1tPLUxzMXsRgT/VEK43ZM1TuJgeLO1jRPWFFnplb3ll0JhL0GH+7AYW8jATiv&#10;4RaXVhpkxcwSJb1xv/+2H/2x5dBKyYCzgoz92oHjlMjvGpvxbFGWcbiSUh4vC1Tca8v2tUXv1MZg&#10;tRb4MliWxOgf5EFsnVGPONbriIom0Ayxp9rMyiZMM4wPA+PrdXLDgbIQrvW9ZTF4ZC4S/jA+grNz&#10;bwXsyhtzmCuo3rXY5BtParPeBdOK1H8vvGJNo4LDmKo7Pxxx2l/ryevleVv9AQAA//8DAFBLAwQU&#10;AAYACAAAACEApXlGB+EAAAAKAQAADwAAAGRycy9kb3ducmV2LnhtbEyPQU7DMBBF90i9gzWV2FGn&#10;iVqiEKdCRSwqJCoaDuDGQ5I2HofYbQKnZ1jBcjRP/7+fbybbiSsOvnWkYLmIQCBVzrRUK3gvn+9S&#10;ED5oMrpzhAq+0MOmmN3kOjNupDe8HkItOIR8phU0IfSZlL5q0Gq/cD0S/z7cYHXgc6ilGfTI4baT&#10;cRStpdUtcUOje9w2WJ0PF6ugPpWnc7+l9W7/tHp5/dyX9W78Vup2Pj0+gAg4hT8YfvVZHQp2OroL&#10;GS86BUkSs3pQEN/zJgZWSZqAODKZRkuQRS7/Tyh+AAAA//8DAFBLAQItABQABgAIAAAAIQC2gziS&#10;/gAAAOEBAAATAAAAAAAAAAAAAAAAAAAAAABbQ29udGVudF9UeXBlc10ueG1sUEsBAi0AFAAGAAgA&#10;AAAhADj9If/WAAAAlAEAAAsAAAAAAAAAAAAAAAAALwEAAF9yZWxzLy5yZWxzUEsBAi0AFAAGAAgA&#10;AAAhAHmodzyHAgAAJgUAAA4AAAAAAAAAAAAAAAAALgIAAGRycy9lMm9Eb2MueG1sUEsBAi0AFAAG&#10;AAgAAAAhAKV5RgfhAAAACgEAAA8AAAAAAAAAAAAAAAAA4QQAAGRycy9kb3ducmV2LnhtbFBLBQYA&#10;AAAABAAEAPMAAADvBQAAAAA=&#10;" fillcolor="#4472c4" strokecolor="#2f528f" strokeweight="1pt">
                <v:textbox>
                  <w:txbxContent>
                    <w:p w14:paraId="3AB02C67" w14:textId="77777777" w:rsidR="003142CE" w:rsidRPr="000232DC" w:rsidRDefault="003142CE" w:rsidP="00BE2C1D">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Disabled Young People: Inclusion/Exclusion of their Voice</w:t>
                      </w:r>
                    </w:p>
                  </w:txbxContent>
                </v:textbox>
                <w10:wrap anchorx="margin"/>
              </v:rect>
            </w:pict>
          </mc:Fallback>
        </mc:AlternateContent>
      </w:r>
    </w:p>
    <w:p w14:paraId="6861E235" w14:textId="77777777" w:rsidR="00BE2C1D" w:rsidRPr="00BE2C1D" w:rsidRDefault="00BE2C1D" w:rsidP="00BE2C1D">
      <w:pPr>
        <w:spacing w:line="360" w:lineRule="auto"/>
        <w:rPr>
          <w:rFonts w:cstheme="minorHAnsi"/>
        </w:rPr>
      </w:pPr>
      <w:r w:rsidRPr="00BE2C1D">
        <w:rPr>
          <w:rFonts w:cstheme="minorHAnsi"/>
          <w:noProof/>
          <w:lang w:eastAsia="en-GB"/>
        </w:rPr>
        <mc:AlternateContent>
          <mc:Choice Requires="wps">
            <w:drawing>
              <wp:anchor distT="0" distB="0" distL="114300" distR="114300" simplePos="0" relativeHeight="251667456" behindDoc="0" locked="0" layoutInCell="1" allowOverlap="1" wp14:anchorId="1CCC3EE8" wp14:editId="62960001">
                <wp:simplePos x="0" y="0"/>
                <wp:positionH relativeFrom="margin">
                  <wp:posOffset>4080294</wp:posOffset>
                </wp:positionH>
                <wp:positionV relativeFrom="paragraph">
                  <wp:posOffset>357684</wp:posOffset>
                </wp:positionV>
                <wp:extent cx="949325" cy="1069675"/>
                <wp:effectExtent l="0" t="0" r="22225" b="16510"/>
                <wp:wrapNone/>
                <wp:docPr id="26" name="Rectangle 26"/>
                <wp:cNvGraphicFramePr/>
                <a:graphic xmlns:a="http://schemas.openxmlformats.org/drawingml/2006/main">
                  <a:graphicData uri="http://schemas.microsoft.com/office/word/2010/wordprocessingShape">
                    <wps:wsp>
                      <wps:cNvSpPr/>
                      <wps:spPr>
                        <a:xfrm>
                          <a:off x="0" y="0"/>
                          <a:ext cx="949325" cy="1069675"/>
                        </a:xfrm>
                        <a:prstGeom prst="rect">
                          <a:avLst/>
                        </a:prstGeom>
                        <a:solidFill>
                          <a:srgbClr val="4472C4"/>
                        </a:solidFill>
                        <a:ln w="12700" cap="flat" cmpd="sng" algn="ctr">
                          <a:solidFill>
                            <a:srgbClr val="4472C4">
                              <a:shade val="50000"/>
                            </a:srgbClr>
                          </a:solidFill>
                          <a:prstDash val="solid"/>
                          <a:miter lim="800000"/>
                        </a:ln>
                        <a:effectLst/>
                      </wps:spPr>
                      <wps:txbx>
                        <w:txbxContent>
                          <w:p w14:paraId="2143B82B" w14:textId="77777777" w:rsidR="003142CE" w:rsidRPr="000232DC" w:rsidRDefault="003142CE" w:rsidP="00BE2C1D">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Classrooms as Ableist Spaces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CC3EE8" id="Rectangle 26" o:spid="_x0000_s1033" style="position:absolute;margin-left:321.3pt;margin-top:28.15pt;width:74.75pt;height:84.2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ix4iAIAACYFAAAOAAAAZHJzL2Uyb0RvYy54bWysVEtv2zAMvg/YfxB0X+14TtIYdYogRYcB&#10;RRusHXpmZPkB6DVJid39+lGy09d6GuaDTIrUR/EjqYvLQQpy5NZ1WpV0dpZSwhXTVaeakv58uP5y&#10;TonzoCoQWvGSPnFHL9efP130puCZbrWouCUIolzRm5K23psiSRxruQR3pg1XaKy1leBRtU1SWegR&#10;XYokS9NF0mtbGasZdw53r0YjXUf8uubM39W1456IkuLdfFxtXPdhTdYXUDQWTNux6RrwD7eQ0CkM&#10;+gx1BR7IwXZ/QcmOWe107c+Ylomu647xmANmM0vfZXPfguExFyTHmWea3P+DZbfHnSVdVdJsQYkC&#10;iTX6gayBagQnuIcE9cYV6HdvdnbSHIoh26G2MvwxDzJEUp+eSeWDJww3V/nqazanhKFpli5Wi+U8&#10;gCYvp411/hvXkgShpBbDRy7heOP86HpyCcGcFl113QkRFdvst8KSI2CB83yZbfMJ/Y2bUKTH8Nky&#10;xSZggI1WC/AoSoOpO9VQAqLBDmbexthvTrsPgsTgLVR8DD1P8TtFHt1jjm9wQhZX4NrxSDSFI1DI&#10;zuMUiE6W9DwAnZCEClYe+3jiIhRjpD9IftgPsXrLABR29rp6wopaPba6M+y6w7A34PwOLPY2EoDz&#10;6u9wqYVGVvQkUdJq+/uj/eCPLYdWSnqcFWTs1wEsp0R8V9iMq1meh+GKSj5fZqjY15b9a4s6yK3G&#10;as3wZTAsisHfi5NYWy0fcaw3ISqaQDGMPdZmUrZ+nGF8GBjfbKIbDpQBf6PuDQvggblA+MPwCNZM&#10;veWxK2/1aa6geNdio284qfTm4HXdxf574RVrGhQcxljd6eEI0/5aj14vz9v6DwAAAP//AwBQSwME&#10;FAAGAAgAAAAhAM4dWdHiAAAACgEAAA8AAABkcnMvZG93bnJldi54bWxMj0FOwzAQRfdI3MEaJHbU&#10;aWhNCZlUqIhFVYmKhgO4sXHSxuMQu03o6TErWI7+0/9v8uVoW3bWvW8cIUwnCTBNlVMNGYSP8vVu&#10;AcwHSUq2jjTCt/awLK6vcpkpN9C7Pu+CYbGEfCYR6hC6jHNf1dpKP3Gdpph9ut7KEM/ecNXLIZbb&#10;lqdJIriVDcWFWnZ6VevquDtZBHMoD8duRWK9fZlv3r62pVkPF8Tbm/H5CVjQY/iD4Vc/qkMRnfbu&#10;RMqzFkHMUhFRhLm4BxaBh8d0CmyPkKazBfAi5/9fKH4AAAD//wMAUEsBAi0AFAAGAAgAAAAhALaD&#10;OJL+AAAA4QEAABMAAAAAAAAAAAAAAAAAAAAAAFtDb250ZW50X1R5cGVzXS54bWxQSwECLQAUAAYA&#10;CAAAACEAOP0h/9YAAACUAQAACwAAAAAAAAAAAAAAAAAvAQAAX3JlbHMvLnJlbHNQSwECLQAUAAYA&#10;CAAAACEA3V4seIgCAAAmBQAADgAAAAAAAAAAAAAAAAAuAgAAZHJzL2Uyb0RvYy54bWxQSwECLQAU&#10;AAYACAAAACEAzh1Z0eIAAAAKAQAADwAAAAAAAAAAAAAAAADiBAAAZHJzL2Rvd25yZXYueG1sUEsF&#10;BgAAAAAEAAQA8wAAAPEFAAAAAA==&#10;" fillcolor="#4472c4" strokecolor="#2f528f" strokeweight="1pt">
                <v:textbox>
                  <w:txbxContent>
                    <w:p w14:paraId="2143B82B" w14:textId="77777777" w:rsidR="003142CE" w:rsidRPr="000232DC" w:rsidRDefault="003142CE" w:rsidP="00BE2C1D">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Classrooms as Ableist Spaces </w:t>
                      </w:r>
                    </w:p>
                  </w:txbxContent>
                </v:textbox>
                <w10:wrap anchorx="margin"/>
              </v:rect>
            </w:pict>
          </mc:Fallback>
        </mc:AlternateContent>
      </w:r>
    </w:p>
    <w:p w14:paraId="0E300D1C" w14:textId="77777777" w:rsidR="00BE2C1D" w:rsidRPr="00BE2C1D" w:rsidRDefault="00BE2C1D" w:rsidP="00BE2C1D">
      <w:pPr>
        <w:spacing w:line="360" w:lineRule="auto"/>
        <w:rPr>
          <w:rFonts w:cstheme="minorHAnsi"/>
        </w:rPr>
      </w:pPr>
      <w:r w:rsidRPr="00BE2C1D">
        <w:rPr>
          <w:rFonts w:cstheme="minorHAnsi"/>
          <w:noProof/>
          <w:lang w:eastAsia="en-GB"/>
        </w:rPr>
        <mc:AlternateContent>
          <mc:Choice Requires="wps">
            <w:drawing>
              <wp:anchor distT="0" distB="0" distL="114300" distR="114300" simplePos="0" relativeHeight="251748352" behindDoc="0" locked="0" layoutInCell="1" allowOverlap="1" wp14:anchorId="2F8B14C5" wp14:editId="05A8A907">
                <wp:simplePos x="0" y="0"/>
                <wp:positionH relativeFrom="column">
                  <wp:posOffset>1187532</wp:posOffset>
                </wp:positionH>
                <wp:positionV relativeFrom="paragraph">
                  <wp:posOffset>12486</wp:posOffset>
                </wp:positionV>
                <wp:extent cx="795977" cy="581891"/>
                <wp:effectExtent l="0" t="0" r="23495" b="27940"/>
                <wp:wrapNone/>
                <wp:docPr id="113" name="Straight Connector 113"/>
                <wp:cNvGraphicFramePr/>
                <a:graphic xmlns:a="http://schemas.openxmlformats.org/drawingml/2006/main">
                  <a:graphicData uri="http://schemas.microsoft.com/office/word/2010/wordprocessingShape">
                    <wps:wsp>
                      <wps:cNvCnPr/>
                      <wps:spPr>
                        <a:xfrm flipH="1">
                          <a:off x="0" y="0"/>
                          <a:ext cx="795977" cy="581891"/>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9256FD1" id="Straight Connector 113" o:spid="_x0000_s1026" style="position:absolute;flip:x;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3.5pt,1pt" to="156.2pt,4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I5v1wEAAIYDAAAOAAAAZHJzL2Uyb0RvYy54bWysU02P2jAQvVfqf7B8LwEWFogIewBte6ha&#10;pO3+gMGxE0v+0tgl8O87Ninatrdqc7A8X8/z3ky2Txdr2Fli1N41fDaZciad8K12XcNffzx/WnMW&#10;E7gWjHey4VcZ+dPu44ftEGo59703rURGIC7WQ2h4n1KoqyqKXlqIEx+ko6DyaCGRiV3VIgyEbk01&#10;n04fq8FjG9ALGSN5D7cg3xV8paRI35WKMjHTcOotlRPLecpntdtC3SGEXouxDfiPLixoR4/eoQ6Q&#10;gP1E/Q+U1QJ99CpNhLeVV0oLWTgQm9n0LzYvPQRZuJA4Mdxliu8HK76dj8h0S7ObPXDmwNKQXhKC&#10;7vrE9t45ktAjy1HSagixppK9O+JoxXDETPyi0DJldPhCUEUKIscuRenrXWl5SUyQc7VZblYrzgSF&#10;luvZejPL6NUNJsMFjOmz9JblS8ONdlkIqOH8NaZb6u+U7Hb+WRtDfqiNY0PDHx+WNG4BtFLKQKKr&#10;DUQyuo4zMB3tqkhYEKM3us3VuThid9obZGegfVksVvP9Ymzsj7T89AFif8sroZwGtdWJ1tlo2/D1&#10;NH9jtXE5KstCjgSylDfx8u3k22vRtMoWDbuoMS5m3qa3Nt3f/j67XwAAAP//AwBQSwMEFAAGAAgA&#10;AAAhAAH78/neAAAACAEAAA8AAABkcnMvZG93bnJldi54bWxMj8FOwzAQRO9I/IO1SNyokxSlJcSp&#10;EIgDXFADiOs2XuKosR1iJw1/z3KC02o0o9k35W6xvZhpDJ13CtJVAoJc43XnWgVvr49XWxAhotPY&#10;e0cKvinArjo/K7HQ/uT2NNexFVziQoEKTIxDIWVoDFkMKz+QY+/TjxYjy7GVesQTl9teZkmSS4ud&#10;4w8GB7o31BzrySp4qnGfv3x9pPScPczH927amGZS6vJiubsFEWmJf2H4xWd0qJjp4Ceng+hZbze8&#10;JSrI+LC/TrNrEAcFN+scZFXK/wOqHwAAAP//AwBQSwECLQAUAAYACAAAACEAtoM4kv4AAADhAQAA&#10;EwAAAAAAAAAAAAAAAAAAAAAAW0NvbnRlbnRfVHlwZXNdLnhtbFBLAQItABQABgAIAAAAIQA4/SH/&#10;1gAAAJQBAAALAAAAAAAAAAAAAAAAAC8BAABfcmVscy8ucmVsc1BLAQItABQABgAIAAAAIQD8xI5v&#10;1wEAAIYDAAAOAAAAAAAAAAAAAAAAAC4CAABkcnMvZTJvRG9jLnhtbFBLAQItABQABgAIAAAAIQAB&#10;+/P53gAAAAgBAAAPAAAAAAAAAAAAAAAAADEEAABkcnMvZG93bnJldi54bWxQSwUGAAAAAAQABADz&#10;AAAAPAUAAAAA&#10;" strokecolor="#4472c4" strokeweight=".5pt">
                <v:stroke joinstyle="miter"/>
              </v:line>
            </w:pict>
          </mc:Fallback>
        </mc:AlternateContent>
      </w:r>
    </w:p>
    <w:p w14:paraId="64739654" w14:textId="77777777" w:rsidR="00BE2C1D" w:rsidRPr="00BE2C1D" w:rsidRDefault="00BE2C1D" w:rsidP="00BE2C1D">
      <w:pPr>
        <w:spacing w:line="360" w:lineRule="auto"/>
        <w:rPr>
          <w:rFonts w:cstheme="minorHAnsi"/>
        </w:rPr>
      </w:pPr>
      <w:r w:rsidRPr="00BE2C1D">
        <w:rPr>
          <w:rFonts w:cstheme="minorHAnsi"/>
          <w:noProof/>
          <w:lang w:eastAsia="en-GB"/>
        </w:rPr>
        <mc:AlternateContent>
          <mc:Choice Requires="wps">
            <w:drawing>
              <wp:anchor distT="0" distB="0" distL="114300" distR="114300" simplePos="0" relativeHeight="251741184" behindDoc="0" locked="0" layoutInCell="1" allowOverlap="1" wp14:anchorId="326934C1" wp14:editId="0919A755">
                <wp:simplePos x="0" y="0"/>
                <wp:positionH relativeFrom="margin">
                  <wp:posOffset>2196935</wp:posOffset>
                </wp:positionH>
                <wp:positionV relativeFrom="paragraph">
                  <wp:posOffset>196008</wp:posOffset>
                </wp:positionV>
                <wp:extent cx="712520" cy="1472087"/>
                <wp:effectExtent l="0" t="0" r="30480" b="13970"/>
                <wp:wrapNone/>
                <wp:docPr id="114" name="Straight Connector 114"/>
                <wp:cNvGraphicFramePr/>
                <a:graphic xmlns:a="http://schemas.openxmlformats.org/drawingml/2006/main">
                  <a:graphicData uri="http://schemas.microsoft.com/office/word/2010/wordprocessingShape">
                    <wps:wsp>
                      <wps:cNvCnPr/>
                      <wps:spPr>
                        <a:xfrm flipV="1">
                          <a:off x="0" y="0"/>
                          <a:ext cx="712520" cy="1472087"/>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E58ED0F" id="Straight Connector 114" o:spid="_x0000_s1026" style="position:absolute;flip:y;z-index:251741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73pt,15.45pt" to="229.1pt,13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rBU1AEAAIcDAAAOAAAAZHJzL2Uyb0RvYy54bWysU02P0zAQvSPxHyzfaZLS3VZR0z20Wi4I&#10;Ki3LferYiSV/aWya9t8zdkq1wA2RgzVffp73ZrJ9uljDzhKj9q7jzaLmTDrhe+2Gjr9+e/6w4Swm&#10;cD0Y72THrzLyp937d9sptHLpR296iYxAXGyn0PExpdBWVRSjtBAXPkhHSeXRQiIXh6pHmAjdmmpZ&#10;14/V5LEP6IWMkaKHOcl3BV8pKdJXpaJMzHScekvlxHKe8lntttAOCGHU4tYG/EMXFrSjR+9QB0jA&#10;fqD+C8pqgT56lRbC28orpYUsHIhNU//B5mWEIAsXEieGu0zx/8GKL+cjMt3T7JoVZw4sDeklIehh&#10;TGzvnSMJPbKcJa2mEFu6sndHvHkxHDETvyi0TBkdvhNUkYLIsUtR+npXWl4SExRcN8uHJc1DUKpZ&#10;rZf1Zp3hqxkn4wWM6ZP0lmWj40a7rAS0cP4c01z6qySHnX/WxlAcWuPY1PHHjw8ZH2inlIFEpg3E&#10;MrqBMzADLatIWBCjN7rPt/PliMNpb5CdgRZmRZ3tC29q7Ley/PQB4jjXldS8SlYn2mejbcc3df5u&#10;tIzL6LJs5I1A1nJWL1sn31+LqFX2aNpFjdtm5nV665P99v/Z/QQAAP//AwBQSwMEFAAGAAgAAAAh&#10;AHqLz0fgAAAACgEAAA8AAABkcnMvZG93bnJldi54bWxMj8FOwzAQRO9I/IO1SNyoU1PSEuJUCMQB&#10;LlUDiKsbL0nUeB1iJw1/z3KC26xmNPsm386uExMOofWkYblIQCBV3rZUa3h7fbragAjRkDWdJ9Tw&#10;jQG2xflZbjLrT7THqYy14BIKmdHQxNhnUoaqQWfCwvdI7H36wZnI51BLO5gTl7tOqiRJpTMt8YfG&#10;9PjQYHUsR6fhuTT7dPf1scQX9Tgd39tx3VSj1pcX8/0diIhz/AvDLz6jQ8FMBz+SDaLTcL1KeUtk&#10;kdyC4MDqZqNAHDSoVK1BFrn8P6H4AQAA//8DAFBLAQItABQABgAIAAAAIQC2gziS/gAAAOEBAAAT&#10;AAAAAAAAAAAAAAAAAAAAAABbQ29udGVudF9UeXBlc10ueG1sUEsBAi0AFAAGAAgAAAAhADj9If/W&#10;AAAAlAEAAAsAAAAAAAAAAAAAAAAALwEAAF9yZWxzLy5yZWxzUEsBAi0AFAAGAAgAAAAhAAa+sFTU&#10;AQAAhwMAAA4AAAAAAAAAAAAAAAAALgIAAGRycy9lMm9Eb2MueG1sUEsBAi0AFAAGAAgAAAAhAHqL&#10;z0fgAAAACgEAAA8AAAAAAAAAAAAAAAAALgQAAGRycy9kb3ducmV2LnhtbFBLBQYAAAAABAAEAPMA&#10;AAA7BQAAAAA=&#10;" strokecolor="#4472c4" strokeweight=".5pt">
                <v:stroke joinstyle="miter"/>
                <w10:wrap anchorx="margin"/>
              </v:line>
            </w:pict>
          </mc:Fallback>
        </mc:AlternateContent>
      </w:r>
      <w:r w:rsidRPr="00BE2C1D">
        <w:rPr>
          <w:rFonts w:cstheme="minorHAnsi"/>
          <w:noProof/>
          <w:lang w:eastAsia="en-GB"/>
        </w:rPr>
        <mc:AlternateContent>
          <mc:Choice Requires="wps">
            <w:drawing>
              <wp:anchor distT="0" distB="0" distL="114300" distR="114300" simplePos="0" relativeHeight="251743232" behindDoc="0" locked="0" layoutInCell="1" allowOverlap="1" wp14:anchorId="38352BD7" wp14:editId="6ADFA747">
                <wp:simplePos x="0" y="0"/>
                <wp:positionH relativeFrom="margin">
                  <wp:posOffset>2921329</wp:posOffset>
                </wp:positionH>
                <wp:positionV relativeFrom="paragraph">
                  <wp:posOffset>160383</wp:posOffset>
                </wp:positionV>
                <wp:extent cx="1068779" cy="1555667"/>
                <wp:effectExtent l="0" t="0" r="36195" b="26035"/>
                <wp:wrapNone/>
                <wp:docPr id="116" name="Straight Connector 116"/>
                <wp:cNvGraphicFramePr/>
                <a:graphic xmlns:a="http://schemas.openxmlformats.org/drawingml/2006/main">
                  <a:graphicData uri="http://schemas.microsoft.com/office/word/2010/wordprocessingShape">
                    <wps:wsp>
                      <wps:cNvCnPr/>
                      <wps:spPr>
                        <a:xfrm>
                          <a:off x="0" y="0"/>
                          <a:ext cx="1068779" cy="1555667"/>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2D502AC" id="Straight Connector 116" o:spid="_x0000_s1026" style="position:absolute;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30.05pt,12.65pt" to="314.2pt,13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AOzwEAAH4DAAAOAAAAZHJzL2Uyb0RvYy54bWysU8uu0zAQ3SPxD5b3NElp0xI1vYtWlw2C&#10;Shc+YOo4iSW/NDZN+/eM3VAusENk4czzZM7xZPd0NZpdJAblbMurRcmZtMJ1yg4t//b1+d2WsxDB&#10;dqCdlS2/ycCf9m/f7CbfyKUbne4kMgKxoZl8y8cYfVMUQYzSQFg4Ly0le4cGIrk4FB3CROhGF8uy&#10;rIvJYefRCRkCRY/3JN9n/L6XIn7p+yAj0y2n2WI+MZ/ndBb7HTQDgh+VmMeAf5jCgLL00QfUESKw&#10;76j+gjJKoAuujwvhTOH6XgmZORCbqvyDzcsIXmYuJE7wD5nC/4MVny8nZKqju6tqziwYuqSXiKCG&#10;MbKDs5YkdMhSlrSafGio5WBPOHvBnzARv/Zo0psosWvW9/bQV14jExSsynq72XzgTFCuWq/Xdb1J&#10;qMWvdo8hfpTOsGS0XCubBIAGLp9CvJf+LElh656V1hSHRls2tbx+v6ZrFkCr1GuIZBpP5IIdOAM9&#10;0I6KiBkxOK261J2aAw7ng0Z2AdqT1WqzPKzmwX4rS58+QhjvdTmVyqAxKtIaa2Vavi3TM3drm7Iy&#10;L+JMIEl4Fy1ZZ9fdspZF8uiSsxrzQqYteu2T/fq32f8AAAD//wMAUEsDBBQABgAIAAAAIQBsYC5Z&#10;4QAAAAoBAAAPAAAAZHJzL2Rvd25yZXYueG1sTI+xTsMwEIZ3JN7BOiQ2aidtTQhxKorEwIJKy9Bu&#10;bnwkgdgOsZuGt+eYYLy7T/99f7GabMdGHELrnYJkJoChq7xpXa3gbfd0kwELUTujO+9QwTcGWJWX&#10;F4XOjT+7Vxy3sWYU4kKuFTQx9jnnoWrQ6jDzPTq6vfvB6kjjUHMz6DOF246nQkhudevoQ6N7fGyw&#10;+tyerIKdXG6ymGyev8Rhv76TKX6M6xelrq+mh3tgEaf4B8OvPqlDSU5Hf3ImsE7BQoqEUAXpcg6M&#10;AJlmC2BHWtyKOfCy4P8rlD8AAAD//wMAUEsBAi0AFAAGAAgAAAAhALaDOJL+AAAA4QEAABMAAAAA&#10;AAAAAAAAAAAAAAAAAFtDb250ZW50X1R5cGVzXS54bWxQSwECLQAUAAYACAAAACEAOP0h/9YAAACU&#10;AQAACwAAAAAAAAAAAAAAAAAvAQAAX3JlbHMvLnJlbHNQSwECLQAUAAYACAAAACEAP5+ADs8BAAB+&#10;AwAADgAAAAAAAAAAAAAAAAAuAgAAZHJzL2Uyb0RvYy54bWxQSwECLQAUAAYACAAAACEAbGAuWeEA&#10;AAAKAQAADwAAAAAAAAAAAAAAAAApBAAAZHJzL2Rvd25yZXYueG1sUEsFBgAAAAAEAAQA8wAAADcF&#10;AAAAAA==&#10;" strokecolor="#4472c4" strokeweight=".5pt">
                <v:stroke joinstyle="miter"/>
                <w10:wrap anchorx="margin"/>
              </v:line>
            </w:pict>
          </mc:Fallback>
        </mc:AlternateContent>
      </w:r>
      <w:r w:rsidRPr="00BE2C1D">
        <w:rPr>
          <w:rFonts w:cstheme="minorHAnsi"/>
          <w:noProof/>
          <w:lang w:eastAsia="en-GB"/>
        </w:rPr>
        <mc:AlternateContent>
          <mc:Choice Requires="wps">
            <w:drawing>
              <wp:anchor distT="0" distB="0" distL="114300" distR="114300" simplePos="0" relativeHeight="251745280" behindDoc="0" locked="0" layoutInCell="1" allowOverlap="1" wp14:anchorId="21213645" wp14:editId="122BC910">
                <wp:simplePos x="0" y="0"/>
                <wp:positionH relativeFrom="column">
                  <wp:posOffset>3503221</wp:posOffset>
                </wp:positionH>
                <wp:positionV relativeFrom="paragraph">
                  <wp:posOffset>75664</wp:posOffset>
                </wp:positionV>
                <wp:extent cx="510226" cy="381322"/>
                <wp:effectExtent l="0" t="0" r="23495" b="19050"/>
                <wp:wrapNone/>
                <wp:docPr id="118" name="Straight Connector 118"/>
                <wp:cNvGraphicFramePr/>
                <a:graphic xmlns:a="http://schemas.openxmlformats.org/drawingml/2006/main">
                  <a:graphicData uri="http://schemas.microsoft.com/office/word/2010/wordprocessingShape">
                    <wps:wsp>
                      <wps:cNvCnPr/>
                      <wps:spPr>
                        <a:xfrm>
                          <a:off x="0" y="0"/>
                          <a:ext cx="510226" cy="381322"/>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EF5ACEA" id="Straight Connector 118" o:spid="_x0000_s1026" style="position:absolute;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5.85pt,5.95pt" to="316.05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oPzwEAAHwDAAAOAAAAZHJzL2Uyb0RvYy54bWysU8uO2zAMvBfYfxB03/iRbBoYcfaQYHsp&#10;2gDb/QBGlm0BeoFS4+TvSyluum1vRX2QSZEcc4b09vliNDtLDMrZlleLkjNpheuUHVr+9u3lccNZ&#10;iGA70M7Kll9l4M+7hw/byTeydqPTnURGIDY0k2/5GKNviiKIURoIC+elpWDv0EAkF4eiQ5gI3eii&#10;Lst1MTnsPDohQ6Dbwy3Idxm/76WIX/s+yMh0y6m3mE/M5ymdxW4LzYDgRyXmNuAfujCgLH30DnWA&#10;COw7qr+gjBLoguvjQjhTuL5XQmYOxKYq/2DzOoKXmQuJE/xdpvD/YMWX8xGZ6mh2FY3KgqEhvUYE&#10;NYyR7Z21JKFDlqKk1eRDQyV7e8TZC/6IifilR5PeRIldsr7Xu77yEpmgy6eqrOs1Z4JCy021rOuE&#10;Wfwq9hjiJ+kMS0bLtbKJPjRw/hziLfVnSrq27kVpTffQaMumlq+XTzRkAbRIvYZIpvFELdiBM9AD&#10;baiImBGD06pL1ak44HDaa2RnoC1ZrT7W+9Xc2G9p6dMHCOMtL4dSGjRGRVpirUzLN2V65mptU1Tm&#10;NZwJJAFvkiXr5LprVrJIHo04qzGvY9qh9z7Z73+a3Q8AAAD//wMAUEsDBBQABgAIAAAAIQBM6QdP&#10;4AAAAAkBAAAPAAAAZHJzL2Rvd25yZXYueG1sTI/LTsMwEEX3SPyDNUjsqO2gpG0ap6JILNigPljQ&#10;nRsPSSAeh9hNw99jVrAc3aN7zxTryXZsxMG3jhTImQCGVDnTUq3g9fB0twDmgyajO0eo4Bs9rMvr&#10;q0Lnxl1oh+M+1CyWkM+1giaEPufcVw1a7WeuR4rZuxusDvEcam4GfYnltuOJEBm3uqW40OgeHxus&#10;Pvdnq+CQpdtFkNvnL3F82yyzBD/GzYtStzfTwwpYwCn8wfCrH9WhjE4ndybjWacgTeU8ojGQS2AR&#10;yO4TCeykYJ4I4GXB/39Q/gAAAP//AwBQSwECLQAUAAYACAAAACEAtoM4kv4AAADhAQAAEwAAAAAA&#10;AAAAAAAAAAAAAAAAW0NvbnRlbnRfVHlwZXNdLnhtbFBLAQItABQABgAIAAAAIQA4/SH/1gAAAJQB&#10;AAALAAAAAAAAAAAAAAAAAC8BAABfcmVscy8ucmVsc1BLAQItABQABgAIAAAAIQCj+YoPzwEAAHwD&#10;AAAOAAAAAAAAAAAAAAAAAC4CAABkcnMvZTJvRG9jLnhtbFBLAQItABQABgAIAAAAIQBM6QdP4AAA&#10;AAkBAAAPAAAAAAAAAAAAAAAAACkEAABkcnMvZG93bnJldi54bWxQSwUGAAAAAAQABADzAAAANgUA&#10;AAAA&#10;" strokecolor="#4472c4" strokeweight=".5pt">
                <v:stroke joinstyle="miter"/>
              </v:line>
            </w:pict>
          </mc:Fallback>
        </mc:AlternateContent>
      </w:r>
    </w:p>
    <w:p w14:paraId="415B0655" w14:textId="77777777" w:rsidR="00BE2C1D" w:rsidRPr="00BE2C1D" w:rsidRDefault="00BE2C1D" w:rsidP="00BE2C1D">
      <w:pPr>
        <w:spacing w:line="360" w:lineRule="auto"/>
        <w:rPr>
          <w:rFonts w:cstheme="minorHAnsi"/>
        </w:rPr>
      </w:pPr>
      <w:r w:rsidRPr="00BE2C1D">
        <w:rPr>
          <w:rFonts w:cstheme="minorHAnsi"/>
          <w:noProof/>
          <w:lang w:eastAsia="en-GB"/>
        </w:rPr>
        <mc:AlternateContent>
          <mc:Choice Requires="wps">
            <w:drawing>
              <wp:anchor distT="0" distB="0" distL="114300" distR="114300" simplePos="0" relativeHeight="251750400" behindDoc="0" locked="0" layoutInCell="1" allowOverlap="1" wp14:anchorId="34CD360B" wp14:editId="3F9F058F">
                <wp:simplePos x="0" y="0"/>
                <wp:positionH relativeFrom="column">
                  <wp:posOffset>2173184</wp:posOffset>
                </wp:positionH>
                <wp:positionV relativeFrom="paragraph">
                  <wp:posOffset>159137</wp:posOffset>
                </wp:positionV>
                <wp:extent cx="1793389" cy="1198855"/>
                <wp:effectExtent l="0" t="0" r="16510" b="20955"/>
                <wp:wrapNone/>
                <wp:docPr id="122" name="Straight Connector 122"/>
                <wp:cNvGraphicFramePr/>
                <a:graphic xmlns:a="http://schemas.openxmlformats.org/drawingml/2006/main">
                  <a:graphicData uri="http://schemas.microsoft.com/office/word/2010/wordprocessingShape">
                    <wps:wsp>
                      <wps:cNvCnPr/>
                      <wps:spPr>
                        <a:xfrm flipH="1">
                          <a:off x="0" y="0"/>
                          <a:ext cx="1793389" cy="1198855"/>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B4DF2C5" id="Straight Connector 122" o:spid="_x0000_s1026" style="position:absolute;flip:x;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1.1pt,12.55pt" to="312.3pt,10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e3C2AEAAIgDAAAOAAAAZHJzL2Uyb0RvYy54bWysU8lu2zAQvRfoPxC81/Ka2ILlHGykPRSt&#10;gTQfMKZIiQA3DFnL/vsOadVI21sRHQjO9jjvzWj7dLGGnSVG7V3DZ5MpZ9IJ32rXNfz1x/OnNWcx&#10;gWvBeCcbfpWRP+0+ftgOoZZz33vTSmQE4mI9hIb3KYW6qqLopYU48UE6CiqPFhKZ2FUtwkDo1lTz&#10;6fShGjy2Ab2QMZL3cAvyXcFXSor0XakoEzMNp95SObGcp3xWuy3UHULotRjbgP/owoJ29Ogd6gAJ&#10;2E/U/0BZLdBHr9JEeFt5pbSQhQOxmU3/YvPSQ5CFC4kTw12m+H6w4tv5iEy3NLv5nDMHlob0khB0&#10;1ye2986RhB5ZjpJWQ4g1lezdEUcrhiNm4heFlimjwxeCKlIQOXYpSl/vSstLYoKcs8fNYrHecCYo&#10;Nptt1uvVKuNXN6AMGDCmz9Jbli8NN9plKaCG89eYbqm/U7Lb+WdtDPmhNo4NDX9YrGjgAmiplIFE&#10;VxuIZnQdZ2A62laRsCBGb3Sbq3NxxO60N8jOQBuzXD7O98uxsT/S8tMHiP0tr4RyGtRWJ1poo23D&#10;19P8jdXG5agsKzkSyGLe5Mu3k2+vRdUqWzTuosa4mnmf3tp0f/sD7X4BAAD//wMAUEsDBBQABgAI&#10;AAAAIQDFk6d03wAAAAoBAAAPAAAAZHJzL2Rvd25yZXYueG1sTI/BToQwEIbvJr5DMybe3EJ3RUXK&#10;xmg86MUsarx2YaRk6RRpYfHtHU96nJkv/3x/sV1cL2YcQ+dJQ7pKQCDVvumo1fD2+nhxDSJEQ43p&#10;PaGGbwywLU9PCpM3/kg7nKvYCg6hkBsNNsYhlzLUFp0JKz8g8e3Tj85EHsdWNqM5crjrpUqSTDrT&#10;EX+wZsB7i/WhmpyGp8rsspevjxSf1cN8eO+mK1tPWp+fLXe3ICIu8Q+GX31Wh5Kd9n6iJohew3qj&#10;FKMa1GUKgoFMbTIQe16k6xuQZSH/Vyh/AAAA//8DAFBLAQItABQABgAIAAAAIQC2gziS/gAAAOEB&#10;AAATAAAAAAAAAAAAAAAAAAAAAABbQ29udGVudF9UeXBlc10ueG1sUEsBAi0AFAAGAAgAAAAhADj9&#10;If/WAAAAlAEAAAsAAAAAAAAAAAAAAAAALwEAAF9yZWxzLy5yZWxzUEsBAi0AFAAGAAgAAAAhAHu9&#10;7cLYAQAAiAMAAA4AAAAAAAAAAAAAAAAALgIAAGRycy9lMm9Eb2MueG1sUEsBAi0AFAAGAAgAAAAh&#10;AMWTp3TfAAAACgEAAA8AAAAAAAAAAAAAAAAAMgQAAGRycy9kb3ducmV2LnhtbFBLBQYAAAAABAAE&#10;APMAAAA+BQAAAAA=&#10;" strokecolor="#4472c4" strokeweight=".5pt">
                <v:stroke joinstyle="miter"/>
              </v:line>
            </w:pict>
          </mc:Fallback>
        </mc:AlternateContent>
      </w:r>
      <w:r w:rsidRPr="00BE2C1D">
        <w:rPr>
          <w:rFonts w:cstheme="minorHAnsi"/>
          <w:noProof/>
          <w:lang w:eastAsia="en-GB"/>
        </w:rPr>
        <mc:AlternateContent>
          <mc:Choice Requires="wps">
            <w:drawing>
              <wp:anchor distT="0" distB="0" distL="114300" distR="114300" simplePos="0" relativeHeight="251742208" behindDoc="0" locked="0" layoutInCell="1" allowOverlap="1" wp14:anchorId="52A51651" wp14:editId="2255F353">
                <wp:simplePos x="0" y="0"/>
                <wp:positionH relativeFrom="column">
                  <wp:posOffset>1567543</wp:posOffset>
                </wp:positionH>
                <wp:positionV relativeFrom="paragraph">
                  <wp:posOffset>100751</wp:posOffset>
                </wp:positionV>
                <wp:extent cx="2445583" cy="272456"/>
                <wp:effectExtent l="0" t="0" r="31115" b="32385"/>
                <wp:wrapNone/>
                <wp:docPr id="115" name="Straight Connector 115"/>
                <wp:cNvGraphicFramePr/>
                <a:graphic xmlns:a="http://schemas.openxmlformats.org/drawingml/2006/main">
                  <a:graphicData uri="http://schemas.microsoft.com/office/word/2010/wordprocessingShape">
                    <wps:wsp>
                      <wps:cNvCnPr/>
                      <wps:spPr>
                        <a:xfrm flipV="1">
                          <a:off x="0" y="0"/>
                          <a:ext cx="2445583" cy="272456"/>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D8360F9" id="Straight Connector 115" o:spid="_x0000_s1026" style="position:absolute;flip:y;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3.45pt,7.95pt" to="316pt,2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WPe1gEAAIcDAAAOAAAAZHJzL2Uyb0RvYy54bWysU02P0zAQvSPxHyzfadps2q2ipntotVwQ&#10;VFrgPnXsxJK/NDZN++8Zu2G1wA2Rg+X5ep73ZrJ7ulrDLhKj9q7jq8WSM+mE77UbOv7t6/OHLWcx&#10;gevBeCc7fpORP+3fv9tNoZW1H73pJTICcbGdQsfHlEJbVVGM0kJc+CAdBZVHC4lMHKoeYSJ0a6p6&#10;udxUk8c+oBcyRvIe70G+L/hKSZG+KBVlYqbj1FsqJ5bznM9qv4N2QAijFnMb8A9dWNCOHn2FOkIC&#10;9gP1X1BWC/TRq7QQ3lZeKS1k4UBsVss/2LyMEGThQuLE8CpT/H+w4vPlhEz3NLvVmjMHlob0khD0&#10;MCZ28M6RhB5ZjpJWU4gtlRzcCWcrhhNm4leFlimjw3eCKlIQOXYtSt9elZbXxAQ566ZZr7cPnAmK&#10;1Y91s95k+OqOk/ECxvRResvypeNGu6wEtHD5FNM99VdKdjv/rI0hP7TGsanjm4c1zVsA7ZQykOhq&#10;A7GMbuAMzEDLKhIWxOiN7nN1Lo44nA8G2QVoYZrmsT40c2O/peWnjxDHe14J5TRorU60z0bbjm+X&#10;+ZurjctRWTZyJpC1vKuXb2ff34qoVbZo2kWNeTPzOr216f72/9n/BAAA//8DAFBLAwQUAAYACAAA&#10;ACEAvFQLpN4AAAAJAQAADwAAAGRycy9kb3ducmV2LnhtbEyPQU+EMBCF7yb+h2ZMvLll0UVEysZo&#10;POjFLGq8dulIydIp0sLiv3c86Wny8r68ea/cLq4XM46h86RgvUpAIDXedNQqeHt9vMhBhKjJ6N4T&#10;KvjGANvq9KTUhfFH2uFcx1ZwCIVCK7AxDoWUobHodFj5AYm9Tz86HVmOrTSjPnK462WaJJl0uiP+&#10;YPWA9xabQz05BU+13mUvXx9rfE4f5sN7N13bZlLq/Gy5uwURcYl/MPzW5+pQcae9n8gE0StIr7Ib&#10;RtnY8GUgu0x53F7BJs9BVqX8v6D6AQAA//8DAFBLAQItABQABgAIAAAAIQC2gziS/gAAAOEBAAAT&#10;AAAAAAAAAAAAAAAAAAAAAABbQ29udGVudF9UeXBlc10ueG1sUEsBAi0AFAAGAAgAAAAhADj9If/W&#10;AAAAlAEAAAsAAAAAAAAAAAAAAAAALwEAAF9yZWxzLy5yZWxzUEsBAi0AFAAGAAgAAAAhAJkRY97W&#10;AQAAhwMAAA4AAAAAAAAAAAAAAAAALgIAAGRycy9lMm9Eb2MueG1sUEsBAi0AFAAGAAgAAAAhALxU&#10;C6TeAAAACQEAAA8AAAAAAAAAAAAAAAAAMAQAAGRycy9kb3ducmV2LnhtbFBLBQYAAAAABAAEAPMA&#10;AAA7BQAAAAA=&#10;" strokecolor="#4472c4" strokeweight=".5pt">
                <v:stroke joinstyle="miter"/>
              </v:line>
            </w:pict>
          </mc:Fallback>
        </mc:AlternateContent>
      </w:r>
      <w:r w:rsidRPr="00BE2C1D">
        <w:rPr>
          <w:rFonts w:cstheme="minorHAnsi"/>
          <w:noProof/>
          <w:lang w:eastAsia="en-GB"/>
        </w:rPr>
        <mc:AlternateContent>
          <mc:Choice Requires="wps">
            <w:drawing>
              <wp:anchor distT="0" distB="0" distL="114300" distR="114300" simplePos="0" relativeHeight="251665408" behindDoc="0" locked="0" layoutInCell="1" allowOverlap="1" wp14:anchorId="56647F15" wp14:editId="686C30DA">
                <wp:simplePos x="0" y="0"/>
                <wp:positionH relativeFrom="margin">
                  <wp:posOffset>534095</wp:posOffset>
                </wp:positionH>
                <wp:positionV relativeFrom="paragraph">
                  <wp:posOffset>10795</wp:posOffset>
                </wp:positionV>
                <wp:extent cx="949325" cy="905773"/>
                <wp:effectExtent l="0" t="0" r="22225" b="27940"/>
                <wp:wrapNone/>
                <wp:docPr id="24" name="Rectangle 24"/>
                <wp:cNvGraphicFramePr/>
                <a:graphic xmlns:a="http://schemas.openxmlformats.org/drawingml/2006/main">
                  <a:graphicData uri="http://schemas.microsoft.com/office/word/2010/wordprocessingShape">
                    <wps:wsp>
                      <wps:cNvSpPr/>
                      <wps:spPr>
                        <a:xfrm>
                          <a:off x="0" y="0"/>
                          <a:ext cx="949325" cy="905773"/>
                        </a:xfrm>
                        <a:prstGeom prst="rect">
                          <a:avLst/>
                        </a:prstGeom>
                        <a:solidFill>
                          <a:srgbClr val="4472C4"/>
                        </a:solidFill>
                        <a:ln w="12700" cap="flat" cmpd="sng" algn="ctr">
                          <a:solidFill>
                            <a:srgbClr val="4472C4">
                              <a:shade val="50000"/>
                            </a:srgbClr>
                          </a:solidFill>
                          <a:prstDash val="solid"/>
                          <a:miter lim="800000"/>
                        </a:ln>
                        <a:effectLst/>
                      </wps:spPr>
                      <wps:txbx>
                        <w:txbxContent>
                          <w:p w14:paraId="2D473C9A" w14:textId="77777777" w:rsidR="003142CE" w:rsidRPr="000232DC" w:rsidRDefault="003142CE" w:rsidP="00BE2C1D">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Medical Discourse &amp; Health Benefits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647F15" id="Rectangle 24" o:spid="_x0000_s1034" style="position:absolute;margin-left:42.05pt;margin-top:.85pt;width:74.75pt;height:71.3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J6PiAIAACUFAAAOAAAAZHJzL2Uyb0RvYy54bWysVEtv2zAMvg/YfxB0X+24ztIEdYogRYcB&#10;RVusHXpmZNkWoNckJXb360fJTl/raZgPMilSpPjxo84vBiXJgTsvjK7o7CSnhGtmaqHbiv58uPpy&#10;RokPoGuQRvOKPnFPL9afP533dsUL0xlZc0cwiPar3la0C8GussyzjivwJ8ZyjcbGOAUBVddmtYMe&#10;oyuZFXn+NeuNq60zjHuPu5ejka5T/KbhLNw2jeeByIri3UJaXVp3cc3W57BqHdhOsOka8A+3UCA0&#10;Jn0OdQkByN6Jv0IpwZzxpgknzKjMNI1gPNWA1czyd9Xcd2B5qgXB8fYZJv//wrKbw50joq5oUVKi&#10;QWGPfiBqoFvJCe4hQL31K/S7t3du0jyKsdqhcSr+sQ4yJFCfnkHlQyAMN5fl8rSYU8LQtMzni8Vp&#10;jJm9HLbOh2/cKBKFijrMnqCEw7UPo+vRJebyRor6SkiZFNfuttKRA2B/y3JRbNONMfobN6lJj+ws&#10;FjlygAHyrJEQUFQWK/e6pQRkiwRmwaXcb077D5Kk5B3UfEw9z/Gb6prcU41v4sQqLsF345Fkikdg&#10;pUTAIZBCVfQsBjpGkjpaeaLxhEXsxYh+lMKwG1LzzmKguLMz9RM21JmR6d6yK4Fpr8GHO3BIbQQA&#10;xzXc4tJIg6iYSaKkM+73R/vRHxmHVkp6HBVE7NceHKdEftfIxeWsLONsJaWcLwpU3GvL7rVF79XW&#10;YLdm+DBYlsToH+RRbJxRjzjVm5gVTaAZ5h57MynbMI4wvguMbzbJDefJQrjW95bF4BG5CPjD8AjO&#10;TtwKSMobcxwrWL2j2OgbT2qz2QfTiMS/F1yxp1HBWUzdnd6NOOyv9eT18rqt/wAAAP//AwBQSwME&#10;FAAGAAgAAAAhAATTVJXfAAAACAEAAA8AAABkcnMvZG93bnJldi54bWxMj8FOwzAQRO9I/IO1SNyo&#10;0yaEKsSpUBGHComKhg9w4yVJG69D7DaBr2d7guPsjGbf5KvJduKMg28dKZjPIhBIlTMt1Qo+ype7&#10;JQgfNBndOUIF3+hhVVxf5TozbqR3PO9CLbiEfKYVNCH0mZS+atBqP3M9EnufbrA6sBxqaQY9crnt&#10;5CKKUml1S/yh0T2uG6yOu5NVUB/Kw7FfU7rZPt+/vn1ty3oz/ih1ezM9PYIIOIW/MFzwGR0KZtq7&#10;ExkvOgXLZM5Jvj+AYHsRxymIPeskiUEWufw/oPgFAAD//wMAUEsBAi0AFAAGAAgAAAAhALaDOJL+&#10;AAAA4QEAABMAAAAAAAAAAAAAAAAAAAAAAFtDb250ZW50X1R5cGVzXS54bWxQSwECLQAUAAYACAAA&#10;ACEAOP0h/9YAAACUAQAACwAAAAAAAAAAAAAAAAAvAQAAX3JlbHMvLnJlbHNQSwECLQAUAAYACAAA&#10;ACEAgXSej4gCAAAlBQAADgAAAAAAAAAAAAAAAAAuAgAAZHJzL2Uyb0RvYy54bWxQSwECLQAUAAYA&#10;CAAAACEABNNUld8AAAAIAQAADwAAAAAAAAAAAAAAAADiBAAAZHJzL2Rvd25yZXYueG1sUEsFBgAA&#10;AAAEAAQA8wAAAO4FAAAAAA==&#10;" fillcolor="#4472c4" strokecolor="#2f528f" strokeweight="1pt">
                <v:textbox>
                  <w:txbxContent>
                    <w:p w14:paraId="2D473C9A" w14:textId="77777777" w:rsidR="003142CE" w:rsidRPr="000232DC" w:rsidRDefault="003142CE" w:rsidP="00BE2C1D">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Medical Discourse &amp; Health Benefits</w:t>
                      </w:r>
                    </w:p>
                  </w:txbxContent>
                </v:textbox>
                <w10:wrap anchorx="margin"/>
              </v:rect>
            </w:pict>
          </mc:Fallback>
        </mc:AlternateContent>
      </w:r>
    </w:p>
    <w:p w14:paraId="5C0EC158" w14:textId="77777777" w:rsidR="00BE2C1D" w:rsidRPr="00BE2C1D" w:rsidRDefault="00BE2C1D" w:rsidP="00BE2C1D">
      <w:pPr>
        <w:spacing w:line="360" w:lineRule="auto"/>
        <w:rPr>
          <w:rFonts w:cstheme="minorHAnsi"/>
        </w:rPr>
      </w:pPr>
      <w:r w:rsidRPr="00BE2C1D">
        <w:rPr>
          <w:rFonts w:cstheme="minorHAnsi"/>
          <w:noProof/>
          <w:lang w:eastAsia="en-GB"/>
        </w:rPr>
        <mc:AlternateContent>
          <mc:Choice Requires="wps">
            <w:drawing>
              <wp:anchor distT="0" distB="0" distL="114300" distR="114300" simplePos="0" relativeHeight="251749376" behindDoc="0" locked="0" layoutInCell="1" allowOverlap="1" wp14:anchorId="199B0E70" wp14:editId="6C85A019">
                <wp:simplePos x="0" y="0"/>
                <wp:positionH relativeFrom="column">
                  <wp:posOffset>1567542</wp:posOffset>
                </wp:positionH>
                <wp:positionV relativeFrom="paragraph">
                  <wp:posOffset>15388</wp:posOffset>
                </wp:positionV>
                <wp:extent cx="2470067" cy="985100"/>
                <wp:effectExtent l="0" t="0" r="26035" b="24765"/>
                <wp:wrapNone/>
                <wp:docPr id="121" name="Straight Connector 121"/>
                <wp:cNvGraphicFramePr/>
                <a:graphic xmlns:a="http://schemas.openxmlformats.org/drawingml/2006/main">
                  <a:graphicData uri="http://schemas.microsoft.com/office/word/2010/wordprocessingShape">
                    <wps:wsp>
                      <wps:cNvCnPr/>
                      <wps:spPr>
                        <a:xfrm>
                          <a:off x="0" y="0"/>
                          <a:ext cx="2470067" cy="98510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58F3852" id="Straight Connector 121" o:spid="_x0000_s1026" style="position:absolute;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3.45pt,1.2pt" to="317.95pt,7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g+D0AEAAH0DAAAOAAAAZHJzL2Uyb0RvYy54bWysU02P0zAQvSPxHyzfadLQ3Zao6R5aLRcE&#10;lRZ+wNSxE0v+0tg07b9n7IaywA3RgzvjmXnj92ayfbpYw84So/au48tFzZl0wvfaDR3/9vX53Yaz&#10;mMD1YLyTHb/KyJ92b99sp9DKxo/e9BIZgbjYTqHjY0qhraooRmkhLnyQjoLKo4VELg5VjzARujVV&#10;U9eP1eSxD+iFjJFuD7cg3xV8paRIX5SKMjHTcXpbKieW85TPareFdkAIoxbzM+AfXmFBO2p6hzpA&#10;AvYd9V9QVgv00au0EN5WXiktZOFAbJb1H2xeRgiycCFxYrjLFP8frPh8PiLTPc2uWXLmwNKQXhKC&#10;HsbE9t45ktAjy1HSagqxpZK9O+LsxXDETPyi0OZ/osQuRd/rXV95SUzQZbNa08jWnAmKfdg8LOsy&#10;gOpXdcCYPkpvWTY6brTL/KGF86eYqCOl/kzJ184/a2PKDI1jU8cf3z/QlAXQJikDiUwbiFt0A2dg&#10;BlpRkbAgRm90n6szTsThtDfIzkBrslqtm/0qs6Vuv6Xl1geI4y2vhG4LZHWiLTbadnxT599cbVxG&#10;l2UPZwJZwZtm2Tr5/lqkrLJHMy5N533MS/TaJ/v1V7P7AQAA//8DAFBLAwQUAAYACAAAACEAToc7&#10;Nd8AAAAJAQAADwAAAGRycy9kb3ducmV2LnhtbEyPwU7DMBBE70j8g7VI3KjTQEwb4lQUiQMXVFoO&#10;cHPjJQnE6xC7afh7tie47WieZmeK1eQ6MeIQWk8a5rMEBFLlbUu1htfd49UCRIiGrOk8oYYfDLAq&#10;z88Kk1t/pBcct7EWHEIhNxqaGPtcylA16EyY+R6JvQ8/OBNZDrW0gzlyuOtkmiRKOtMSf2hMjw8N&#10;Vl/bg9OwU9lmEeebp+/k/W29VCl+jutnrS8vpvs7EBGn+AfDqT5Xh5I77f2BbBCdhvRGLRk9HSDY&#10;V9cZ6z2D2W0Gsizk/wXlLwAAAP//AwBQSwECLQAUAAYACAAAACEAtoM4kv4AAADhAQAAEwAAAAAA&#10;AAAAAAAAAAAAAAAAW0NvbnRlbnRfVHlwZXNdLnhtbFBLAQItABQABgAIAAAAIQA4/SH/1gAAAJQB&#10;AAALAAAAAAAAAAAAAAAAAC8BAABfcmVscy8ucmVsc1BLAQItABQABgAIAAAAIQCsEg+D0AEAAH0D&#10;AAAOAAAAAAAAAAAAAAAAAC4CAABkcnMvZTJvRG9jLnhtbFBLAQItABQABgAIAAAAIQBOhzs13wAA&#10;AAkBAAAPAAAAAAAAAAAAAAAAACoEAABkcnMvZG93bnJldi54bWxQSwUGAAAAAAQABADzAAAANgUA&#10;AAAA&#10;" strokecolor="#4472c4" strokeweight=".5pt">
                <v:stroke joinstyle="miter"/>
              </v:line>
            </w:pict>
          </mc:Fallback>
        </mc:AlternateContent>
      </w:r>
      <w:r w:rsidRPr="00BE2C1D">
        <w:rPr>
          <w:rFonts w:cstheme="minorHAnsi"/>
          <w:noProof/>
          <w:lang w:eastAsia="en-GB"/>
        </w:rPr>
        <mc:AlternateContent>
          <mc:Choice Requires="wps">
            <w:drawing>
              <wp:anchor distT="0" distB="0" distL="114300" distR="114300" simplePos="0" relativeHeight="251747328" behindDoc="0" locked="0" layoutInCell="1" allowOverlap="1" wp14:anchorId="5D5BCEE0" wp14:editId="261C4184">
                <wp:simplePos x="0" y="0"/>
                <wp:positionH relativeFrom="column">
                  <wp:posOffset>4049057</wp:posOffset>
                </wp:positionH>
                <wp:positionV relativeFrom="paragraph">
                  <wp:posOffset>15388</wp:posOffset>
                </wp:positionV>
                <wp:extent cx="321062" cy="961811"/>
                <wp:effectExtent l="0" t="0" r="22225" b="29210"/>
                <wp:wrapNone/>
                <wp:docPr id="120" name="Straight Connector 120"/>
                <wp:cNvGraphicFramePr/>
                <a:graphic xmlns:a="http://schemas.openxmlformats.org/drawingml/2006/main">
                  <a:graphicData uri="http://schemas.microsoft.com/office/word/2010/wordprocessingShape">
                    <wps:wsp>
                      <wps:cNvCnPr/>
                      <wps:spPr>
                        <a:xfrm flipH="1">
                          <a:off x="0" y="0"/>
                          <a:ext cx="321062" cy="961811"/>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7D87EF7" id="Straight Connector 120" o:spid="_x0000_s1026" style="position:absolute;flip:x;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8.8pt,1.2pt" to="344.1pt,7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hOk1AEAAIYDAAAOAAAAZHJzL2Uyb0RvYy54bWysU8uO0zAU3SPxD5b3NI8ppURNZ9FqYIGg&#10;0sAH3DpOYskvXZum/XuunVANww6RhXWfx/cc3+wer0azi8SgnG15tSo5k1a4Ttmh5T++P73bchYi&#10;2A60s7LlNxn44/7tm93kG1m70elOIiMQG5rJt3yM0TdFEcQoDYSV89JSsndoIJKLQ9EhTIRudFGX&#10;5aaYHHYenZAhUPQ4J/k+4/e9FPFb3wcZmW45zRbzifk8p7PY76AZEPyoxDIG/MMUBpSlS+9QR4jA&#10;fqL6C8oogS64Pq6EM4XreyVk5kBsqvIVm+cRvMxcSJzg7zKF/wcrvl5OyFRHb1eTPhYMPdJzRFDD&#10;GNnBWUsSOmQpS1pNPjTUcrAnXLzgT5iIX3s0rNfKfyaoLAWRY9es9O2utLxGJij4UFflpuZMUOrj&#10;ptpWVUIvZpgE5zHET9IZloyWa2WTENDA5UuIc+nvkhS27klpTXFotGVTyzcP74mOAFqpXkMk03gi&#10;GezAGeiBdlVEzIjBadWl7tQccDgfNLIL0L6s1x/qw3oZ7I+ydPURwjjX5VQqg8aoSOuslWn5tkzf&#10;0q1tysq8kAuBJOUsXrLOrrtlTYvk0WNnNZbFTNv00if75e+z/wUAAP//AwBQSwMEFAAGAAgAAAAh&#10;APUdXhbfAAAACQEAAA8AAABkcnMvZG93bnJldi54bWxMj8FOwzAQRO9I/IO1SNyo0xTcEOJUCMQB&#10;LlUDVa9uvMRR43WInTT8PeYEx9U8zbwtNrPt2ISDbx1JWC4SYEi10y01Ej7eX24yYD4o0qpzhBK+&#10;0cOmvLwoVK7dmXY4VaFhsYR8riSYEPqcc18btMovXI8Us083WBXiOTRcD+ocy23H0yQR3KqW4oJR&#10;PT4ZrE/VaCW8Vmontl+HJb6lz9Np345rU49SXl/Njw/AAs7hD4Zf/agOZXQ6upG0Z50EsVqLiEpI&#10;b4HFXGRZCuwYwbvVPfCy4P8/KH8AAAD//wMAUEsBAi0AFAAGAAgAAAAhALaDOJL+AAAA4QEAABMA&#10;AAAAAAAAAAAAAAAAAAAAAFtDb250ZW50X1R5cGVzXS54bWxQSwECLQAUAAYACAAAACEAOP0h/9YA&#10;AACUAQAACwAAAAAAAAAAAAAAAAAvAQAAX3JlbHMvLnJlbHNQSwECLQAUAAYACAAAACEAGJITpNQB&#10;AACGAwAADgAAAAAAAAAAAAAAAAAuAgAAZHJzL2Uyb0RvYy54bWxQSwECLQAUAAYACAAAACEA9R1e&#10;Ft8AAAAJAQAADwAAAAAAAAAAAAAAAAAuBAAAZHJzL2Rvd25yZXYueG1sUEsFBgAAAAAEAAQA8wAA&#10;ADoFAAAAAA==&#10;" strokecolor="#4472c4" strokeweight=".5pt">
                <v:stroke joinstyle="miter"/>
              </v:line>
            </w:pict>
          </mc:Fallback>
        </mc:AlternateContent>
      </w:r>
    </w:p>
    <w:p w14:paraId="3D1C3E56" w14:textId="77777777" w:rsidR="00BE2C1D" w:rsidRPr="00BE2C1D" w:rsidRDefault="00BE2C1D" w:rsidP="00BE2C1D">
      <w:pPr>
        <w:spacing w:line="360" w:lineRule="auto"/>
        <w:rPr>
          <w:rFonts w:cstheme="minorHAnsi"/>
        </w:rPr>
      </w:pPr>
      <w:r w:rsidRPr="00BE2C1D">
        <w:rPr>
          <w:rFonts w:cstheme="minorHAnsi"/>
          <w:noProof/>
          <w:lang w:eastAsia="en-GB"/>
        </w:rPr>
        <mc:AlternateContent>
          <mc:Choice Requires="wps">
            <w:drawing>
              <wp:anchor distT="0" distB="0" distL="114300" distR="114300" simplePos="0" relativeHeight="251746304" behindDoc="0" locked="0" layoutInCell="1" allowOverlap="1" wp14:anchorId="250A2C23" wp14:editId="124C03A0">
                <wp:simplePos x="0" y="0"/>
                <wp:positionH relativeFrom="column">
                  <wp:posOffset>1341911</wp:posOffset>
                </wp:positionH>
                <wp:positionV relativeFrom="paragraph">
                  <wp:posOffset>287276</wp:posOffset>
                </wp:positionV>
                <wp:extent cx="415207" cy="379919"/>
                <wp:effectExtent l="0" t="0" r="23495" b="20320"/>
                <wp:wrapNone/>
                <wp:docPr id="119" name="Straight Connector 119"/>
                <wp:cNvGraphicFramePr/>
                <a:graphic xmlns:a="http://schemas.openxmlformats.org/drawingml/2006/main">
                  <a:graphicData uri="http://schemas.microsoft.com/office/word/2010/wordprocessingShape">
                    <wps:wsp>
                      <wps:cNvCnPr/>
                      <wps:spPr>
                        <a:xfrm>
                          <a:off x="0" y="0"/>
                          <a:ext cx="415207" cy="379919"/>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787A0CB" id="Straight Connector 119" o:spid="_x0000_s1026" style="position:absolute;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5.65pt,22.6pt" to="138.35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T9Y0AEAAHwDAAAOAAAAZHJzL2Uyb0RvYy54bWysU01v2zAMvQ/YfxB0b+ykadMYcXpI0F2G&#10;LUC3H8DIki1AX6C0OPn3o+Qs67bb0BwUUiQf9R7pzfPZGnaSGLV3LZ/Pas6kE77Trm/5928vd0+c&#10;xQSuA+OdbPlFRv68/fhhM4ZGLvzgTSeREYiLzRhaPqQUmqqKYpAW4swH6SioPFpI5GJfdQgjoVtT&#10;Ler6sRo9dgG9kDHS7X4K8m3BV0qK9FWpKBMzLae3pXJiOY/5rLYbaHqEMGhxfQb8xyssaEdNb1B7&#10;SMB+oP4HymqBPnqVZsLbyiulhSwciM28/ovN6wBBFi4kTgw3meL7wYovpwMy3dHs5mvOHFga0mtC&#10;0P2Q2M47RxJ6ZDlKWo0hNlSycwe8ejEcMBM/K7T5nyixc9H3ctNXnhMTdLmcPyzqFWeCQver9XrC&#10;rH4XB4zpk/SWZaPlRrtMHxo4fY6JGlLqr5R87fyLNqaM0Dg2tvzx/oGGLIAWSRlIZNpA1KLrOQPT&#10;04aKhAUxeqO7XJ1xIvbHnUF2AtqS5XK12C0zWer2R1puvYc4THklNO2P1YmW2Gjb8qc6/67VxmV0&#10;WdbwSiALOEmWraPvLkXJKns04tL0uo55h976ZL/9aLY/AQAA//8DAFBLAwQUAAYACAAAACEA4nrr&#10;HeAAAAAKAQAADwAAAGRycy9kb3ducmV2LnhtbEyPMU/DMBCFdyT+g3VIbNSOIWkJcSqKxMCCSsvQ&#10;bm58JIHYDrGbhn/fY4Lx9D69912xnGzHRhxC652CZCaAoau8aV2t4H37fLMAFqJ2RnfeoYIfDLAs&#10;Ly8KnRt/cm84bmLNqMSFXCtoYuxzzkPVoNVh5nt0lH34wepI51BzM+gTlduOSyEybnXraKHRPT41&#10;WH1tjlbBNkvXi5isX77Ffre6zyR+jqtXpa6vpscHYBGn+AfDrz6pQ0lOB390JrBOgUySW0IV3KUS&#10;GAFyns2BHYgUqQBeFvz/C+UZAAD//wMAUEsBAi0AFAAGAAgAAAAhALaDOJL+AAAA4QEAABMAAAAA&#10;AAAAAAAAAAAAAAAAAFtDb250ZW50X1R5cGVzXS54bWxQSwECLQAUAAYACAAAACEAOP0h/9YAAACU&#10;AQAACwAAAAAAAAAAAAAAAAAvAQAAX3JlbHMvLnJlbHNQSwECLQAUAAYACAAAACEAGYU/WNABAAB8&#10;AwAADgAAAAAAAAAAAAAAAAAuAgAAZHJzL2Uyb0RvYy54bWxQSwECLQAUAAYACAAAACEA4nrrHeAA&#10;AAAKAQAADwAAAAAAAAAAAAAAAAAqBAAAZHJzL2Rvd25yZXYueG1sUEsFBgAAAAAEAAQA8wAAADcF&#10;AAAAAA==&#10;" strokecolor="#4472c4" strokeweight=".5pt">
                <v:stroke joinstyle="miter"/>
              </v:line>
            </w:pict>
          </mc:Fallback>
        </mc:AlternateContent>
      </w:r>
    </w:p>
    <w:p w14:paraId="7F903C42" w14:textId="77777777" w:rsidR="00BE2C1D" w:rsidRPr="00BE2C1D" w:rsidRDefault="00BE2C1D" w:rsidP="00BE2C1D">
      <w:pPr>
        <w:spacing w:line="360" w:lineRule="auto"/>
        <w:rPr>
          <w:rFonts w:cstheme="minorHAnsi"/>
        </w:rPr>
      </w:pPr>
    </w:p>
    <w:p w14:paraId="5B64BA11" w14:textId="77777777" w:rsidR="00BE2C1D" w:rsidRPr="00BE2C1D" w:rsidRDefault="00BE2C1D" w:rsidP="00BE2C1D">
      <w:pPr>
        <w:spacing w:line="360" w:lineRule="auto"/>
        <w:rPr>
          <w:rFonts w:cstheme="minorHAnsi"/>
        </w:rPr>
      </w:pPr>
      <w:r w:rsidRPr="00BE2C1D">
        <w:rPr>
          <w:rFonts w:cstheme="minorHAnsi"/>
          <w:noProof/>
          <w:lang w:eastAsia="en-GB"/>
        </w:rPr>
        <mc:AlternateContent>
          <mc:Choice Requires="wps">
            <w:drawing>
              <wp:anchor distT="0" distB="0" distL="114300" distR="114300" simplePos="0" relativeHeight="251668480" behindDoc="0" locked="0" layoutInCell="1" allowOverlap="1" wp14:anchorId="0933BA7D" wp14:editId="20860B14">
                <wp:simplePos x="0" y="0"/>
                <wp:positionH relativeFrom="margin">
                  <wp:posOffset>3338830</wp:posOffset>
                </wp:positionH>
                <wp:positionV relativeFrom="paragraph">
                  <wp:posOffset>10795</wp:posOffset>
                </wp:positionV>
                <wp:extent cx="949325" cy="785004"/>
                <wp:effectExtent l="0" t="0" r="22225" b="15240"/>
                <wp:wrapNone/>
                <wp:docPr id="27" name="Rectangle 27"/>
                <wp:cNvGraphicFramePr/>
                <a:graphic xmlns:a="http://schemas.openxmlformats.org/drawingml/2006/main">
                  <a:graphicData uri="http://schemas.microsoft.com/office/word/2010/wordprocessingShape">
                    <wps:wsp>
                      <wps:cNvSpPr/>
                      <wps:spPr>
                        <a:xfrm>
                          <a:off x="0" y="0"/>
                          <a:ext cx="949325" cy="785004"/>
                        </a:xfrm>
                        <a:prstGeom prst="rect">
                          <a:avLst/>
                        </a:prstGeom>
                        <a:solidFill>
                          <a:srgbClr val="4472C4"/>
                        </a:solidFill>
                        <a:ln w="12700" cap="flat" cmpd="sng" algn="ctr">
                          <a:solidFill>
                            <a:srgbClr val="4472C4">
                              <a:shade val="50000"/>
                            </a:srgbClr>
                          </a:solidFill>
                          <a:prstDash val="solid"/>
                          <a:miter lim="800000"/>
                        </a:ln>
                        <a:effectLst/>
                      </wps:spPr>
                      <wps:txbx>
                        <w:txbxContent>
                          <w:p w14:paraId="30E5D0A1" w14:textId="77777777" w:rsidR="003142CE" w:rsidRPr="000232DC" w:rsidRDefault="003142CE" w:rsidP="00BE2C1D">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Risk &amp; Safety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33BA7D" id="Rectangle 27" o:spid="_x0000_s1035" style="position:absolute;margin-left:262.9pt;margin-top:.85pt;width:74.75pt;height:61.8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0ImhgIAACUFAAAOAAAAZHJzL2Uyb0RvYy54bWysVE1v2zAMvQ/YfxB0X+147tIYdYogRYcB&#10;RVesHXpmZNkWoK9JSuzu14+SnX6tp2EXWxSpR/HxUecXo5LkwJ0XRtd0cZJTwjUzjdBdTX/eX306&#10;o8QH0A1Io3lNH7mnF+uPH84HW/HC9EY23BEE0b4abE37EGyVZZ71XIE/MZZrdLbGKQhoui5rHAyI&#10;rmRW5PmXbDCusc4w7j3uXk5Ouk74bctZ+N62ngcia4p3C+nr0ncXv9n6HKrOge0Fm68B/3ALBUJj&#10;0ieoSwhA9k78BaUEc8abNpwwozLTtoLxVANWs8jfVHPXg+WpFiTH2yea/P+DZTeHW0dEU9NiSYkG&#10;hT36gayB7iQnuIcEDdZXGHdnb91seVzGasfWqfjHOsiYSH18IpWPgTDcXJWrz8UpJQxdy7PTPC8j&#10;ZvZ82DofvnKjSFzU1GH2RCUcrn2YQo8hMZc3UjRXQspkuG63lY4cAPtblstie0R/FSY1GVCdxTJH&#10;DTBAnbUSAi6Vxcq97igB2aGAWXAp96vT/p0kKXkPDZ9SY1kIPV12Dk81vsKJVVyC76cjyRWPQKVE&#10;wCGQQtX0LAIdkaSOXp5kPHMRezGxH1dh3I2peasIFHd2pnnEhjozKd1bdiUw7TX4cAsOpY0E4LiG&#10;7/hppUFWzLyipDfu93v7MR4Vh15KBhwVZOzXHhynRH7TqMXVoizjbCWjPF0WaLiXnt1Lj96rrcFu&#10;LfBhsCwtY3yQx2XrjHrAqd7ErOgCzTD31JvZ2IZphPFdYHyzSWE4TxbCtb6zLIJH5iLh9+MDODtr&#10;K6Aob8xxrKB6I7EpNp7UZrMPphVJf8+8Yk+jgbOYuju/G3HYX9op6vl1W/8BAAD//wMAUEsDBBQA&#10;BgAIAAAAIQDWK0u13gAAAAkBAAAPAAAAZHJzL2Rvd25yZXYueG1sTI/BTsMwDIbvSLxDZCRuLKWo&#10;HSpNJzTEYUJiYuUBssak3RqnNNlaeHrMCW7+9Vm/P5er2fXijGPoPCm4XSQgkBpvOrIK3uvnm3sQ&#10;IWoyuveECr4wwKq6vCh1YfxEb3jeRSu4hEKhFbQxDoWUoWnR6bDwAxKzDz86HTmOVppRT1zuepkm&#10;SS6d7ogvtHrAdYvNcXdyCuyhPhyHNeWb7VP28vq5re1m+lbq+mp+fAARcY5/y/Crz+pQsdPen8gE&#10;0SvI0ozVI4MlCOb5MrsDseec8iCrUv7/oPoBAAD//wMAUEsBAi0AFAAGAAgAAAAhALaDOJL+AAAA&#10;4QEAABMAAAAAAAAAAAAAAAAAAAAAAFtDb250ZW50X1R5cGVzXS54bWxQSwECLQAUAAYACAAAACEA&#10;OP0h/9YAAACUAQAACwAAAAAAAAAAAAAAAAAvAQAAX3JlbHMvLnJlbHNQSwECLQAUAAYACAAAACEA&#10;odtCJoYCAAAlBQAADgAAAAAAAAAAAAAAAAAuAgAAZHJzL2Uyb0RvYy54bWxQSwECLQAUAAYACAAA&#10;ACEA1itLtd4AAAAJAQAADwAAAAAAAAAAAAAAAADgBAAAZHJzL2Rvd25yZXYueG1sUEsFBgAAAAAE&#10;AAQA8wAAAOsFAAAAAA==&#10;" fillcolor="#4472c4" strokecolor="#2f528f" strokeweight="1pt">
                <v:textbox>
                  <w:txbxContent>
                    <w:p w14:paraId="30E5D0A1" w14:textId="77777777" w:rsidR="003142CE" w:rsidRPr="000232DC" w:rsidRDefault="003142CE" w:rsidP="00BE2C1D">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Risk &amp; Safety</w:t>
                      </w:r>
                    </w:p>
                  </w:txbxContent>
                </v:textbox>
                <w10:wrap anchorx="margin"/>
              </v:rect>
            </w:pict>
          </mc:Fallback>
        </mc:AlternateContent>
      </w:r>
      <w:r w:rsidRPr="00BE2C1D">
        <w:rPr>
          <w:rFonts w:cstheme="minorHAnsi"/>
          <w:noProof/>
          <w:lang w:eastAsia="en-GB"/>
        </w:rPr>
        <mc:AlternateContent>
          <mc:Choice Requires="wps">
            <w:drawing>
              <wp:anchor distT="0" distB="0" distL="114300" distR="114300" simplePos="0" relativeHeight="251669504" behindDoc="0" locked="0" layoutInCell="1" allowOverlap="1" wp14:anchorId="5163C48C" wp14:editId="7B78173B">
                <wp:simplePos x="0" y="0"/>
                <wp:positionH relativeFrom="margin">
                  <wp:posOffset>1452880</wp:posOffset>
                </wp:positionH>
                <wp:positionV relativeFrom="paragraph">
                  <wp:posOffset>10160</wp:posOffset>
                </wp:positionV>
                <wp:extent cx="949325" cy="785004"/>
                <wp:effectExtent l="0" t="0" r="22225" b="15240"/>
                <wp:wrapNone/>
                <wp:docPr id="28" name="Rectangle 28"/>
                <wp:cNvGraphicFramePr/>
                <a:graphic xmlns:a="http://schemas.openxmlformats.org/drawingml/2006/main">
                  <a:graphicData uri="http://schemas.microsoft.com/office/word/2010/wordprocessingShape">
                    <wps:wsp>
                      <wps:cNvSpPr/>
                      <wps:spPr>
                        <a:xfrm>
                          <a:off x="0" y="0"/>
                          <a:ext cx="949325" cy="785004"/>
                        </a:xfrm>
                        <a:prstGeom prst="rect">
                          <a:avLst/>
                        </a:prstGeom>
                        <a:solidFill>
                          <a:srgbClr val="4472C4"/>
                        </a:solidFill>
                        <a:ln w="12700" cap="flat" cmpd="sng" algn="ctr">
                          <a:solidFill>
                            <a:srgbClr val="4472C4">
                              <a:shade val="50000"/>
                            </a:srgbClr>
                          </a:solidFill>
                          <a:prstDash val="solid"/>
                          <a:miter lim="800000"/>
                        </a:ln>
                        <a:effectLst/>
                      </wps:spPr>
                      <wps:txbx>
                        <w:txbxContent>
                          <w:p w14:paraId="31A4E135" w14:textId="77777777" w:rsidR="003142CE" w:rsidRPr="000232DC" w:rsidRDefault="003142CE" w:rsidP="00BE2C1D">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Difference and self-consciousness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63C48C" id="Rectangle 28" o:spid="_x0000_s1036" style="position:absolute;margin-left:114.4pt;margin-top:.8pt;width:74.75pt;height:61.8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id/hQIAACYFAAAOAAAAZHJzL2Uyb0RvYy54bWysVEtP3DAQvlfqf7B8L8mmoQsRWbRaRFUJ&#10;AQIqzrOOk1jyq7Z3E/rrO3ayvMqp6iWZ8bw833zjs/NRSbLnzguja7o4yinhmplG6K6mPx8uv5xQ&#10;4gPoBqTRvKZP3NPz1edPZ4OteGF6IxvuCCbRvhpsTfsQbJVlnvVcgT8ylms0tsYpCKi6LmscDJhd&#10;yazI82/ZYFxjnWHcezy9mIx0lfK3LWfhpm09D0TWFO8W0tel7zZ+s9UZVJ0D2ws2XwP+4RYKhMai&#10;z6kuIADZOfFXKiWYM9604YgZlZm2FYynHrCbRf6um/seLE+9IDjePsPk/19adr2/dUQ0NS1wUhoU&#10;zugOUQPdSU7wDAEarK/Q797eulnzKMZux9ap+Mc+yJhAfXoGlY+BMDw8LU+/FseUMDQtT47zvIw5&#10;s5dg63z4zo0iUaipw+oJSthf+TC5HlxiLW+kaC6FlElx3XYjHdkDzrcsl8XmkP2Nm9RkQHYWyxw5&#10;wAB51koIKCqLnXvdUQKyQwKz4FLtN9H+gyKpeA8Nn0pjW5h6uuzsnnp8kyd2cQG+n0KSKYZApUTA&#10;JZBC1fQkJjpkkjpaeaLxjEWcxYR+lMK4HdPwFikkHm1N84QTdWaiurfsUmDdK/DhFhxyGxHAfQ03&#10;+GmlQVjMLFHSG/f7o/Poj5RDKyUD7gpC9msHjlMif2gk4+miLONyJaU8XhaouNeW7WuL3qmNwXEt&#10;8GWwLInRP8iD2DqjHnGt17EqmkAzrD0NZ1Y2YdphfBgYX6+TGy6UhXCl7y2LySN0EfGH8RGcnckV&#10;kJXX5rBXUL3j2OQbI7VZ74JpRSLgC6441KjgMqbxzg9H3PbXevJ6ed5WfwAAAP//AwBQSwMEFAAG&#10;AAgAAAAhADFtMdTfAAAACQEAAA8AAABkcnMvZG93bnJldi54bWxMj0FOwzAQRfdI3MEaJHbUqauG&#10;KMSpUBGLComqDQdwY9dJG49D7DaB0zOsYPn1Rv+/KVaT69jVDKH1KGE+S4AZrL1u0Ur4qF4fMmAh&#10;KtSq82gkfJkAq/L2plC59iPuzHUfLaMSDLmS0MTY55yHujFOhZnvDRI7+sGpSHGwXA9qpHLXcZEk&#10;KXeqRVpoVG/WjanP+4uTYE/V6dyvMd1sX5Zv75/bym7Gbynv76bnJ2DRTPHvGH71SR1Kcjr4C+rA&#10;OglCZKQeCaTAiC8eswWwA2WxFMDLgv//oPwBAAD//wMAUEsBAi0AFAAGAAgAAAAhALaDOJL+AAAA&#10;4QEAABMAAAAAAAAAAAAAAAAAAAAAAFtDb250ZW50X1R5cGVzXS54bWxQSwECLQAUAAYACAAAACEA&#10;OP0h/9YAAACUAQAACwAAAAAAAAAAAAAAAAAvAQAAX3JlbHMvLnJlbHNQSwECLQAUAAYACAAAACEA&#10;mZonf4UCAAAmBQAADgAAAAAAAAAAAAAAAAAuAgAAZHJzL2Uyb0RvYy54bWxQSwECLQAUAAYACAAA&#10;ACEAMW0x1N8AAAAJAQAADwAAAAAAAAAAAAAAAADfBAAAZHJzL2Rvd25yZXYueG1sUEsFBgAAAAAE&#10;AAQA8wAAAOsFAAAAAA==&#10;" fillcolor="#4472c4" strokecolor="#2f528f" strokeweight="1pt">
                <v:textbox>
                  <w:txbxContent>
                    <w:p w14:paraId="31A4E135" w14:textId="77777777" w:rsidR="003142CE" w:rsidRPr="000232DC" w:rsidRDefault="003142CE" w:rsidP="00BE2C1D">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Difference and self-consciousness</w:t>
                      </w:r>
                    </w:p>
                  </w:txbxContent>
                </v:textbox>
                <w10:wrap anchorx="margin"/>
              </v:rect>
            </w:pict>
          </mc:Fallback>
        </mc:AlternateContent>
      </w:r>
    </w:p>
    <w:p w14:paraId="42431563" w14:textId="77777777" w:rsidR="00BE2C1D" w:rsidRPr="00BE2C1D" w:rsidRDefault="00BE2C1D" w:rsidP="00BE2C1D">
      <w:pPr>
        <w:spacing w:line="360" w:lineRule="auto"/>
        <w:jc w:val="both"/>
        <w:rPr>
          <w:rFonts w:cstheme="minorHAnsi"/>
        </w:rPr>
      </w:pPr>
      <w:r w:rsidRPr="00BE2C1D">
        <w:rPr>
          <w:rFonts w:cstheme="minorHAnsi"/>
          <w:noProof/>
          <w:lang w:eastAsia="en-GB"/>
        </w:rPr>
        <mc:AlternateContent>
          <mc:Choice Requires="wps">
            <w:drawing>
              <wp:anchor distT="0" distB="0" distL="114300" distR="114300" simplePos="0" relativeHeight="251744256" behindDoc="0" locked="0" layoutInCell="1" allowOverlap="1" wp14:anchorId="4920339C" wp14:editId="7368C734">
                <wp:simplePos x="0" y="0"/>
                <wp:positionH relativeFrom="column">
                  <wp:posOffset>2458192</wp:posOffset>
                </wp:positionH>
                <wp:positionV relativeFrom="paragraph">
                  <wp:posOffset>11041</wp:posOffset>
                </wp:positionV>
                <wp:extent cx="842901" cy="23223"/>
                <wp:effectExtent l="0" t="0" r="33655" b="34290"/>
                <wp:wrapNone/>
                <wp:docPr id="117" name="Straight Connector 117"/>
                <wp:cNvGraphicFramePr/>
                <a:graphic xmlns:a="http://schemas.openxmlformats.org/drawingml/2006/main">
                  <a:graphicData uri="http://schemas.microsoft.com/office/word/2010/wordprocessingShape">
                    <wps:wsp>
                      <wps:cNvCnPr/>
                      <wps:spPr>
                        <a:xfrm>
                          <a:off x="0" y="0"/>
                          <a:ext cx="842901" cy="23223"/>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1DDFF6E" id="Straight Connector 117" o:spid="_x0000_s1026" style="position:absolute;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3.55pt,.85pt" to="259.9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mlkzAEAAHsDAAAOAAAAZHJzL2Uyb0RvYy54bWysU8uO0zAU3SPxD5b3NGla5hE1nUWrYYOg&#10;0sAH3Dp2YskvXZum/Xuu3dAZYIfIwrnPk3uObzZPZ2vYSWLU3nV8uag5k074Xruh49+/PX944Cwm&#10;cD0Y72THLzLyp+37d5sptLLxoze9REYgLrZT6PiYUmirKopRWogLH6SjpPJoIZGLQ9UjTIRuTdXU&#10;9V01eewDeiFjpOj+muTbgq+UFOmrUlEmZjpOs6VyYjmP+ay2G2gHhDBqMY8B/zCFBe3oozeoPSRg&#10;P1D/BWW1QB+9SgvhbeWV0kIWDsRmWf/B5mWEIAsXEieGm0zx/8GKL6cDMt3T3S3vOXNg6ZJeEoIe&#10;xsR23jmS0CPLWdJqCrGllp074OzFcMBM/KzQ5jdRYuei7+WmrzwnJij4sG4e6yVnglLNqmlWGbJ6&#10;7Q0Y0yfpLctGx412mT20cPoc07X0V0kOO/+sjaE4tMaxqeN3q490xwJoj5SBRKYNxCy6gTMwAy2o&#10;SFgQoze6z925OeJw3BlkJ6AlWa/vm916Huy3svzpPcTxWldSuQxaqxPtsNGWGNb5mbuNy1lZtnAm&#10;kPW7Kpato+8vRcgqe3TDRY15G/MKvfXJfvvPbH8CAAD//wMAUEsDBBQABgAIAAAAIQDUTEA63gAA&#10;AAcBAAAPAAAAZHJzL2Rvd25yZXYueG1sTI/BTsMwDIbvSHuHyEjcWNqNdV1pOjEkDlzQ2DjALWtM&#10;29E4XZN15e0xJ7jZ+n79/pyvR9uKAXvfOFIQTyMQSKUzDVUK3vZPtykIHzQZ3TpCBd/oYV1MrnKd&#10;GXehVxx2oRJcQj7TCuoQukxKX9ZotZ+6DonZp+utDrz2lTS9vnC5beUsihJpdUN8odYdPtZYfu3O&#10;VsE+WWzTEG+fT9HH+2aVzPA4bF6UurkeH+5BBBzDXxh+9VkdCnY6uDMZL1oF83QZc5TBEgTzRbzi&#10;Vw483IEscvnfv/gBAAD//wMAUEsBAi0AFAAGAAgAAAAhALaDOJL+AAAA4QEAABMAAAAAAAAAAAAA&#10;AAAAAAAAAFtDb250ZW50X1R5cGVzXS54bWxQSwECLQAUAAYACAAAACEAOP0h/9YAAACUAQAACwAA&#10;AAAAAAAAAAAAAAAvAQAAX3JlbHMvLnJlbHNQSwECLQAUAAYACAAAACEAeM5pZMwBAAB7AwAADgAA&#10;AAAAAAAAAAAAAAAuAgAAZHJzL2Uyb0RvYy54bWxQSwECLQAUAAYACAAAACEA1ExAOt4AAAAHAQAA&#10;DwAAAAAAAAAAAAAAAAAmBAAAZHJzL2Rvd25yZXYueG1sUEsFBgAAAAAEAAQA8wAAADEFAAAAAA==&#10;" strokecolor="#4472c4" strokeweight=".5pt">
                <v:stroke joinstyle="miter"/>
              </v:line>
            </w:pict>
          </mc:Fallback>
        </mc:AlternateContent>
      </w:r>
    </w:p>
    <w:p w14:paraId="2298506E" w14:textId="77777777" w:rsidR="00BE2C1D" w:rsidRPr="00BE2C1D" w:rsidRDefault="00BE2C1D" w:rsidP="00BE2C1D">
      <w:pPr>
        <w:spacing w:line="360" w:lineRule="auto"/>
        <w:jc w:val="both"/>
        <w:rPr>
          <w:rFonts w:cstheme="minorHAnsi"/>
        </w:rPr>
      </w:pPr>
    </w:p>
    <w:p w14:paraId="48526127" w14:textId="77777777" w:rsidR="00BE2C1D" w:rsidRPr="00BE2C1D" w:rsidRDefault="00BE2C1D" w:rsidP="00BE2C1D">
      <w:pPr>
        <w:spacing w:line="360" w:lineRule="auto"/>
        <w:jc w:val="both"/>
        <w:rPr>
          <w:rFonts w:cstheme="minorHAnsi"/>
        </w:rPr>
      </w:pPr>
    </w:p>
    <w:p w14:paraId="1B66032A" w14:textId="77777777" w:rsidR="00BE2C1D" w:rsidRPr="00BE2C1D" w:rsidRDefault="00BE2C1D" w:rsidP="00BE2C1D">
      <w:pPr>
        <w:spacing w:line="360" w:lineRule="auto"/>
        <w:jc w:val="both"/>
        <w:rPr>
          <w:rFonts w:cstheme="minorHAnsi"/>
        </w:rPr>
      </w:pPr>
      <w:r w:rsidRPr="00BE2C1D">
        <w:rPr>
          <w:rFonts w:cstheme="minorHAnsi"/>
        </w:rPr>
        <w:t xml:space="preserve">Participants’ views and feelings about their equipment were also influenced by how their peers reacted to it, which is the focus of the next part. </w:t>
      </w:r>
    </w:p>
    <w:p w14:paraId="33942E9C" w14:textId="77777777" w:rsidR="00BE2C1D" w:rsidRPr="00BE2C1D" w:rsidRDefault="00BE2C1D" w:rsidP="00BE2C1D">
      <w:pPr>
        <w:keepNext/>
        <w:keepLines/>
        <w:spacing w:before="40" w:after="0" w:line="360" w:lineRule="auto"/>
        <w:outlineLvl w:val="2"/>
        <w:rPr>
          <w:rFonts w:asciiTheme="majorHAnsi" w:eastAsiaTheme="majorEastAsia" w:hAnsiTheme="majorHAnsi" w:cstheme="majorBidi"/>
          <w:color w:val="1F3763" w:themeColor="accent1" w:themeShade="7F"/>
          <w:sz w:val="24"/>
          <w:szCs w:val="24"/>
        </w:rPr>
      </w:pPr>
      <w:bookmarkStart w:id="115" w:name="_Toc39585249"/>
      <w:r w:rsidRPr="00BE2C1D">
        <w:rPr>
          <w:rFonts w:asciiTheme="majorHAnsi" w:eastAsiaTheme="majorEastAsia" w:hAnsiTheme="majorHAnsi" w:cstheme="majorBidi"/>
          <w:color w:val="1F3763" w:themeColor="accent1" w:themeShade="7F"/>
          <w:sz w:val="24"/>
          <w:szCs w:val="24"/>
        </w:rPr>
        <w:t>Peers’ reactions and Relationality in the Assemblage of Access</w:t>
      </w:r>
      <w:bookmarkEnd w:id="115"/>
    </w:p>
    <w:p w14:paraId="56CCF408" w14:textId="77777777" w:rsidR="00BE2C1D" w:rsidRPr="00BE2C1D" w:rsidRDefault="00BE2C1D" w:rsidP="00BE2C1D">
      <w:pPr>
        <w:spacing w:line="360" w:lineRule="auto"/>
        <w:jc w:val="both"/>
      </w:pPr>
      <w:r w:rsidRPr="00BE2C1D">
        <w:t xml:space="preserve">Participants’ views, feelings and experiences of the equipment were relational, as they were not only shaped by the equipment itself, but by their peer reactions to it too. In this part, the focus in on these reactions and how they affected the young people, especially how their peers’ reactions perpetuated the psycho-emotional disablism the young people were faced with.  </w:t>
      </w:r>
    </w:p>
    <w:p w14:paraId="0FBABD30" w14:textId="77777777" w:rsidR="00BE2C1D" w:rsidRPr="00BE2C1D" w:rsidRDefault="00BE2C1D" w:rsidP="00BE2C1D">
      <w:pPr>
        <w:spacing w:line="360" w:lineRule="auto"/>
        <w:jc w:val="both"/>
      </w:pPr>
      <w:r w:rsidRPr="00BE2C1D">
        <w:t xml:space="preserve">Peers’ reactions to the young people’s equipment varied, from positive to negative ones. </w:t>
      </w:r>
      <w:r w:rsidRPr="00BE2C1D">
        <w:rPr>
          <w:rFonts w:cstheme="minorHAnsi"/>
        </w:rPr>
        <w:t xml:space="preserve">Harry referred to what their friends and peers said when they noticed the equipment: </w:t>
      </w:r>
    </w:p>
    <w:p w14:paraId="09F88B98" w14:textId="77777777" w:rsidR="00BE2C1D" w:rsidRPr="00BE2C1D" w:rsidRDefault="00BE2C1D" w:rsidP="00BE2C1D">
      <w:pPr>
        <w:spacing w:line="360" w:lineRule="auto"/>
        <w:ind w:left="720"/>
        <w:jc w:val="both"/>
        <w:rPr>
          <w:rFonts w:cstheme="minorHAnsi"/>
          <w:sz w:val="20"/>
          <w:szCs w:val="20"/>
        </w:rPr>
      </w:pPr>
      <w:r w:rsidRPr="00BE2C1D">
        <w:rPr>
          <w:rFonts w:cstheme="minorHAnsi"/>
          <w:sz w:val="20"/>
          <w:szCs w:val="20"/>
        </w:rPr>
        <w:t xml:space="preserve">Harry: Yeah, my friends were fine. There’s like, I don’t know, it wasn’t really a big deal for them. ‘Oh yeah, I like your new chairs’. </w:t>
      </w:r>
    </w:p>
    <w:p w14:paraId="1F0FFFB1" w14:textId="77777777" w:rsidR="00BE2C1D" w:rsidRPr="00BE2C1D" w:rsidRDefault="00BE2C1D" w:rsidP="00BE2C1D">
      <w:pPr>
        <w:spacing w:line="360" w:lineRule="auto"/>
        <w:jc w:val="both"/>
        <w:rPr>
          <w:rFonts w:cstheme="minorHAnsi"/>
          <w:lang w:val="en-US"/>
        </w:rPr>
      </w:pPr>
      <w:r w:rsidRPr="00BE2C1D">
        <w:rPr>
          <w:rFonts w:cstheme="minorHAnsi"/>
          <w:lang w:val="en-US"/>
        </w:rPr>
        <w:t xml:space="preserve">Harry’s peers seemed to be alright with the equipment they used, with occasional compliments. On the other hand, Ryan and Bill discussed how such equipment positioned them as receiving ‘special’ treatment in the eyes of their peers: </w:t>
      </w:r>
    </w:p>
    <w:p w14:paraId="43D0E8FD" w14:textId="77777777" w:rsidR="00BE2C1D" w:rsidRPr="00BE2C1D" w:rsidRDefault="00BE2C1D" w:rsidP="00BE2C1D">
      <w:pPr>
        <w:spacing w:line="360" w:lineRule="auto"/>
        <w:ind w:left="720"/>
        <w:jc w:val="both"/>
        <w:rPr>
          <w:rFonts w:cstheme="minorHAnsi"/>
          <w:sz w:val="20"/>
          <w:szCs w:val="20"/>
        </w:rPr>
      </w:pPr>
      <w:r w:rsidRPr="00BE2C1D">
        <w:rPr>
          <w:rFonts w:cstheme="minorHAnsi"/>
          <w:sz w:val="20"/>
          <w:szCs w:val="20"/>
        </w:rPr>
        <w:lastRenderedPageBreak/>
        <w:t>Ryan: My classmates were feeling envious of me having the special equip</w:t>
      </w:r>
      <w:r w:rsidRPr="00BE2C1D">
        <w:rPr>
          <w:rFonts w:cstheme="minorHAnsi"/>
          <w:sz w:val="20"/>
          <w:szCs w:val="20"/>
        </w:rPr>
        <w:softHyphen/>
        <w:t>ment.</w:t>
      </w:r>
    </w:p>
    <w:p w14:paraId="40871AE3" w14:textId="77777777" w:rsidR="00BE2C1D" w:rsidRPr="00BE2C1D" w:rsidRDefault="00BE2C1D" w:rsidP="00BE2C1D">
      <w:pPr>
        <w:spacing w:line="360" w:lineRule="auto"/>
        <w:ind w:left="720"/>
        <w:jc w:val="both"/>
        <w:rPr>
          <w:rFonts w:cstheme="minorHAnsi"/>
          <w:sz w:val="20"/>
          <w:szCs w:val="20"/>
        </w:rPr>
      </w:pPr>
      <w:r w:rsidRPr="00BE2C1D">
        <w:rPr>
          <w:rFonts w:cstheme="minorHAnsi"/>
          <w:sz w:val="20"/>
          <w:szCs w:val="20"/>
        </w:rPr>
        <w:t>Bill: I used to feel alienated at first, as no one understood my needs and thought I was receiving special treatments. After all, though, the chair made me feel comfortable and soon I adapted my feelings and so did the class.</w:t>
      </w:r>
    </w:p>
    <w:p w14:paraId="1A1F3C4D" w14:textId="77777777" w:rsidR="00BE2C1D" w:rsidRPr="00BE2C1D" w:rsidRDefault="00BE2C1D" w:rsidP="00BE2C1D">
      <w:pPr>
        <w:spacing w:line="360" w:lineRule="auto"/>
        <w:jc w:val="both"/>
        <w:rPr>
          <w:rFonts w:cstheme="minorHAnsi"/>
        </w:rPr>
      </w:pPr>
      <w:r w:rsidRPr="00BE2C1D">
        <w:rPr>
          <w:rFonts w:cstheme="minorHAnsi"/>
        </w:rPr>
        <w:t xml:space="preserve">Both Ryan and Bill referred to the negative feelings of their peers towards them due to their equipment being perceived as special treatment, resulting in feelings of alienation. This discourse of disabled young people being viewed as receiving special treatment was also reported in other studies (McArthur et al. 2007; Whitburn 2014), indicating the social meaning that non-disabled children attributed to such equipment. What was paradoxical in this situation was that, while the young people had to have it because the space was designed without them in mind, they were also the ones to be blamed for using it. However, as Bill mentioned, such feelings faded away in the course of time. </w:t>
      </w:r>
    </w:p>
    <w:p w14:paraId="3B59148A" w14:textId="77777777" w:rsidR="00BE2C1D" w:rsidRPr="00BE2C1D" w:rsidRDefault="00BE2C1D" w:rsidP="00BE2C1D">
      <w:pPr>
        <w:spacing w:line="360" w:lineRule="auto"/>
        <w:jc w:val="both"/>
        <w:rPr>
          <w:rFonts w:cstheme="minorHAnsi"/>
        </w:rPr>
      </w:pPr>
      <w:r w:rsidRPr="00BE2C1D">
        <w:rPr>
          <w:rFonts w:cstheme="minorHAnsi"/>
        </w:rPr>
        <w:t xml:space="preserve">Other young people also referred to how their peers got used to their equipment in terms of the novelty of the equipment fading away. Prior to that, however, they had to deal with their peers’ feeling of entitlement to mess around with their equipment:   </w:t>
      </w:r>
    </w:p>
    <w:p w14:paraId="6375BF4F" w14:textId="77777777" w:rsidR="00BE2C1D" w:rsidRPr="00BE2C1D" w:rsidRDefault="00BE2C1D" w:rsidP="00BE2C1D">
      <w:pPr>
        <w:spacing w:line="360" w:lineRule="auto"/>
        <w:ind w:left="720"/>
        <w:jc w:val="both"/>
        <w:rPr>
          <w:rFonts w:cstheme="minorHAnsi"/>
          <w:sz w:val="20"/>
          <w:szCs w:val="20"/>
        </w:rPr>
      </w:pPr>
      <w:r w:rsidRPr="00BE2C1D">
        <w:rPr>
          <w:rFonts w:cstheme="minorHAnsi"/>
          <w:sz w:val="20"/>
          <w:szCs w:val="20"/>
          <w:lang w:val="en-US"/>
        </w:rPr>
        <w:t>Louise</w:t>
      </w:r>
      <w:r w:rsidRPr="00BE2C1D">
        <w:rPr>
          <w:rFonts w:cstheme="minorHAnsi"/>
          <w:sz w:val="20"/>
          <w:szCs w:val="20"/>
        </w:rPr>
        <w:t>: At the beginning mine was one that was open down but it was one with a control and, at the beginning, people like used to mess around with it. Like, when I wasn’t looking, they just did what they want, got on my nerves. But then they just stopped.</w:t>
      </w:r>
    </w:p>
    <w:p w14:paraId="373916FC" w14:textId="77777777" w:rsidR="00BE2C1D" w:rsidRPr="00BE2C1D" w:rsidRDefault="00BE2C1D" w:rsidP="00BE2C1D">
      <w:pPr>
        <w:spacing w:line="360" w:lineRule="auto"/>
        <w:ind w:left="720"/>
        <w:jc w:val="both"/>
        <w:rPr>
          <w:rFonts w:cstheme="minorHAnsi"/>
          <w:sz w:val="20"/>
          <w:szCs w:val="20"/>
        </w:rPr>
      </w:pPr>
      <w:r w:rsidRPr="00BE2C1D">
        <w:rPr>
          <w:rFonts w:cstheme="minorHAnsi"/>
          <w:sz w:val="20"/>
          <w:szCs w:val="20"/>
        </w:rPr>
        <w:t>John: It was the same with me really. People just do it and then like, coz they think it’s kind of cool or funny. But then they just kind of, it doesn’t.</w:t>
      </w:r>
    </w:p>
    <w:p w14:paraId="2433A0DC" w14:textId="77777777" w:rsidR="00BE2C1D" w:rsidRPr="00BE2C1D" w:rsidRDefault="00BE2C1D" w:rsidP="00BE2C1D">
      <w:pPr>
        <w:spacing w:line="360" w:lineRule="auto"/>
        <w:jc w:val="both"/>
        <w:rPr>
          <w:rFonts w:cstheme="minorHAnsi"/>
          <w:sz w:val="20"/>
          <w:szCs w:val="20"/>
        </w:rPr>
      </w:pPr>
      <w:r w:rsidRPr="00BE2C1D">
        <w:rPr>
          <w:rFonts w:cstheme="minorHAnsi"/>
          <w:sz w:val="20"/>
          <w:szCs w:val="20"/>
        </w:rPr>
        <w:t xml:space="preserve"> </w:t>
      </w:r>
      <w:r w:rsidRPr="00BE2C1D">
        <w:rPr>
          <w:rFonts w:cstheme="minorHAnsi"/>
          <w:sz w:val="20"/>
          <w:szCs w:val="20"/>
        </w:rPr>
        <w:tab/>
        <w:t>Louise: Got bored.</w:t>
      </w:r>
    </w:p>
    <w:p w14:paraId="6BAECD32" w14:textId="77777777" w:rsidR="00BE2C1D" w:rsidRPr="00BE2C1D" w:rsidRDefault="00BE2C1D" w:rsidP="00BE2C1D">
      <w:pPr>
        <w:spacing w:line="360" w:lineRule="auto"/>
        <w:jc w:val="both"/>
        <w:rPr>
          <w:rFonts w:cstheme="minorHAnsi"/>
          <w:sz w:val="20"/>
          <w:szCs w:val="20"/>
        </w:rPr>
      </w:pPr>
      <w:r w:rsidRPr="00BE2C1D">
        <w:rPr>
          <w:rFonts w:cstheme="minorHAnsi"/>
          <w:sz w:val="20"/>
          <w:szCs w:val="20"/>
        </w:rPr>
        <w:t xml:space="preserve"> </w:t>
      </w:r>
      <w:r w:rsidRPr="00BE2C1D">
        <w:rPr>
          <w:rFonts w:cstheme="minorHAnsi"/>
          <w:sz w:val="20"/>
          <w:szCs w:val="20"/>
        </w:rPr>
        <w:tab/>
        <w:t>John: It gets boring.</w:t>
      </w:r>
    </w:p>
    <w:p w14:paraId="2C02D6A0" w14:textId="77777777" w:rsidR="00BE2C1D" w:rsidRPr="00BE2C1D" w:rsidRDefault="00BE2C1D" w:rsidP="00BE2C1D">
      <w:pPr>
        <w:spacing w:line="360" w:lineRule="auto"/>
        <w:jc w:val="both"/>
        <w:rPr>
          <w:rFonts w:cstheme="minorHAnsi"/>
          <w:sz w:val="20"/>
          <w:szCs w:val="20"/>
        </w:rPr>
      </w:pPr>
      <w:r w:rsidRPr="00BE2C1D">
        <w:rPr>
          <w:rFonts w:cstheme="minorHAnsi"/>
          <w:sz w:val="20"/>
          <w:szCs w:val="20"/>
        </w:rPr>
        <w:t xml:space="preserve"> </w:t>
      </w:r>
      <w:r w:rsidRPr="00BE2C1D">
        <w:rPr>
          <w:rFonts w:cstheme="minorHAnsi"/>
          <w:sz w:val="20"/>
          <w:szCs w:val="20"/>
        </w:rPr>
        <w:tab/>
        <w:t xml:space="preserve">Me: Get used to it. </w:t>
      </w:r>
    </w:p>
    <w:p w14:paraId="03F07B7D" w14:textId="77777777" w:rsidR="00BE2C1D" w:rsidRPr="00BE2C1D" w:rsidRDefault="00BE2C1D" w:rsidP="00BE2C1D">
      <w:pPr>
        <w:spacing w:line="360" w:lineRule="auto"/>
        <w:jc w:val="both"/>
        <w:rPr>
          <w:rFonts w:cstheme="minorHAnsi"/>
          <w:sz w:val="20"/>
          <w:szCs w:val="20"/>
        </w:rPr>
      </w:pPr>
      <w:r w:rsidRPr="00BE2C1D">
        <w:rPr>
          <w:rFonts w:cstheme="minorHAnsi"/>
          <w:sz w:val="20"/>
          <w:szCs w:val="20"/>
        </w:rPr>
        <w:t xml:space="preserve"> </w:t>
      </w:r>
      <w:r w:rsidRPr="00BE2C1D">
        <w:rPr>
          <w:rFonts w:cstheme="minorHAnsi"/>
          <w:sz w:val="20"/>
          <w:szCs w:val="20"/>
        </w:rPr>
        <w:tab/>
        <w:t>John: Yeah.</w:t>
      </w:r>
    </w:p>
    <w:p w14:paraId="3BBE2933" w14:textId="77777777" w:rsidR="00BE2C1D" w:rsidRPr="00BE2C1D" w:rsidRDefault="00BE2C1D" w:rsidP="00BE2C1D">
      <w:pPr>
        <w:spacing w:line="360" w:lineRule="auto"/>
        <w:jc w:val="both"/>
        <w:rPr>
          <w:rFonts w:cstheme="minorHAnsi"/>
        </w:rPr>
      </w:pPr>
      <w:r w:rsidRPr="00BE2C1D">
        <w:rPr>
          <w:rFonts w:cstheme="minorHAnsi"/>
        </w:rPr>
        <w:t xml:space="preserve">Louise’s and John’s peers felt entitled to mess around their chairs, thinking it was funny. However, interfering with their chairs was a source of nuisance for both young people. Similar stories of interference were also shared by Lynn and Rania: </w:t>
      </w:r>
    </w:p>
    <w:p w14:paraId="093F6B9D" w14:textId="77777777" w:rsidR="00BE2C1D" w:rsidRPr="00BE2C1D" w:rsidRDefault="00BE2C1D" w:rsidP="00BE2C1D">
      <w:pPr>
        <w:spacing w:line="360" w:lineRule="auto"/>
        <w:jc w:val="both"/>
        <w:rPr>
          <w:rFonts w:cstheme="minorHAnsi"/>
          <w:sz w:val="20"/>
          <w:szCs w:val="20"/>
        </w:rPr>
      </w:pPr>
      <w:r w:rsidRPr="00BE2C1D">
        <w:rPr>
          <w:rFonts w:cstheme="minorHAnsi"/>
        </w:rPr>
        <w:tab/>
      </w:r>
      <w:r w:rsidRPr="00BE2C1D">
        <w:rPr>
          <w:rFonts w:cstheme="minorHAnsi"/>
          <w:sz w:val="20"/>
          <w:szCs w:val="20"/>
        </w:rPr>
        <w:t>Lynn: I did get people sitting on them and I was like “Get off my chair”, yeah, “Go get yours”.</w:t>
      </w:r>
    </w:p>
    <w:p w14:paraId="61101098" w14:textId="77777777" w:rsidR="00BE2C1D" w:rsidRPr="00BE2C1D" w:rsidRDefault="00BE2C1D" w:rsidP="00BE2C1D">
      <w:pPr>
        <w:spacing w:line="360" w:lineRule="auto"/>
        <w:ind w:left="720"/>
        <w:jc w:val="both"/>
        <w:rPr>
          <w:rFonts w:cstheme="minorHAnsi"/>
          <w:sz w:val="20"/>
          <w:szCs w:val="20"/>
        </w:rPr>
      </w:pPr>
      <w:r w:rsidRPr="00BE2C1D">
        <w:rPr>
          <w:rFonts w:cstheme="minorHAnsi"/>
          <w:sz w:val="20"/>
          <w:szCs w:val="20"/>
        </w:rPr>
        <w:t>Rania: Yes, that’s annoying. It’s when I keep saying: “Hang on, you’ve got all these chairs in the room you can sit on, I can’t. Please just get off it”.</w:t>
      </w:r>
    </w:p>
    <w:p w14:paraId="405977A7" w14:textId="77777777" w:rsidR="00BE2C1D" w:rsidRPr="00BE2C1D" w:rsidRDefault="00BE2C1D" w:rsidP="00BE2C1D">
      <w:pPr>
        <w:spacing w:line="360" w:lineRule="auto"/>
        <w:ind w:left="720"/>
        <w:jc w:val="both"/>
        <w:rPr>
          <w:rFonts w:cstheme="minorHAnsi"/>
          <w:sz w:val="20"/>
          <w:szCs w:val="20"/>
        </w:rPr>
      </w:pPr>
      <w:r w:rsidRPr="00BE2C1D">
        <w:rPr>
          <w:rFonts w:cstheme="minorHAnsi"/>
          <w:sz w:val="20"/>
          <w:szCs w:val="20"/>
        </w:rPr>
        <w:lastRenderedPageBreak/>
        <w:t xml:space="preserve">Lynn: Yeah, I literally go: “Off, that’s my chair”. (Rania: yeah). There is a thousand chairs (Rania: yeah), pick yours. We had different colours ones, go get the purple one, go get a white one, go get a black one, go get a blue one, (Rania: yeah), yellow, red. I can name all the colours, off my chair. </w:t>
      </w:r>
    </w:p>
    <w:p w14:paraId="435012BE" w14:textId="77777777" w:rsidR="00BE2C1D" w:rsidRPr="00BE2C1D" w:rsidRDefault="00BE2C1D" w:rsidP="00BE2C1D">
      <w:pPr>
        <w:spacing w:line="360" w:lineRule="auto"/>
        <w:jc w:val="both"/>
        <w:rPr>
          <w:rFonts w:cstheme="minorHAnsi"/>
          <w:sz w:val="20"/>
          <w:szCs w:val="20"/>
        </w:rPr>
      </w:pPr>
      <w:r w:rsidRPr="00BE2C1D">
        <w:rPr>
          <w:rFonts w:cstheme="minorHAnsi"/>
        </w:rPr>
        <w:t xml:space="preserve">Lynn and Rania had to shout at their peers for them to stay away from their chairs. As Rania mentioned, what was the most unfair was the fact that her peers could sit at any chair they wanted, whereas she was restrained to sit only on her chair. Rania further elaborated on why she was annoyed with her peers sitting on her chairs:   </w:t>
      </w:r>
      <w:r w:rsidRPr="00BE2C1D">
        <w:rPr>
          <w:rFonts w:cstheme="minorHAnsi"/>
          <w:sz w:val="20"/>
          <w:szCs w:val="20"/>
        </w:rPr>
        <w:t xml:space="preserve">    </w:t>
      </w:r>
    </w:p>
    <w:p w14:paraId="71EBCB07" w14:textId="77777777" w:rsidR="00BE2C1D" w:rsidRPr="00BE2C1D" w:rsidRDefault="00BE2C1D" w:rsidP="00BE2C1D">
      <w:pPr>
        <w:spacing w:line="360" w:lineRule="auto"/>
        <w:ind w:left="720"/>
        <w:jc w:val="both"/>
        <w:rPr>
          <w:rFonts w:cstheme="minorHAnsi"/>
          <w:sz w:val="20"/>
          <w:szCs w:val="20"/>
        </w:rPr>
      </w:pPr>
      <w:r w:rsidRPr="00BE2C1D">
        <w:rPr>
          <w:rFonts w:cstheme="minorHAnsi"/>
          <w:sz w:val="20"/>
          <w:szCs w:val="20"/>
        </w:rPr>
        <w:t>Rania: Then get annoyed when other people sitting on them, not because I am like self-possessive or anything else, but simply because they were set. These chairs were set for my weight and my positioning and then everyone else is sitting on and the chair can get broken, which really paranoid me, like worried me, made me paranoid, but not wanting the attention.</w:t>
      </w:r>
    </w:p>
    <w:p w14:paraId="7DD8BABC" w14:textId="77777777" w:rsidR="00BE2C1D" w:rsidRPr="00BE2C1D" w:rsidRDefault="00BE2C1D" w:rsidP="00BE2C1D">
      <w:pPr>
        <w:spacing w:line="360" w:lineRule="auto"/>
        <w:jc w:val="both"/>
        <w:rPr>
          <w:rFonts w:cstheme="minorHAnsi"/>
          <w:lang w:val="en-US"/>
        </w:rPr>
      </w:pPr>
      <w:r w:rsidRPr="00BE2C1D">
        <w:rPr>
          <w:rFonts w:cstheme="minorHAnsi"/>
          <w:lang w:val="en-US"/>
        </w:rPr>
        <w:t xml:space="preserve">Rania was quite distressed with the whole situation, as, on the one hand, she was concerned about the danger of her chairs getting broken, and, on the other hand, she did not want to be the centre of the attention by shouting at her peers. Therefore, Rania was constantly worried about what would be the best way to act - to shout at them or to remain silent - as both ways would trigger negative outcomes. Her story demonstrated the everyday psycho-emotional disablism she was dealing with (Reeve 2004) as well as the psycho-emotional labour she had to put to cope with the situation (Liddiard 2018). </w:t>
      </w:r>
      <w:r w:rsidRPr="00BE2C1D">
        <w:rPr>
          <w:rFonts w:cstheme="minorHAnsi"/>
        </w:rPr>
        <w:t xml:space="preserve">Melrose also recalled similar experiences, during which the boys of her class started messing with her wheelchair and a boy, in particular, took control of it: </w:t>
      </w:r>
    </w:p>
    <w:p w14:paraId="7E80AD69" w14:textId="77777777" w:rsidR="00BE2C1D" w:rsidRPr="00BE2C1D" w:rsidRDefault="00BE2C1D" w:rsidP="00BE2C1D">
      <w:pPr>
        <w:spacing w:line="360" w:lineRule="auto"/>
        <w:ind w:left="720"/>
        <w:jc w:val="both"/>
        <w:rPr>
          <w:rFonts w:cstheme="minorHAnsi"/>
          <w:sz w:val="20"/>
          <w:szCs w:val="20"/>
        </w:rPr>
      </w:pPr>
      <w:r w:rsidRPr="00BE2C1D">
        <w:rPr>
          <w:rFonts w:cstheme="minorHAnsi"/>
          <w:sz w:val="20"/>
          <w:szCs w:val="20"/>
        </w:rPr>
        <w:t>Melrose: Maybe the other thing was the guys in my year, the older we got, the more boisterous  they got, and the more they tried, you know, like, like tease the girls and that started happening, but they started like jumping on my wheelchair, trying to drive my wheelchair and that was the point where I started to get anxious. I wasn’t confident enough to say don’t do that, but, also, I hated it when they did it. And I think I remember one point where a guy jumped at the back of my chair and started driving my chair and I felt really like, ohhh, em, and I made a complaint to my teacher and they dealt with it really well actually[..]. But again, that took a lot of courage to tell a member of staff. Coz I could have just left him, he could keep doing it and doing it, em, but I just knew that I had to nip it in the bud and say something. Coz to me that was like, well, it’s like someone‘s jumping on you and falling at you.</w:t>
      </w:r>
    </w:p>
    <w:p w14:paraId="2989A3BC" w14:textId="77777777" w:rsidR="00BE2C1D" w:rsidRPr="00BE2C1D" w:rsidRDefault="00BE2C1D" w:rsidP="00BE2C1D">
      <w:pPr>
        <w:spacing w:line="360" w:lineRule="auto"/>
        <w:jc w:val="both"/>
        <w:rPr>
          <w:rFonts w:cstheme="minorHAnsi"/>
        </w:rPr>
      </w:pPr>
      <w:r w:rsidRPr="00BE2C1D">
        <w:rPr>
          <w:rFonts w:cstheme="minorHAnsi"/>
        </w:rPr>
        <w:t xml:space="preserve">While Rania shouted at her peers when they messed around with her chair (while being aware that this would make her the centre of the attention), Melrose did not feel confident enough to do the same. Therefore, she had to endure a situation whereby she was in constant agony, because she (and her needs) was reduced to a spectacle for the entertainment of her male peers. Melrose then had to put tremendous psycho-emotional labour daily to survive the psycho-emotional disablism she was exposed to. Even when she decided to complain about her peer’s act, this complaint required a lot of </w:t>
      </w:r>
      <w:r w:rsidRPr="00BE2C1D">
        <w:rPr>
          <w:rFonts w:cstheme="minorHAnsi"/>
        </w:rPr>
        <w:lastRenderedPageBreak/>
        <w:t xml:space="preserve">emotional labour from her. It was only because she felt that the incident was over the top, with her personal space getting violated that she decided to proceed with a complaint.   </w:t>
      </w:r>
    </w:p>
    <w:p w14:paraId="205B3040" w14:textId="77777777" w:rsidR="00BE2C1D" w:rsidRPr="00BE2C1D" w:rsidRDefault="00BE2C1D" w:rsidP="00BE2C1D">
      <w:pPr>
        <w:spacing w:line="360" w:lineRule="auto"/>
        <w:jc w:val="both"/>
        <w:rPr>
          <w:rFonts w:cstheme="minorHAnsi"/>
        </w:rPr>
      </w:pPr>
      <w:r w:rsidRPr="00BE2C1D">
        <w:rPr>
          <w:rFonts w:cstheme="minorHAnsi"/>
        </w:rPr>
        <w:t xml:space="preserve">It is worth noting here that it was mostly female participants (Louise, Rania, Lynn, Melrose) who had to deal with their peers’ interference with their equipment compared to male participants, an interference that annoyed them the least and triggered a lot of anxiety to them. Therefore, the sex of the participants also played a role in their peers’ reactions to their equipment in terms of what they felt entitled to do. In a nutshell, the reactions of their peers varied, from mere curiosity or jealousy to actually interfering with the young people’s equipment, which affected their psycho-emotional well-being and left them in agony. </w:t>
      </w:r>
    </w:p>
    <w:p w14:paraId="6556CFA1" w14:textId="77777777" w:rsidR="00BE2C1D" w:rsidRPr="00BE2C1D" w:rsidRDefault="00BE2C1D" w:rsidP="00BE2C1D">
      <w:pPr>
        <w:spacing w:line="360" w:lineRule="auto"/>
        <w:jc w:val="both"/>
        <w:rPr>
          <w:rFonts w:cstheme="minorHAnsi"/>
        </w:rPr>
      </w:pPr>
      <w:r w:rsidRPr="00BE2C1D">
        <w:rPr>
          <w:rFonts w:cstheme="minorHAnsi"/>
        </w:rPr>
        <w:t xml:space="preserve">This section looked at the two sides of the spatial equipment, as described by the disabled young people. It started with questioning the narrative of immediate access to such equipment and then it went on to consider how the young people viewed and felt about such equipment, with particular attention being paid to psycho-emotional disablism. Their views and feelings were shaped both by what they identified as the benefits and the drawbacks of having such equipment as well as their peers’ reactions to it. As Stephens et al. (2015: 213) argued:  </w:t>
      </w:r>
    </w:p>
    <w:p w14:paraId="4E683F29" w14:textId="77777777" w:rsidR="00BE2C1D" w:rsidRPr="00BE2C1D" w:rsidRDefault="00BE2C1D" w:rsidP="00BE2C1D">
      <w:pPr>
        <w:spacing w:line="360" w:lineRule="auto"/>
        <w:ind w:left="720"/>
        <w:jc w:val="both"/>
        <w:rPr>
          <w:sz w:val="20"/>
          <w:szCs w:val="20"/>
        </w:rPr>
      </w:pPr>
      <w:r w:rsidRPr="00BE2C1D">
        <w:rPr>
          <w:sz w:val="20"/>
          <w:szCs w:val="20"/>
        </w:rPr>
        <w:t>Greater efforts should be made to address the way different assemblages undermine or enhance the effectiveness of adaptations and the capacity of disabled children. Adaptations that are made solely on the basis of considerations of physical health and safety, or that make children stand out in environments where they want to blend in, may be better than nothing but may not unlock the full capacity of the children they aim to enable.</w:t>
      </w:r>
    </w:p>
    <w:p w14:paraId="104BE269" w14:textId="77777777" w:rsidR="00BE2C1D" w:rsidRPr="00BE2C1D" w:rsidRDefault="00BE2C1D" w:rsidP="00BE2C1D">
      <w:pPr>
        <w:spacing w:line="360" w:lineRule="auto"/>
        <w:jc w:val="both"/>
        <w:rPr>
          <w:rFonts w:cstheme="minorHAnsi"/>
        </w:rPr>
      </w:pPr>
      <w:r w:rsidRPr="00BE2C1D">
        <w:rPr>
          <w:rFonts w:cstheme="minorHAnsi"/>
        </w:rPr>
        <w:t xml:space="preserve">The assemblage analysis offered above shed light on the nuances of using certain equipment to fit into a space that you were not meant to inhabit in the first place. Rather than reducing the discussion to how the equipment facilitated the physical inclusion of the young people in schools, the assemblage analysis showed how other factors - what the equipment looked like, who was included/excluded in the design process, how peers reacted to it - influenced how they experienced such equipment in the context of school.   </w:t>
      </w:r>
    </w:p>
    <w:p w14:paraId="4A3999CE" w14:textId="77777777" w:rsidR="00BE2C1D" w:rsidRPr="00BE2C1D" w:rsidRDefault="00BE2C1D" w:rsidP="00BE2C1D">
      <w:pPr>
        <w:keepNext/>
        <w:keepLines/>
        <w:spacing w:before="40" w:after="0" w:line="360" w:lineRule="auto"/>
        <w:outlineLvl w:val="1"/>
        <w:rPr>
          <w:rFonts w:asciiTheme="majorHAnsi" w:eastAsiaTheme="majorEastAsia" w:hAnsiTheme="majorHAnsi" w:cstheme="majorBidi"/>
          <w:color w:val="2F5496" w:themeColor="accent1" w:themeShade="BF"/>
          <w:sz w:val="26"/>
          <w:szCs w:val="26"/>
          <w:lang w:eastAsia="zh-CN"/>
        </w:rPr>
      </w:pPr>
      <w:bookmarkStart w:id="116" w:name="_Toc39585250"/>
      <w:r w:rsidRPr="00BE2C1D">
        <w:rPr>
          <w:rFonts w:asciiTheme="majorHAnsi" w:eastAsiaTheme="majorEastAsia" w:hAnsiTheme="majorHAnsi" w:cstheme="majorBidi"/>
          <w:color w:val="2F5496" w:themeColor="accent1" w:themeShade="BF"/>
          <w:sz w:val="26"/>
          <w:szCs w:val="26"/>
          <w:lang w:eastAsia="zh-CN"/>
        </w:rPr>
        <w:t>Conclusions</w:t>
      </w:r>
      <w:bookmarkEnd w:id="116"/>
    </w:p>
    <w:p w14:paraId="1ECE4E80" w14:textId="77777777" w:rsidR="00BE2C1D" w:rsidRPr="00BE2C1D" w:rsidRDefault="00BE2C1D" w:rsidP="00BE2C1D">
      <w:pPr>
        <w:spacing w:line="360" w:lineRule="auto"/>
        <w:jc w:val="both"/>
      </w:pPr>
      <w:bookmarkStart w:id="117" w:name="_Hlk38887591"/>
      <w:r w:rsidRPr="00BE2C1D">
        <w:t xml:space="preserve">In this chapter, I reviewed how the participants navigated different school spaces, such as the school playground and the school toilets, as well as how they experienced the equipment they were provided with to fit in ableist spaces. </w:t>
      </w:r>
    </w:p>
    <w:p w14:paraId="6BA65618" w14:textId="77777777" w:rsidR="00BE2C1D" w:rsidRPr="00BE2C1D" w:rsidRDefault="00BE2C1D" w:rsidP="00BE2C1D">
      <w:pPr>
        <w:spacing w:line="360" w:lineRule="auto"/>
        <w:jc w:val="both"/>
      </w:pPr>
      <w:r w:rsidRPr="00BE2C1D">
        <w:t xml:space="preserve">In the first part, I employed a poststructuralist analysis to explore how school playgrounds and school toilets were experienced as hierarchical, performative spaces by the disabled young people. The </w:t>
      </w:r>
      <w:r w:rsidRPr="00BE2C1D">
        <w:lastRenderedPageBreak/>
        <w:t xml:space="preserve">negative experiences of exclusion from the school playground (inaccessible, panoptic, hierarchical, unsafe) led many participants to retreat into other spaces to spend their break-time, such as school classrooms. These alternative spaces functioned as ‘safe’ spaces. However, the exclusion from the playground meant that participants did not play in the allocated space for such activities, neither did they craft their gendered and sexualised identities in that space. On the other hand, those participants who attempted to use the playground found themselves in peripheral roles due to the gendered, ableist norms that permeated this space. Participants’ stories of school toilets also demonstrated that the choice of school toilet -gender binary or disabled- was not a neutral one, as it came with certain implications. Various factors, such as the in/accessibility of toilets, teachers regulating the access to the disabled toilets and the social meanings attached to them, with gender binary toilets signifying normality and the disabled ones signifying difference, affected participants’ decision about which toilet to use. Toilets functioned as sites of belonging/non belonging, where disability and gender were performed.    </w:t>
      </w:r>
    </w:p>
    <w:p w14:paraId="6741CF80" w14:textId="77777777" w:rsidR="00BE2C1D" w:rsidRPr="00BE2C1D" w:rsidRDefault="00BE2C1D" w:rsidP="00BE2C1D">
      <w:pPr>
        <w:spacing w:line="360" w:lineRule="auto"/>
        <w:jc w:val="both"/>
      </w:pPr>
      <w:r w:rsidRPr="00BE2C1D">
        <w:t xml:space="preserve">In the second part, I focused on the equipment - special chair - that was provided to the participants. An assemblage analysis was employed to make sense of the overlapping factors affecting and shaping the experiences of such equipment. Initially, the narrative that all disabled young people were automatically entitled to adaptations was disrupted. It was shown that access to such equipment was not a straightforward process, but certain conditions had to be met (e.g. being statemented), with their own implications for both the parents and their children. Secondly, participants referred to the benefits, such as maintaining a good posture, and the drawbacks e.g. standing out, that came with such equipment. Finally, I discussed how participants’ feelings towards their equipment were also shaped by how their peers reacted to it, which varied from feelings of curiosity to intrusive reactions, such as using the equipment without participants’ approval. </w:t>
      </w:r>
    </w:p>
    <w:p w14:paraId="62C25A35" w14:textId="77777777" w:rsidR="00BE2C1D" w:rsidRPr="00BE2C1D" w:rsidRDefault="00BE2C1D" w:rsidP="00BE2C1D">
      <w:pPr>
        <w:spacing w:line="360" w:lineRule="auto"/>
        <w:jc w:val="both"/>
        <w:rPr>
          <w:sz w:val="20"/>
          <w:szCs w:val="20"/>
        </w:rPr>
      </w:pPr>
      <w:r w:rsidRPr="00BE2C1D">
        <w:t xml:space="preserve">On the whole, these stories were testimonies to the fact that even in the post-segregation era, where disabled children are included in mainstream schools (Slee and Allan 2001), they are still ‘subjected to psychological, relational, systemic and cultural exclusion within so called inclusive spaces of school’ (Goodley and Runswick-Cole 2015a: 54). Moreover, this chapter addressed the ‘need for theoretical resources that are responsive to the everyday details of spaces that might seem inclusive but continue to exclude (Goodley and Runswick-Cole 2015a: 54). The theoretical tools that were used - geographic maturity, poststructuralist and assemblage analysis - captured precisely this: how exclusion takes place in (supposedly) inclusive spaces and how disabled young people navigated them. This chapter started with the disabled young people’s viewpoints and explored their geographic maturity in relation to how they navigated the disabling and ableist spaces of schools. It demonstrated how   </w:t>
      </w:r>
    </w:p>
    <w:p w14:paraId="550B94FE" w14:textId="77777777" w:rsidR="00BE2C1D" w:rsidRPr="00BE2C1D" w:rsidRDefault="00BE2C1D" w:rsidP="00BE2C1D">
      <w:pPr>
        <w:spacing w:line="360" w:lineRule="auto"/>
        <w:ind w:left="720"/>
        <w:jc w:val="both"/>
        <w:rPr>
          <w:sz w:val="20"/>
          <w:szCs w:val="20"/>
        </w:rPr>
      </w:pPr>
      <w:r w:rsidRPr="00BE2C1D">
        <w:rPr>
          <w:sz w:val="20"/>
          <w:szCs w:val="20"/>
        </w:rPr>
        <w:lastRenderedPageBreak/>
        <w:t>disabled children act as mature geographic subjects, navigating environments (literally and figuratively) with insight, generating their own multiple subjectivities, adapting their identities to changing environments to generate the best possible fit in that given time and place (Stephens et al., 2015: 206).</w:t>
      </w:r>
    </w:p>
    <w:bookmarkEnd w:id="117"/>
    <w:p w14:paraId="385FCA23" w14:textId="77777777" w:rsidR="00BE2C1D" w:rsidRPr="00BE2C1D" w:rsidRDefault="00BE2C1D" w:rsidP="00BE2C1D">
      <w:pPr>
        <w:keepNext/>
        <w:keepLines/>
        <w:spacing w:before="240" w:after="0"/>
        <w:outlineLvl w:val="0"/>
        <w:rPr>
          <w:rFonts w:asciiTheme="majorHAnsi" w:eastAsiaTheme="majorEastAsia" w:hAnsiTheme="majorHAnsi" w:cstheme="majorBidi"/>
          <w:color w:val="2F5496" w:themeColor="accent1" w:themeShade="BF"/>
          <w:sz w:val="32"/>
          <w:szCs w:val="32"/>
          <w:lang w:eastAsia="zh-CN"/>
        </w:rPr>
      </w:pPr>
    </w:p>
    <w:p w14:paraId="4DDA6FD7" w14:textId="77777777" w:rsidR="00BE2C1D" w:rsidRPr="00BE2C1D" w:rsidRDefault="00BE2C1D" w:rsidP="00BE2C1D">
      <w:pPr>
        <w:keepNext/>
        <w:keepLines/>
        <w:spacing w:before="240" w:after="0"/>
        <w:outlineLvl w:val="0"/>
        <w:rPr>
          <w:rFonts w:asciiTheme="majorHAnsi" w:eastAsiaTheme="majorEastAsia" w:hAnsiTheme="majorHAnsi" w:cstheme="majorBidi"/>
          <w:color w:val="2F5496" w:themeColor="accent1" w:themeShade="BF"/>
          <w:sz w:val="32"/>
          <w:szCs w:val="32"/>
          <w:lang w:eastAsia="zh-CN"/>
        </w:rPr>
      </w:pPr>
    </w:p>
    <w:p w14:paraId="50015DC0" w14:textId="77777777" w:rsidR="00BE2C1D" w:rsidRPr="00BE2C1D" w:rsidRDefault="00BE2C1D" w:rsidP="00BE2C1D">
      <w:pPr>
        <w:keepNext/>
        <w:keepLines/>
        <w:spacing w:before="240" w:after="0"/>
        <w:outlineLvl w:val="0"/>
        <w:rPr>
          <w:rFonts w:asciiTheme="majorHAnsi" w:eastAsiaTheme="majorEastAsia" w:hAnsiTheme="majorHAnsi" w:cstheme="majorBidi"/>
          <w:color w:val="2F5496" w:themeColor="accent1" w:themeShade="BF"/>
          <w:sz w:val="32"/>
          <w:szCs w:val="32"/>
          <w:lang w:eastAsia="zh-CN"/>
        </w:rPr>
      </w:pPr>
    </w:p>
    <w:p w14:paraId="5F767600" w14:textId="77777777" w:rsidR="00BE2C1D" w:rsidRPr="00BE2C1D" w:rsidRDefault="00BE2C1D" w:rsidP="00BE2C1D">
      <w:pPr>
        <w:keepNext/>
        <w:keepLines/>
        <w:spacing w:before="240" w:after="0"/>
        <w:outlineLvl w:val="0"/>
        <w:rPr>
          <w:rFonts w:asciiTheme="majorHAnsi" w:eastAsiaTheme="majorEastAsia" w:hAnsiTheme="majorHAnsi" w:cstheme="majorBidi"/>
          <w:color w:val="2F5496" w:themeColor="accent1" w:themeShade="BF"/>
          <w:sz w:val="32"/>
          <w:szCs w:val="32"/>
          <w:lang w:eastAsia="zh-CN"/>
        </w:rPr>
      </w:pPr>
    </w:p>
    <w:p w14:paraId="5E99C360" w14:textId="77777777" w:rsidR="00BE2C1D" w:rsidRPr="00BE2C1D" w:rsidRDefault="00BE2C1D" w:rsidP="00BE2C1D">
      <w:pPr>
        <w:keepNext/>
        <w:keepLines/>
        <w:spacing w:before="240" w:after="0"/>
        <w:outlineLvl w:val="0"/>
        <w:rPr>
          <w:rFonts w:asciiTheme="majorHAnsi" w:eastAsiaTheme="majorEastAsia" w:hAnsiTheme="majorHAnsi" w:cstheme="majorBidi"/>
          <w:color w:val="2F5496" w:themeColor="accent1" w:themeShade="BF"/>
          <w:sz w:val="32"/>
          <w:szCs w:val="32"/>
          <w:lang w:eastAsia="zh-CN"/>
        </w:rPr>
      </w:pPr>
    </w:p>
    <w:p w14:paraId="4BE930DC" w14:textId="77777777" w:rsidR="00BE2C1D" w:rsidRPr="00BE2C1D" w:rsidRDefault="00BE2C1D" w:rsidP="00BE2C1D">
      <w:pPr>
        <w:keepNext/>
        <w:keepLines/>
        <w:spacing w:before="240" w:after="0"/>
        <w:outlineLvl w:val="0"/>
        <w:rPr>
          <w:rFonts w:asciiTheme="majorHAnsi" w:eastAsiaTheme="majorEastAsia" w:hAnsiTheme="majorHAnsi" w:cstheme="majorBidi"/>
          <w:color w:val="2F5496" w:themeColor="accent1" w:themeShade="BF"/>
          <w:sz w:val="32"/>
          <w:szCs w:val="32"/>
          <w:lang w:eastAsia="zh-CN"/>
        </w:rPr>
      </w:pPr>
    </w:p>
    <w:p w14:paraId="4C0452D8" w14:textId="77777777" w:rsidR="00BE2C1D" w:rsidRPr="00BE2C1D" w:rsidRDefault="00BE2C1D" w:rsidP="00BE2C1D">
      <w:pPr>
        <w:keepNext/>
        <w:keepLines/>
        <w:spacing w:before="240" w:after="0"/>
        <w:outlineLvl w:val="0"/>
        <w:rPr>
          <w:rFonts w:asciiTheme="majorHAnsi" w:eastAsiaTheme="majorEastAsia" w:hAnsiTheme="majorHAnsi" w:cstheme="majorBidi"/>
          <w:color w:val="2F5496" w:themeColor="accent1" w:themeShade="BF"/>
          <w:sz w:val="32"/>
          <w:szCs w:val="32"/>
          <w:lang w:eastAsia="zh-CN"/>
        </w:rPr>
      </w:pPr>
    </w:p>
    <w:p w14:paraId="5CEB0A06" w14:textId="77777777" w:rsidR="00BE2C1D" w:rsidRPr="00BE2C1D" w:rsidRDefault="00BE2C1D" w:rsidP="00BE2C1D">
      <w:pPr>
        <w:rPr>
          <w:lang w:eastAsia="zh-CN"/>
        </w:rPr>
      </w:pPr>
    </w:p>
    <w:p w14:paraId="3FEC750D" w14:textId="77777777" w:rsidR="00BE2C1D" w:rsidRPr="00BE2C1D" w:rsidRDefault="00BE2C1D" w:rsidP="00BE2C1D">
      <w:pPr>
        <w:rPr>
          <w:lang w:eastAsia="zh-CN"/>
        </w:rPr>
      </w:pPr>
    </w:p>
    <w:p w14:paraId="6D534AA3" w14:textId="77777777" w:rsidR="00BE2C1D" w:rsidRPr="00BE2C1D" w:rsidRDefault="00BE2C1D" w:rsidP="00BE2C1D">
      <w:pPr>
        <w:rPr>
          <w:lang w:eastAsia="zh-CN"/>
        </w:rPr>
      </w:pPr>
    </w:p>
    <w:p w14:paraId="2F634408" w14:textId="77777777" w:rsidR="00BE2C1D" w:rsidRPr="00BE2C1D" w:rsidRDefault="00BE2C1D" w:rsidP="00BE2C1D">
      <w:pPr>
        <w:rPr>
          <w:lang w:eastAsia="zh-CN"/>
        </w:rPr>
      </w:pPr>
    </w:p>
    <w:p w14:paraId="0E35A147" w14:textId="77777777" w:rsidR="00BE2C1D" w:rsidRPr="00BE2C1D" w:rsidRDefault="00BE2C1D" w:rsidP="00BE2C1D">
      <w:pPr>
        <w:rPr>
          <w:lang w:eastAsia="zh-CN"/>
        </w:rPr>
      </w:pPr>
    </w:p>
    <w:p w14:paraId="3A78E760" w14:textId="77777777" w:rsidR="00BE2C1D" w:rsidRPr="00BE2C1D" w:rsidRDefault="00BE2C1D" w:rsidP="00BE2C1D">
      <w:pPr>
        <w:rPr>
          <w:lang w:eastAsia="zh-CN"/>
        </w:rPr>
      </w:pPr>
    </w:p>
    <w:p w14:paraId="4B512BC3" w14:textId="77777777" w:rsidR="00BE2C1D" w:rsidRPr="00BE2C1D" w:rsidRDefault="00BE2C1D" w:rsidP="00BE2C1D">
      <w:pPr>
        <w:rPr>
          <w:lang w:eastAsia="zh-CN"/>
        </w:rPr>
      </w:pPr>
    </w:p>
    <w:p w14:paraId="0408A22C" w14:textId="77777777" w:rsidR="00BE2C1D" w:rsidRPr="00BE2C1D" w:rsidRDefault="00BE2C1D" w:rsidP="00BE2C1D">
      <w:pPr>
        <w:rPr>
          <w:lang w:eastAsia="zh-CN"/>
        </w:rPr>
      </w:pPr>
    </w:p>
    <w:p w14:paraId="5A422CA7" w14:textId="77777777" w:rsidR="00BE2C1D" w:rsidRPr="00BE2C1D" w:rsidRDefault="00BE2C1D" w:rsidP="00BE2C1D">
      <w:pPr>
        <w:rPr>
          <w:lang w:eastAsia="zh-CN"/>
        </w:rPr>
      </w:pPr>
    </w:p>
    <w:p w14:paraId="37B7E520" w14:textId="77777777" w:rsidR="00BE2C1D" w:rsidRPr="00BE2C1D" w:rsidRDefault="00BE2C1D" w:rsidP="00BE2C1D">
      <w:pPr>
        <w:rPr>
          <w:lang w:eastAsia="zh-CN"/>
        </w:rPr>
      </w:pPr>
    </w:p>
    <w:p w14:paraId="24DDCA07" w14:textId="77777777" w:rsidR="00BE2C1D" w:rsidRPr="00BE2C1D" w:rsidRDefault="00BE2C1D" w:rsidP="00BE2C1D">
      <w:pPr>
        <w:rPr>
          <w:lang w:eastAsia="zh-CN"/>
        </w:rPr>
      </w:pPr>
    </w:p>
    <w:p w14:paraId="6B9C3A5E" w14:textId="77777777" w:rsidR="00BE2C1D" w:rsidRPr="00BE2C1D" w:rsidRDefault="00BE2C1D" w:rsidP="00BE2C1D">
      <w:pPr>
        <w:rPr>
          <w:lang w:eastAsia="zh-CN"/>
        </w:rPr>
      </w:pPr>
    </w:p>
    <w:p w14:paraId="63782175" w14:textId="77777777" w:rsidR="00BE2C1D" w:rsidRPr="00BE2C1D" w:rsidRDefault="00BE2C1D" w:rsidP="00BE2C1D">
      <w:pPr>
        <w:rPr>
          <w:lang w:eastAsia="zh-CN"/>
        </w:rPr>
      </w:pPr>
    </w:p>
    <w:p w14:paraId="12A86258" w14:textId="77777777" w:rsidR="00BE2C1D" w:rsidRPr="00BE2C1D" w:rsidRDefault="00BE2C1D" w:rsidP="00BE2C1D">
      <w:pPr>
        <w:rPr>
          <w:lang w:eastAsia="zh-CN"/>
        </w:rPr>
      </w:pPr>
    </w:p>
    <w:p w14:paraId="60D17F77" w14:textId="77777777" w:rsidR="00BE2C1D" w:rsidRPr="00BE2C1D" w:rsidRDefault="00BE2C1D" w:rsidP="00BE2C1D">
      <w:pPr>
        <w:keepNext/>
        <w:keepLines/>
        <w:spacing w:before="240" w:after="0"/>
        <w:outlineLvl w:val="0"/>
        <w:rPr>
          <w:rFonts w:asciiTheme="majorHAnsi" w:eastAsiaTheme="majorEastAsia" w:hAnsiTheme="majorHAnsi" w:cstheme="majorBidi"/>
          <w:color w:val="2F5496" w:themeColor="accent1" w:themeShade="BF"/>
          <w:sz w:val="32"/>
          <w:szCs w:val="32"/>
          <w:lang w:eastAsia="zh-CN"/>
        </w:rPr>
      </w:pPr>
      <w:bookmarkStart w:id="118" w:name="_Toc39585251"/>
      <w:r w:rsidRPr="00BE2C1D">
        <w:rPr>
          <w:rFonts w:asciiTheme="majorHAnsi" w:eastAsiaTheme="majorEastAsia" w:hAnsiTheme="majorHAnsi" w:cstheme="majorBidi"/>
          <w:color w:val="2F5496" w:themeColor="accent1" w:themeShade="BF"/>
          <w:sz w:val="32"/>
          <w:szCs w:val="32"/>
          <w:lang w:eastAsia="zh-CN"/>
        </w:rPr>
        <w:lastRenderedPageBreak/>
        <w:t>Chapter 5: Stories of Support, Surveillance and Resistance: Teaching Assistants and Young People with RG</w:t>
      </w:r>
      <w:bookmarkEnd w:id="118"/>
      <w:r w:rsidRPr="00BE2C1D">
        <w:rPr>
          <w:rFonts w:asciiTheme="majorHAnsi" w:eastAsiaTheme="majorEastAsia" w:hAnsiTheme="majorHAnsi" w:cstheme="majorBidi"/>
          <w:color w:val="2F5496" w:themeColor="accent1" w:themeShade="BF"/>
          <w:sz w:val="32"/>
          <w:szCs w:val="32"/>
          <w:lang w:eastAsia="zh-CN"/>
        </w:rPr>
        <w:t xml:space="preserve"> </w:t>
      </w:r>
    </w:p>
    <w:p w14:paraId="6013EC98" w14:textId="77777777" w:rsidR="00BE2C1D" w:rsidRPr="00BE2C1D" w:rsidRDefault="00BE2C1D" w:rsidP="00BE2C1D">
      <w:pPr>
        <w:keepNext/>
        <w:keepLines/>
        <w:spacing w:before="40" w:after="0" w:line="360" w:lineRule="auto"/>
        <w:jc w:val="both"/>
        <w:outlineLvl w:val="1"/>
        <w:rPr>
          <w:rFonts w:eastAsiaTheme="majorEastAsia" w:cstheme="minorHAnsi"/>
          <w:color w:val="2F5496" w:themeColor="accent1" w:themeShade="BF"/>
          <w:sz w:val="26"/>
          <w:szCs w:val="26"/>
          <w:lang w:eastAsia="zh-CN"/>
        </w:rPr>
      </w:pPr>
      <w:bookmarkStart w:id="119" w:name="_Toc39585252"/>
      <w:r w:rsidRPr="00BE2C1D">
        <w:rPr>
          <w:rFonts w:eastAsiaTheme="majorEastAsia" w:cstheme="minorHAnsi"/>
          <w:color w:val="2F5496" w:themeColor="accent1" w:themeShade="BF"/>
          <w:sz w:val="26"/>
          <w:szCs w:val="26"/>
          <w:lang w:eastAsia="zh-CN"/>
        </w:rPr>
        <w:t>Introduction</w:t>
      </w:r>
      <w:bookmarkEnd w:id="119"/>
      <w:r w:rsidRPr="00BE2C1D">
        <w:rPr>
          <w:rFonts w:eastAsiaTheme="majorEastAsia" w:cstheme="minorHAnsi"/>
          <w:color w:val="2F5496" w:themeColor="accent1" w:themeShade="BF"/>
          <w:sz w:val="26"/>
          <w:szCs w:val="26"/>
          <w:lang w:eastAsia="zh-CN"/>
        </w:rPr>
        <w:t xml:space="preserve">  </w:t>
      </w:r>
    </w:p>
    <w:p w14:paraId="7768606D" w14:textId="77777777" w:rsidR="00BE2C1D" w:rsidRPr="00BE2C1D" w:rsidRDefault="00BE2C1D" w:rsidP="00BE2C1D">
      <w:pPr>
        <w:spacing w:line="360" w:lineRule="auto"/>
        <w:ind w:left="720"/>
        <w:jc w:val="both"/>
        <w:rPr>
          <w:sz w:val="20"/>
          <w:szCs w:val="20"/>
        </w:rPr>
      </w:pPr>
      <w:bookmarkStart w:id="120" w:name="_Hlk38824306"/>
      <w:r w:rsidRPr="00BE2C1D">
        <w:rPr>
          <w:sz w:val="20"/>
          <w:szCs w:val="20"/>
        </w:rPr>
        <w:t>Paul: She wasn’t there to help me with any mental needs, any support needs, but she was just there to help me out if I needed a chair lifted from my classroom to another classroom, she’d be the one to organise that. If I need, if I had a problem with a particular health need, I could talk to her and then she could arrange something to get and help me out.</w:t>
      </w:r>
    </w:p>
    <w:p w14:paraId="7A48344C" w14:textId="77777777" w:rsidR="00BE2C1D" w:rsidRPr="00BE2C1D" w:rsidRDefault="00BE2C1D" w:rsidP="00BE2C1D">
      <w:pPr>
        <w:spacing w:line="360" w:lineRule="auto"/>
        <w:ind w:left="720"/>
        <w:jc w:val="both"/>
        <w:rPr>
          <w:sz w:val="20"/>
          <w:szCs w:val="20"/>
        </w:rPr>
      </w:pPr>
      <w:r w:rsidRPr="00BE2C1D">
        <w:rPr>
          <w:sz w:val="20"/>
          <w:szCs w:val="20"/>
        </w:rPr>
        <w:t xml:space="preserve">Rania: I think, nah, yeah, no, for me she just, she kind of drove me mad a bit, she got on my  nerves to be safe like I am doing something during the lesson because she was like watching me and watch on help. […] It was a little bit, yeah, I felt a little bit intrusive, just like having someone always there watching me when I didn’t need it. </w:t>
      </w:r>
    </w:p>
    <w:p w14:paraId="3F0B4DCE" w14:textId="77777777" w:rsidR="00BE2C1D" w:rsidRPr="00BE2C1D" w:rsidRDefault="00BE2C1D" w:rsidP="00BE2C1D">
      <w:pPr>
        <w:spacing w:line="360" w:lineRule="auto"/>
        <w:jc w:val="both"/>
        <w:rPr>
          <w:rFonts w:cstheme="minorHAnsi"/>
        </w:rPr>
      </w:pPr>
      <w:r w:rsidRPr="00BE2C1D">
        <w:t xml:space="preserve">This chapter looks into the stories the disabled young people shared </w:t>
      </w:r>
      <w:r w:rsidRPr="00BE2C1D">
        <w:rPr>
          <w:rFonts w:cstheme="minorHAnsi"/>
        </w:rPr>
        <w:t xml:space="preserve">regarding their experiences with their teaching assistants (from hereinafter referred to as TAs). As illustrated in the above accounts, there were different aspects in such experiences. What was common though was that TAs are central figures in the educational experiences of disabled students in British secondary schools, as the students tend to interact and spend more time with TAs than with their class teachers and their peers (Webster et al. 2010). </w:t>
      </w:r>
    </w:p>
    <w:p w14:paraId="2FB4BDF7" w14:textId="77777777" w:rsidR="00BE2C1D" w:rsidRPr="00BE2C1D" w:rsidRDefault="00BE2C1D" w:rsidP="00BE2C1D">
      <w:pPr>
        <w:spacing w:line="360" w:lineRule="auto"/>
        <w:jc w:val="both"/>
        <w:rPr>
          <w:rFonts w:cstheme="minorHAnsi"/>
        </w:rPr>
      </w:pPr>
      <w:r w:rsidRPr="00BE2C1D">
        <w:rPr>
          <w:rFonts w:cstheme="minorHAnsi"/>
        </w:rPr>
        <w:t>Regarding the structure of this chapter, I start with providing some contextual information about the exponential increase of TAs in British schools from 1997 to nowadays, an increase that has been associated with the inclusion of disabled students in mainstream schools (Webster et al. 2010). However, reviewing the literature around TAs’ attitudes towards inclusion and disabled students’ insights into the support they received from their TAs indicated that the claims made at a policy level did not necessarily translate into actual inclusive practice. This contextualisation of TAs’ role and the review of the literature on disabled students’ insights set the background for the first round</w:t>
      </w:r>
      <w:r w:rsidRPr="00BE2C1D">
        <w:rPr>
          <w:rFonts w:cstheme="minorHAnsi"/>
          <w:vertAlign w:val="superscript"/>
        </w:rPr>
        <w:footnoteReference w:id="97"/>
      </w:r>
      <w:r w:rsidRPr="00BE2C1D">
        <w:rPr>
          <w:rFonts w:cstheme="minorHAnsi"/>
        </w:rPr>
        <w:t xml:space="preserve"> of stories of the young people, which had to do with the different types of support they were provided with by their TAs. The first part of this section focuses on how TAs removed barriers to doing (Thomas 1999;  Mortier et al. 2011) triggered by inaccessible environments and impairment effects, whilst the second part explores how TAs created barriers to being (Mortier et al. 2011) for the young people by interfering with their learning. The following section considers the threat TAs posed to young people’s desire for independence, especially as they were growing up and were approaching adulthood (McLaughlin and Coleman-Fountain 2018). </w:t>
      </w:r>
    </w:p>
    <w:p w14:paraId="43E8764F" w14:textId="77777777" w:rsidR="00BE2C1D" w:rsidRPr="00BE2C1D" w:rsidRDefault="00BE2C1D" w:rsidP="00BE2C1D">
      <w:pPr>
        <w:spacing w:line="360" w:lineRule="auto"/>
        <w:jc w:val="both"/>
        <w:rPr>
          <w:rFonts w:cstheme="minorHAnsi"/>
        </w:rPr>
      </w:pPr>
      <w:r w:rsidRPr="00BE2C1D">
        <w:rPr>
          <w:rFonts w:cstheme="minorHAnsi"/>
        </w:rPr>
        <w:lastRenderedPageBreak/>
        <w:t xml:space="preserve">Another side-effect of TAs’ support was that it came with the surveillance of the young people, as discussed in the next section. Drawing on Foucault’s work on surveillance (1977) and Surveillance Studies (Caluya 2010; Gallagher 2010; Mathiesen 1997), these stories illustrate the forms that surveillance took, its aims and its repercussions. Nevertheless, the young people engaged in various forms of resistance to their surveillance, which are explored next. This section builds on Foucault’s work on resistance (1981) and Resistance Studies (Weitz 2001; Gabels and Peters 2004) to address the means that the young people used to resist and the cost(s) that resistance came with. Finally, I provide a summary of the key findings of this chapter. </w:t>
      </w:r>
    </w:p>
    <w:p w14:paraId="480F9CC6" w14:textId="77777777" w:rsidR="00BE2C1D" w:rsidRPr="00BE2C1D" w:rsidRDefault="00BE2C1D" w:rsidP="00BE2C1D">
      <w:pPr>
        <w:keepNext/>
        <w:keepLines/>
        <w:spacing w:before="40" w:after="0" w:line="360" w:lineRule="auto"/>
        <w:outlineLvl w:val="1"/>
        <w:rPr>
          <w:rFonts w:asciiTheme="majorHAnsi" w:eastAsiaTheme="majorEastAsia" w:hAnsiTheme="majorHAnsi" w:cstheme="majorBidi"/>
          <w:color w:val="4472C4" w:themeColor="accent1"/>
          <w:sz w:val="26"/>
          <w:szCs w:val="26"/>
          <w:lang w:eastAsia="zh-CN"/>
        </w:rPr>
      </w:pPr>
      <w:bookmarkStart w:id="121" w:name="_Toc39585253"/>
      <w:bookmarkEnd w:id="120"/>
      <w:r w:rsidRPr="00BE2C1D">
        <w:rPr>
          <w:rFonts w:asciiTheme="majorHAnsi" w:eastAsiaTheme="majorEastAsia" w:hAnsiTheme="majorHAnsi" w:cstheme="majorBidi"/>
          <w:color w:val="4472C4" w:themeColor="accent1"/>
          <w:sz w:val="26"/>
          <w:szCs w:val="26"/>
          <w:lang w:eastAsia="zh-CN"/>
        </w:rPr>
        <w:t>Teaching Assistants as Key Agents of Inclusive Education</w:t>
      </w:r>
      <w:bookmarkEnd w:id="121"/>
      <w:r w:rsidRPr="00BE2C1D">
        <w:rPr>
          <w:rFonts w:asciiTheme="majorHAnsi" w:eastAsiaTheme="majorEastAsia" w:hAnsiTheme="majorHAnsi" w:cstheme="majorBidi"/>
          <w:color w:val="4472C4" w:themeColor="accent1"/>
          <w:sz w:val="26"/>
          <w:szCs w:val="26"/>
          <w:lang w:eastAsia="zh-CN"/>
        </w:rPr>
        <w:t xml:space="preserve"> </w:t>
      </w:r>
    </w:p>
    <w:p w14:paraId="19FE3D3C" w14:textId="77777777" w:rsidR="00BE2C1D" w:rsidRPr="00BE2C1D" w:rsidRDefault="00BE2C1D" w:rsidP="00BE2C1D">
      <w:pPr>
        <w:spacing w:line="360" w:lineRule="auto"/>
        <w:jc w:val="both"/>
        <w:rPr>
          <w:rFonts w:cstheme="minorHAnsi"/>
        </w:rPr>
      </w:pPr>
      <w:r w:rsidRPr="00BE2C1D">
        <w:rPr>
          <w:rFonts w:cstheme="minorHAnsi"/>
        </w:rPr>
        <w:t xml:space="preserve">Teaching Assistant (TA) is an umbrella term used to refer to a range of support staff in schools (McVittie 2005). Different terms have been used in the literature to refer to TAs, such as ‘paraprofessionals’ (Broer et al. 2005; Giancreco et al. 2001; Tews and Luppart 2008), ‘teaching aides’ (Rutherford 2012), ‘teacher assistants’ (Egilson and Traustaddotir 2009), ‘instructional assistants’ (Giancreco et al. 1997), ‘assistants’ (Skar and Tam 2001), depending on the geographical context the authors were writing from (USA, New Zealand, Sweden, Iceland). In line with authors writing about support staff in the British context (e.g. Webster et al. 2010; Webster et al. 2013), I use the term TA consistently throughout this chapter and throughout the whole thesis too, even when referring to literature that uses terms like the above ones.      </w:t>
      </w:r>
    </w:p>
    <w:p w14:paraId="497FF073" w14:textId="77777777" w:rsidR="00BE2C1D" w:rsidRPr="00BE2C1D" w:rsidRDefault="00BE2C1D" w:rsidP="00BE2C1D">
      <w:pPr>
        <w:spacing w:line="360" w:lineRule="auto"/>
        <w:jc w:val="both"/>
        <w:rPr>
          <w:rFonts w:cstheme="minorHAnsi"/>
        </w:rPr>
      </w:pPr>
      <w:r w:rsidRPr="00BE2C1D">
        <w:rPr>
          <w:rFonts w:cstheme="minorHAnsi"/>
        </w:rPr>
        <w:t>TAs constitute a major school workforce in the UK (Webster et al. 2011), with their number increasing exponentially since 1997 (for instance, in 2005 there were 97,000 TAs and in 2013 there were more than 234,000 (Webster et al. 2011; Wren 2017). The proliferation of TAs in the UK (and elsewhere</w:t>
      </w:r>
      <w:r w:rsidRPr="00BE2C1D">
        <w:rPr>
          <w:rFonts w:cstheme="minorHAnsi"/>
          <w:vertAlign w:val="superscript"/>
        </w:rPr>
        <w:footnoteReference w:id="98"/>
      </w:r>
      <w:r w:rsidRPr="00BE2C1D">
        <w:rPr>
          <w:rFonts w:cstheme="minorHAnsi"/>
        </w:rPr>
        <w:t>) has been attributed to the following reasons: firstly, TAs’ deployment aimed to reduce class teachers’ workload by providing them with support with a range of tasks, such as behaviour management and preparation of resources (Balsaw and Farrell 2001). Secondly, TAs were employed to raise the attainment level of students (Webster et al. 2011), which implied that TAs had to adopt an instructional role too (ibid). Thirdly, TAs were viewed as key figures in the push for the inclusion of disabled students in mainstream schools (</w:t>
      </w:r>
      <w:r w:rsidRPr="00BE2C1D">
        <w:t xml:space="preserve">Doyle 2002; </w:t>
      </w:r>
      <w:r w:rsidRPr="00BE2C1D">
        <w:rPr>
          <w:rFonts w:cstheme="minorHAnsi"/>
        </w:rPr>
        <w:t xml:space="preserve">Tews and Lupart 2008; </w:t>
      </w:r>
      <w:r w:rsidRPr="00BE2C1D">
        <w:t>Webster and De Boer 2019;</w:t>
      </w:r>
      <w:r w:rsidRPr="00BE2C1D">
        <w:rPr>
          <w:rFonts w:cstheme="minorHAnsi"/>
        </w:rPr>
        <w:t xml:space="preserve"> Webster et al. 2010</w:t>
      </w:r>
      <w:r w:rsidRPr="00BE2C1D">
        <w:t xml:space="preserve">). </w:t>
      </w:r>
      <w:r w:rsidRPr="00BE2C1D">
        <w:rPr>
          <w:rFonts w:cstheme="minorHAnsi"/>
        </w:rPr>
        <w:t xml:space="preserve">It is the third reason that I discuss further, as the TAs of the young people in this research were deployed to support them with their inclusion in the secondary school. </w:t>
      </w:r>
    </w:p>
    <w:p w14:paraId="4C385AD2" w14:textId="77777777" w:rsidR="00BE2C1D" w:rsidRPr="00BE2C1D" w:rsidRDefault="00BE2C1D" w:rsidP="00BE2C1D">
      <w:pPr>
        <w:spacing w:line="360" w:lineRule="auto"/>
        <w:jc w:val="both"/>
        <w:rPr>
          <w:rFonts w:ascii="Calibri" w:hAnsi="Calibri" w:cs="Calibri"/>
        </w:rPr>
      </w:pPr>
      <w:r w:rsidRPr="00BE2C1D">
        <w:rPr>
          <w:rFonts w:cstheme="minorHAnsi"/>
        </w:rPr>
        <w:t xml:space="preserve">At a policy level, TAs have been understood as key facilitators for the inclusion of disabled students due to the various forms of support they offer (Blatchford et al. 2009; Webster et al. 2010). TAs are </w:t>
      </w:r>
      <w:r w:rsidRPr="00BE2C1D">
        <w:rPr>
          <w:rFonts w:cstheme="minorHAnsi"/>
        </w:rPr>
        <w:lastRenderedPageBreak/>
        <w:t xml:space="preserve">expected to perform a series of roles (Howard and Ford 2007) e.g. a pedagogical role, a caring role, a managing role (Devecchi et al. 2012), which also reflects the fluidity of their role. For instance, </w:t>
      </w:r>
      <w:r w:rsidRPr="00BE2C1D">
        <w:rPr>
          <w:rFonts w:ascii="Calibri" w:hAnsi="Calibri" w:cs="Calibri"/>
        </w:rPr>
        <w:t xml:space="preserve">Balsaw and Farrell (2001) listed eleven roles and Kerry (2005) offered a typology of eleven job descriptors. For Mansaray (2006: 182), TAs occupy a liminal role, </w:t>
      </w:r>
      <w:r w:rsidRPr="00BE2C1D">
        <w:t xml:space="preserve">as they ‘are in a position that straddles the boundary status of ‘teacher/not teacher’’. </w:t>
      </w:r>
      <w:r w:rsidRPr="00BE2C1D">
        <w:rPr>
          <w:rFonts w:ascii="Calibri" w:hAnsi="Calibri" w:cs="Calibri"/>
        </w:rPr>
        <w:t>Moreover, it is worth noting here that the majority of TAs tends to be women (</w:t>
      </w:r>
      <w:r w:rsidRPr="00BE2C1D">
        <w:t xml:space="preserve">Balsaw and Farrell 2002; Riggs and Mueller 2001), especially when it comes to supporting disabled students. This indicates how TAs’ labour is highly gendered (Slater and Gaseley 2019), considering the ‘caring’ role as a natural feature of women (Mackenzie 2011).   </w:t>
      </w:r>
    </w:p>
    <w:p w14:paraId="29010B79" w14:textId="77777777" w:rsidR="00BE2C1D" w:rsidRPr="00BE2C1D" w:rsidRDefault="00BE2C1D" w:rsidP="00BE2C1D">
      <w:pPr>
        <w:spacing w:line="360" w:lineRule="auto"/>
        <w:jc w:val="both"/>
        <w:rPr>
          <w:rFonts w:cstheme="minorHAnsi"/>
        </w:rPr>
      </w:pPr>
      <w:r w:rsidRPr="00BE2C1D">
        <w:rPr>
          <w:rFonts w:cstheme="minorHAnsi"/>
        </w:rPr>
        <w:t>TAs have been described as the ‘change agents’ (Jorgensen et al. 2006: 65) for inclusion and as the ‘solution to inclusion’ (Rutherford 2012: 760) due to the positive impact they have on disabled students in areas such as academic performance and social integration  (Farrell et al. 2010; MacBeath et al. 2006). Nevertheless, TAs have also been discussed as hindering the inclusion of disabled students (Giangreco et al. 1997), taking away the attention from the structural inequalities e.g. inaccessible environments disabled students deal with (Rutherford 2012) and acting as another human resource ‘to mind the disabled student’ (Slee 2006). Whitburn (2013: 159) also noted that ‘support personnel are deployed in a way that perpetuates the special education tradition in inclusive education.’ As Mortier et al. (2010: 553) proposed, ‘</w:t>
      </w:r>
      <w:r w:rsidRPr="00BE2C1D">
        <w:t>these types of ‘solutions’, enacted when deeper changes seem harder to achieve, risk bringing too much closure and lead to recreating (new) forms of exclusion. Such exclusionary practices were noted, for instance, in Holt’s (2004a) and Holt et al.’s (2012) research with disabled students, where TAs moved the disabled child out of the classroom and in a separate space</w:t>
      </w:r>
      <w:r w:rsidRPr="00BE2C1D">
        <w:rPr>
          <w:vertAlign w:val="superscript"/>
        </w:rPr>
        <w:footnoteReference w:id="99"/>
      </w:r>
      <w:r w:rsidRPr="00BE2C1D">
        <w:t xml:space="preserve"> to run an intervention or when TAs were sitting next to the disabled child at a separate desk in the back of the classroom. </w:t>
      </w:r>
    </w:p>
    <w:p w14:paraId="2821EAFD" w14:textId="77777777" w:rsidR="00BE2C1D" w:rsidRPr="00BE2C1D" w:rsidRDefault="00BE2C1D" w:rsidP="00BE2C1D">
      <w:pPr>
        <w:spacing w:line="360" w:lineRule="auto"/>
        <w:jc w:val="both"/>
      </w:pPr>
      <w:r w:rsidRPr="00BE2C1D">
        <w:t>Furthermore, while TAs have been depicted to play a significant role in the inclusion of disabled students at a policy level, this was not necessarily reflected on the personal views they held around inclusion.  Sikes et al. (2007) identified a ‘yes, but …’ approach from TAs towards inclusion, meaning that TAs were in favour of inclusion in principle, but they were ambiguous about its enactment in their everyday practice. This research illustrated the performative nature of inclusion, that is how the personal views and experiences of TAs affected how the policy of inclusion was reformulated in practice (Armstrong 2005).</w:t>
      </w:r>
      <w:r w:rsidRPr="00BE2C1D">
        <w:rPr>
          <w:b/>
          <w:bCs/>
        </w:rPr>
        <w:t xml:space="preserve"> </w:t>
      </w:r>
      <w:r w:rsidRPr="00BE2C1D">
        <w:t xml:space="preserve">Similar findings were suggested by Mackenzie (2011), who argued that TAs expressed mixed feelings about the inclusion of disabled students in mainstream schools. Mackenzie (2011) associated this ambiguity towards inclusion with medicalised, individualised understandings of disability by TAs.    </w:t>
      </w:r>
    </w:p>
    <w:p w14:paraId="3840B112" w14:textId="77777777" w:rsidR="00BE2C1D" w:rsidRPr="00BE2C1D" w:rsidRDefault="00BE2C1D" w:rsidP="00BE2C1D">
      <w:pPr>
        <w:spacing w:line="360" w:lineRule="auto"/>
        <w:jc w:val="both"/>
        <w:rPr>
          <w:rFonts w:ascii="Calibri" w:hAnsi="Calibri" w:cs="Calibri"/>
        </w:rPr>
      </w:pPr>
      <w:r w:rsidRPr="00BE2C1D">
        <w:lastRenderedPageBreak/>
        <w:t>Disabled students’ insights into TAs’ roles also demonstrated how the latter sometimes hindered rather than facilitated the inclusion of the former (Whitburn 2013). Although Giancreco and Doyle (2007: 429) noted that disabled students’ insights were ‘notably absent from research about teacher assistant supports’</w:t>
      </w:r>
      <w:r w:rsidRPr="00BE2C1D">
        <w:rPr>
          <w:vertAlign w:val="superscript"/>
        </w:rPr>
        <w:footnoteReference w:id="100"/>
      </w:r>
      <w:r w:rsidRPr="00BE2C1D">
        <w:t xml:space="preserve"> in comparison to other stakeholders’ insights, such as teachers, TAs and parents, there has still been some research looking into how disabled students discussed the support they received from TAs. Such </w:t>
      </w:r>
      <w:r w:rsidRPr="00BE2C1D">
        <w:rPr>
          <w:rFonts w:ascii="Calibri" w:hAnsi="Calibri" w:cs="Calibri"/>
        </w:rPr>
        <w:t>research has involved disabled students with learning difficulties/intellectual disabilities (Broer et al. 2005; Tews and Lupart 2008) and physical impairments (Hemmingson et al. 2003; Egilson and Traustadottir 2009; Skar and Tamm 2001) and took place in different countries</w:t>
      </w:r>
      <w:r w:rsidRPr="00BE2C1D">
        <w:rPr>
          <w:rFonts w:ascii="Calibri" w:hAnsi="Calibri" w:cs="Calibri"/>
          <w:vertAlign w:val="superscript"/>
        </w:rPr>
        <w:footnoteReference w:id="101"/>
      </w:r>
      <w:r w:rsidRPr="00BE2C1D">
        <w:rPr>
          <w:rFonts w:ascii="Calibri" w:hAnsi="Calibri" w:cs="Calibri"/>
        </w:rPr>
        <w:t xml:space="preserve">.  </w:t>
      </w:r>
      <w:r w:rsidRPr="00BE2C1D">
        <w:rPr>
          <w:rFonts w:ascii="Calibri" w:eastAsia="Times New Roman" w:hAnsi="Calibri" w:cs="Calibri"/>
          <w:lang w:eastAsia="en-GB"/>
        </w:rPr>
        <w:t xml:space="preserve">Some recurring themes in the studies exploring disabled students’ insights were the following: </w:t>
      </w:r>
    </w:p>
    <w:p w14:paraId="24D5CC1E" w14:textId="77777777" w:rsidR="00BE2C1D" w:rsidRPr="00BE2C1D" w:rsidRDefault="00BE2C1D" w:rsidP="00BE2C1D">
      <w:pPr>
        <w:numPr>
          <w:ilvl w:val="0"/>
          <w:numId w:val="3"/>
        </w:numPr>
        <w:spacing w:after="0" w:line="360" w:lineRule="auto"/>
        <w:jc w:val="both"/>
        <w:rPr>
          <w:rFonts w:ascii="Calibri" w:eastAsia="Times New Roman" w:hAnsi="Calibri" w:cs="Calibri"/>
          <w:lang w:eastAsia="en-GB"/>
        </w:rPr>
      </w:pPr>
      <w:r w:rsidRPr="00BE2C1D">
        <w:rPr>
          <w:rFonts w:ascii="Calibri" w:eastAsia="Times New Roman" w:hAnsi="Calibri" w:cs="Calibri"/>
          <w:lang w:eastAsia="en-GB"/>
        </w:rPr>
        <w:t>The stigma of support: disabled young people felt stigmatised by the presence of a TA next to them</w:t>
      </w:r>
      <w:r w:rsidRPr="00BE2C1D">
        <w:rPr>
          <w:rFonts w:ascii="Calibri" w:eastAsiaTheme="majorEastAsia" w:hAnsi="Calibri" w:cs="Calibri"/>
          <w:vertAlign w:val="superscript"/>
          <w:lang w:eastAsia="en-GB"/>
        </w:rPr>
        <w:footnoteReference w:id="102"/>
      </w:r>
      <w:r w:rsidRPr="00BE2C1D">
        <w:rPr>
          <w:rFonts w:ascii="Calibri" w:eastAsia="Times New Roman" w:hAnsi="Calibri" w:cs="Calibri"/>
          <w:lang w:eastAsia="en-GB"/>
        </w:rPr>
        <w:t>, as they felt that it stressed their ‘difference’ from their peers.</w:t>
      </w:r>
    </w:p>
    <w:p w14:paraId="390466CD" w14:textId="77777777" w:rsidR="00BE2C1D" w:rsidRPr="00BE2C1D" w:rsidRDefault="00BE2C1D" w:rsidP="00BE2C1D">
      <w:pPr>
        <w:numPr>
          <w:ilvl w:val="0"/>
          <w:numId w:val="3"/>
        </w:numPr>
        <w:spacing w:after="0" w:line="360" w:lineRule="auto"/>
        <w:jc w:val="both"/>
        <w:rPr>
          <w:rFonts w:ascii="Calibri" w:eastAsia="Times New Roman" w:hAnsi="Calibri" w:cs="Calibri"/>
          <w:lang w:eastAsia="en-GB"/>
        </w:rPr>
      </w:pPr>
      <w:r w:rsidRPr="00BE2C1D">
        <w:rPr>
          <w:rFonts w:ascii="Calibri" w:eastAsia="Times New Roman" w:hAnsi="Calibri" w:cs="Calibri"/>
          <w:lang w:eastAsia="en-GB"/>
        </w:rPr>
        <w:t xml:space="preserve">The threat to independency: disabled students reported that they wanted to do or to learn how to do things by themselves rather than having the TAs helping them with everything. </w:t>
      </w:r>
    </w:p>
    <w:p w14:paraId="78E8A062" w14:textId="77777777" w:rsidR="00BE2C1D" w:rsidRPr="00BE2C1D" w:rsidRDefault="00BE2C1D" w:rsidP="00BE2C1D">
      <w:pPr>
        <w:numPr>
          <w:ilvl w:val="0"/>
          <w:numId w:val="3"/>
        </w:numPr>
        <w:spacing w:after="0" w:line="360" w:lineRule="auto"/>
        <w:jc w:val="both"/>
        <w:rPr>
          <w:rFonts w:ascii="Calibri" w:eastAsia="Times New Roman" w:hAnsi="Calibri" w:cs="Calibri"/>
          <w:lang w:eastAsia="en-GB"/>
        </w:rPr>
      </w:pPr>
      <w:r w:rsidRPr="00BE2C1D">
        <w:rPr>
          <w:rFonts w:ascii="Calibri" w:eastAsia="Times New Roman" w:hAnsi="Calibri" w:cs="Calibri"/>
          <w:lang w:eastAsia="en-GB"/>
        </w:rPr>
        <w:t xml:space="preserve">The lack of input by disabled young people themselves regarding the support offered to them: it was quite common among disabled young people to be left out of the decision-making process concerning the support provided to them. </w:t>
      </w:r>
    </w:p>
    <w:p w14:paraId="0F5DCE9C" w14:textId="77777777" w:rsidR="00BE2C1D" w:rsidRPr="00BE2C1D" w:rsidRDefault="00BE2C1D" w:rsidP="00BE2C1D">
      <w:pPr>
        <w:spacing w:after="0" w:line="360" w:lineRule="auto"/>
        <w:jc w:val="both"/>
        <w:rPr>
          <w:rFonts w:ascii="Calibri" w:eastAsia="Times New Roman" w:hAnsi="Calibri" w:cs="Calibri"/>
          <w:lang w:eastAsia="en-GB"/>
        </w:rPr>
      </w:pPr>
      <w:r w:rsidRPr="00BE2C1D">
        <w:rPr>
          <w:rFonts w:ascii="Calibri" w:eastAsia="Times New Roman" w:hAnsi="Calibri" w:cs="Calibri"/>
          <w:lang w:eastAsia="en-GB"/>
        </w:rPr>
        <w:t xml:space="preserve">(Bowers 1997; Broer et al. 2005; Egilson and Traustadottir 2009; Hemmingson et al. 2003; Mortier et al. 2010, 2011; </w:t>
      </w:r>
      <w:r w:rsidRPr="00BE2C1D">
        <w:rPr>
          <w:rFonts w:eastAsia="Times New Roman" w:cstheme="minorHAnsi"/>
          <w:lang w:eastAsia="en-GB"/>
        </w:rPr>
        <w:t>Skär and Tamm 2001; Tews and Lupart 2008).</w:t>
      </w:r>
    </w:p>
    <w:p w14:paraId="1CCBE5A8" w14:textId="77777777" w:rsidR="00BE2C1D" w:rsidRPr="00BE2C1D" w:rsidRDefault="00BE2C1D" w:rsidP="00BE2C1D">
      <w:pPr>
        <w:spacing w:after="0" w:line="360" w:lineRule="auto"/>
        <w:jc w:val="both"/>
        <w:rPr>
          <w:rFonts w:ascii="Calibri" w:eastAsia="Times New Roman" w:hAnsi="Calibri" w:cs="Calibri"/>
          <w:lang w:eastAsia="en-GB"/>
        </w:rPr>
      </w:pPr>
      <w:r w:rsidRPr="00BE2C1D">
        <w:rPr>
          <w:rFonts w:ascii="Calibri" w:eastAsia="Times New Roman" w:hAnsi="Calibri" w:cs="Calibri"/>
          <w:lang w:eastAsia="en-GB"/>
        </w:rPr>
        <w:t xml:space="preserve">These issues were also raised by the young people in this research and are discussed in further depth in the following sections.  </w:t>
      </w:r>
    </w:p>
    <w:p w14:paraId="55360D3C" w14:textId="77777777" w:rsidR="00BE2C1D" w:rsidRPr="00BE2C1D" w:rsidRDefault="00BE2C1D" w:rsidP="00BE2C1D">
      <w:pPr>
        <w:spacing w:after="0" w:line="360" w:lineRule="auto"/>
        <w:jc w:val="both"/>
        <w:rPr>
          <w:rFonts w:ascii="Calibri" w:eastAsia="Times New Roman" w:hAnsi="Calibri" w:cs="Calibri"/>
          <w:lang w:eastAsia="en-GB"/>
        </w:rPr>
      </w:pPr>
    </w:p>
    <w:p w14:paraId="15A6A146" w14:textId="77777777" w:rsidR="00BE2C1D" w:rsidRPr="00BE2C1D" w:rsidRDefault="00BE2C1D" w:rsidP="00BE2C1D">
      <w:pPr>
        <w:spacing w:after="0" w:line="360" w:lineRule="auto"/>
        <w:jc w:val="both"/>
        <w:rPr>
          <w:rFonts w:ascii="Calibri" w:hAnsi="Calibri" w:cs="Calibri"/>
        </w:rPr>
      </w:pPr>
      <w:r w:rsidRPr="00BE2C1D">
        <w:rPr>
          <w:rFonts w:ascii="Calibri" w:hAnsi="Calibri" w:cs="Calibri"/>
        </w:rPr>
        <w:t>Moreover, some researchers discussed how disabled students perceived their TAs, introducing different typologies and the implications that each role had on disabled students. For instance, Broer et al. (2005) distinguished between four roles of TAs - mother</w:t>
      </w:r>
      <w:r w:rsidRPr="00BE2C1D">
        <w:rPr>
          <w:rFonts w:ascii="Calibri" w:hAnsi="Calibri" w:cs="Calibri"/>
          <w:vertAlign w:val="superscript"/>
        </w:rPr>
        <w:footnoteReference w:id="103"/>
      </w:r>
      <w:r w:rsidRPr="00BE2C1D">
        <w:rPr>
          <w:rFonts w:ascii="Calibri" w:hAnsi="Calibri" w:cs="Calibri"/>
        </w:rPr>
        <w:t xml:space="preserve">, friend, protector and primary teacher and Skar and Tamm (2001) discussed TAs as ‘the replaceable assistant’, the assistant as mother/father, the professional assistant, the assistant as a friend and the ideal assistant. Regarding the implications of each role, it was noted, for instance, how the ‘mother’ and ‘friend’ perception of a TA could have a </w:t>
      </w:r>
      <w:r w:rsidRPr="00BE2C1D">
        <w:rPr>
          <w:rFonts w:ascii="Calibri" w:hAnsi="Calibri" w:cs="Calibri"/>
        </w:rPr>
        <w:lastRenderedPageBreak/>
        <w:t>negative effect on the relationship between disabled students and their peers (Broer et al. 2005; Skar and Tam 2001).</w:t>
      </w:r>
    </w:p>
    <w:p w14:paraId="3485B22D" w14:textId="77777777" w:rsidR="00BE2C1D" w:rsidRPr="00BE2C1D" w:rsidRDefault="00BE2C1D" w:rsidP="00BE2C1D">
      <w:pPr>
        <w:spacing w:after="0" w:line="360" w:lineRule="auto"/>
        <w:jc w:val="both"/>
        <w:rPr>
          <w:rFonts w:ascii="Calibri" w:hAnsi="Calibri" w:cs="Calibri"/>
        </w:rPr>
      </w:pPr>
    </w:p>
    <w:p w14:paraId="08114796" w14:textId="77777777" w:rsidR="00BE2C1D" w:rsidRPr="00BE2C1D" w:rsidRDefault="00BE2C1D" w:rsidP="00BE2C1D">
      <w:pPr>
        <w:spacing w:line="360" w:lineRule="auto"/>
        <w:jc w:val="both"/>
        <w:rPr>
          <w:rFonts w:cs="Times New Roman"/>
        </w:rPr>
      </w:pPr>
      <w:r w:rsidRPr="00BE2C1D">
        <w:t xml:space="preserve">In a summary, TAs in the UK (and internationally) have been depicted as key actors/actresses in the inclusion of disabled students in mainstream schools. Nevertheless, this does not necessarily seem to be the case in practice, considering the studies that examined TAs’ attitudes towards inclusions and disabled students’ lived experiences of support. Hence, the stories that follow explored how the young people experienced and felt about their TAs’ support, addressing some of the tensions discussed above and contributing to this body of literature.  </w:t>
      </w:r>
    </w:p>
    <w:p w14:paraId="19F3F3CD" w14:textId="77777777" w:rsidR="00BE2C1D" w:rsidRPr="00BE2C1D" w:rsidRDefault="00BE2C1D" w:rsidP="00BE2C1D">
      <w:pPr>
        <w:keepNext/>
        <w:keepLines/>
        <w:spacing w:before="40" w:after="0" w:line="360" w:lineRule="auto"/>
        <w:outlineLvl w:val="1"/>
        <w:rPr>
          <w:rFonts w:asciiTheme="majorHAnsi" w:eastAsiaTheme="majorEastAsia" w:hAnsiTheme="majorHAnsi" w:cstheme="majorBidi"/>
          <w:color w:val="2F5496" w:themeColor="accent1" w:themeShade="BF"/>
          <w:sz w:val="26"/>
          <w:szCs w:val="26"/>
          <w:lang w:eastAsia="zh-CN"/>
        </w:rPr>
      </w:pPr>
      <w:bookmarkStart w:id="122" w:name="_Toc39585254"/>
      <w:bookmarkStart w:id="123" w:name="_Hlk37960403"/>
      <w:r w:rsidRPr="00BE2C1D">
        <w:rPr>
          <w:rFonts w:asciiTheme="majorHAnsi" w:eastAsiaTheme="majorEastAsia" w:hAnsiTheme="majorHAnsi" w:cstheme="majorBidi"/>
          <w:color w:val="2F5496" w:themeColor="accent1" w:themeShade="BF"/>
          <w:sz w:val="26"/>
          <w:szCs w:val="26"/>
          <w:lang w:eastAsia="zh-CN"/>
        </w:rPr>
        <w:t>Support As A Double-Edged Sword</w:t>
      </w:r>
      <w:bookmarkEnd w:id="122"/>
    </w:p>
    <w:bookmarkEnd w:id="123"/>
    <w:p w14:paraId="3EDCBCB1" w14:textId="77777777" w:rsidR="00BE2C1D" w:rsidRPr="00BE2C1D" w:rsidRDefault="00BE2C1D" w:rsidP="00BE2C1D">
      <w:pPr>
        <w:spacing w:line="360" w:lineRule="auto"/>
        <w:jc w:val="both"/>
        <w:rPr>
          <w:rFonts w:cstheme="minorHAnsi"/>
        </w:rPr>
      </w:pPr>
      <w:r w:rsidRPr="00BE2C1D">
        <w:t xml:space="preserve">This section explores the ‘tensions’ experienced by the young people in relation to their TAs’ support, looking at how they welcomed certain forms of support and how they were dismissive of others. These tensions were the result of the complicated relationship between TAs’ support and ‘barriers to doing’ and ‘barriers to being’ (Thomas 1997, 2004). This is what Mortier et al. (2011: 2017) referred to as the ‘double-edgedness of support’. Drawing on Thomas’ social relational model and the distinction between the two forms of barriers, the authors argued that </w:t>
      </w:r>
      <w:r w:rsidRPr="00BE2C1D">
        <w:rPr>
          <w:rFonts w:cstheme="minorHAnsi"/>
        </w:rPr>
        <w:t xml:space="preserve">while TAs might be effective in removing barriers to doing, their support can act simultaneously as a barrier to being. Disabled students could experience TAs’ support as a barrier to being, when it (support) affected their sense of freedom and independence, when it was experienced as stigmatising and influenced the relationship with others and when it was not approved or seen as desirable by the students themselves (Mortier et al. 2011). Similarly, Whitburn (2013: 149) distinguished between TAs’ ‘light support’, which facilitated the disabled young people’s inclusion e.g. by making teaching material accessible, and ‘heavy support’, which inhibited their inclusion e.g. by being perceived as dependent on the TAs’ support. I start with looking into how TAs removed barriers to doing, a form of support that was widely welcomed by the young people. </w:t>
      </w:r>
    </w:p>
    <w:p w14:paraId="353F9523" w14:textId="77777777" w:rsidR="00BE2C1D" w:rsidRPr="00BE2C1D" w:rsidRDefault="00BE2C1D" w:rsidP="00BE2C1D">
      <w:pPr>
        <w:keepNext/>
        <w:keepLines/>
        <w:spacing w:before="40" w:after="0" w:line="360" w:lineRule="auto"/>
        <w:outlineLvl w:val="2"/>
        <w:rPr>
          <w:rFonts w:asciiTheme="majorHAnsi" w:eastAsiaTheme="majorEastAsia" w:hAnsiTheme="majorHAnsi" w:cstheme="majorBidi"/>
          <w:color w:val="1F3763" w:themeColor="accent1" w:themeShade="7F"/>
          <w:sz w:val="24"/>
          <w:szCs w:val="24"/>
          <w:lang w:eastAsia="zh-CN"/>
        </w:rPr>
      </w:pPr>
      <w:bookmarkStart w:id="124" w:name="_Toc39585255"/>
      <w:r w:rsidRPr="00BE2C1D">
        <w:rPr>
          <w:rFonts w:asciiTheme="majorHAnsi" w:eastAsiaTheme="majorEastAsia" w:hAnsiTheme="majorHAnsi" w:cstheme="majorBidi"/>
          <w:color w:val="1F3763" w:themeColor="accent1" w:themeShade="7F"/>
          <w:sz w:val="24"/>
          <w:szCs w:val="24"/>
          <w:lang w:eastAsia="zh-CN"/>
        </w:rPr>
        <w:t>Barriers to Doing</w:t>
      </w:r>
      <w:bookmarkEnd w:id="124"/>
      <w:r w:rsidRPr="00BE2C1D">
        <w:rPr>
          <w:rFonts w:asciiTheme="majorHAnsi" w:eastAsiaTheme="majorEastAsia" w:hAnsiTheme="majorHAnsi" w:cstheme="majorBidi"/>
          <w:color w:val="1F3763" w:themeColor="accent1" w:themeShade="7F"/>
          <w:sz w:val="24"/>
          <w:szCs w:val="24"/>
          <w:lang w:eastAsia="zh-CN"/>
        </w:rPr>
        <w:t xml:space="preserve"> </w:t>
      </w:r>
    </w:p>
    <w:p w14:paraId="63493A74" w14:textId="77777777" w:rsidR="00BE2C1D" w:rsidRPr="00BE2C1D" w:rsidRDefault="00BE2C1D" w:rsidP="00BE2C1D">
      <w:pPr>
        <w:spacing w:line="360" w:lineRule="auto"/>
        <w:jc w:val="both"/>
        <w:rPr>
          <w:rFonts w:cstheme="minorHAnsi"/>
          <w:color w:val="FF0000"/>
        </w:rPr>
      </w:pPr>
      <w:r w:rsidRPr="00BE2C1D">
        <w:rPr>
          <w:rFonts w:cstheme="minorHAnsi"/>
        </w:rPr>
        <w:t xml:space="preserve">As discussed in the previous section, while TAs have been considered as key figures in the facilitation of the inclusion of disabled students in mainstream schools (Webster et al. 2010), there is still ambiguity over what their roles are (Mansaray 2006; Webster et al. 2010), with TAs ending up providing various forms of support to students. This section sheds light on the range of support the young people received from the TAs, focusing on how TAs removed barriers to doing caused by either disabling structures or impairment effects. </w:t>
      </w:r>
      <w:r w:rsidRPr="00BE2C1D">
        <w:rPr>
          <w:rFonts w:cstheme="minorHAnsi"/>
          <w:color w:val="FF0000"/>
        </w:rPr>
        <w:t xml:space="preserve"> </w:t>
      </w:r>
    </w:p>
    <w:p w14:paraId="0B544CB6" w14:textId="77777777" w:rsidR="00BE2C1D" w:rsidRPr="00BE2C1D" w:rsidRDefault="00BE2C1D" w:rsidP="00BE2C1D">
      <w:pPr>
        <w:spacing w:line="360" w:lineRule="auto"/>
        <w:jc w:val="both"/>
        <w:rPr>
          <w:rFonts w:cstheme="minorHAnsi"/>
        </w:rPr>
      </w:pPr>
      <w:r w:rsidRPr="00BE2C1D">
        <w:rPr>
          <w:rFonts w:cstheme="minorHAnsi"/>
        </w:rPr>
        <w:lastRenderedPageBreak/>
        <w:t xml:space="preserve">It is worth clarifying here that not all the young people that participated in the research had a TA during their secondary education. Out of the nine teenagers, only one (Harry) stated that he had never received any kind of support from a TA. In the case of adults, four (one female participant: Rachael and three male participants: Nick, Michael and Bill) of them asserted that they had no TAs during their secondary schooling and another female participant (Aphrodite) had no reference to any TAs in her weblog. So, the stories shared in this chapter come from the eight teenagers (two male and six female participants) and the seven adults (four female and three male participants). Furthermore, as illustrated in the following table, some young people had a one-to-one TA, while others had a ‘shared’ TA, who was responsible for more than one student. This distinction is significant, as the proximity of TAs from students can have different effects on them (Giangreco et al. 1997; Hemmingson et al. 2003), such as feeling more stigmatised in the case of one-to-one assistants (Skar and Tamm 2001; Giancreco et al. 2001). </w:t>
      </w:r>
    </w:p>
    <w:p w14:paraId="3C0F8A0E" w14:textId="68362D91" w:rsidR="00BE2C1D" w:rsidRPr="00BE2C1D" w:rsidRDefault="00CB0FF8" w:rsidP="00BE2C1D">
      <w:pPr>
        <w:spacing w:line="360" w:lineRule="auto"/>
        <w:jc w:val="both"/>
        <w:rPr>
          <w:rFonts w:cstheme="minorHAnsi"/>
          <w:b/>
          <w:bCs/>
          <w:sz w:val="24"/>
          <w:szCs w:val="24"/>
        </w:rPr>
      </w:pPr>
      <w:r>
        <w:rPr>
          <w:rFonts w:cstheme="minorHAnsi"/>
          <w:b/>
          <w:bCs/>
          <w:sz w:val="24"/>
          <w:szCs w:val="24"/>
        </w:rPr>
        <w:t xml:space="preserve">Table 5: </w:t>
      </w:r>
      <w:r w:rsidR="00BE2C1D" w:rsidRPr="00BE2C1D">
        <w:rPr>
          <w:rFonts w:cstheme="minorHAnsi"/>
          <w:b/>
          <w:bCs/>
          <w:sz w:val="24"/>
          <w:szCs w:val="24"/>
        </w:rPr>
        <w:t>Participants with T</w:t>
      </w:r>
      <w:r>
        <w:rPr>
          <w:rFonts w:cstheme="minorHAnsi"/>
          <w:b/>
          <w:bCs/>
          <w:sz w:val="24"/>
          <w:szCs w:val="24"/>
        </w:rPr>
        <w:t xml:space="preserve">eaching </w:t>
      </w:r>
      <w:r w:rsidR="00BE2C1D" w:rsidRPr="00BE2C1D">
        <w:rPr>
          <w:rFonts w:cstheme="minorHAnsi"/>
          <w:b/>
          <w:bCs/>
          <w:sz w:val="24"/>
          <w:szCs w:val="24"/>
        </w:rPr>
        <w:t>As</w:t>
      </w:r>
      <w:r>
        <w:rPr>
          <w:rFonts w:cstheme="minorHAnsi"/>
          <w:b/>
          <w:bCs/>
          <w:sz w:val="24"/>
          <w:szCs w:val="24"/>
        </w:rPr>
        <w:t>sistants</w:t>
      </w:r>
    </w:p>
    <w:tbl>
      <w:tblPr>
        <w:tblW w:w="0" w:type="auto"/>
        <w:tblLook w:val="04A0" w:firstRow="1" w:lastRow="0" w:firstColumn="1" w:lastColumn="0" w:noHBand="0" w:noVBand="1"/>
      </w:tblPr>
      <w:tblGrid>
        <w:gridCol w:w="2122"/>
        <w:gridCol w:w="1484"/>
        <w:gridCol w:w="1803"/>
      </w:tblGrid>
      <w:tr w:rsidR="00BE2C1D" w:rsidRPr="00BE2C1D" w14:paraId="307C08F8" w14:textId="77777777" w:rsidTr="00BE2C1D">
        <w:trPr>
          <w:trHeight w:val="1110"/>
        </w:trPr>
        <w:tc>
          <w:tcPr>
            <w:tcW w:w="2122" w:type="dxa"/>
          </w:tcPr>
          <w:p w14:paraId="3B300DCF" w14:textId="77777777" w:rsidR="00BE2C1D" w:rsidRPr="00BE2C1D" w:rsidRDefault="00BE2C1D" w:rsidP="00BE2C1D">
            <w:pPr>
              <w:spacing w:line="360" w:lineRule="auto"/>
              <w:jc w:val="both"/>
              <w:rPr>
                <w:rFonts w:cstheme="minorHAnsi"/>
              </w:rPr>
            </w:pPr>
            <w:r w:rsidRPr="00BE2C1D">
              <w:rPr>
                <w:rFonts w:cstheme="minorHAnsi"/>
              </w:rPr>
              <w:t>Name of Participant</w:t>
            </w:r>
          </w:p>
        </w:tc>
        <w:tc>
          <w:tcPr>
            <w:tcW w:w="1484" w:type="dxa"/>
          </w:tcPr>
          <w:p w14:paraId="3D8E860E" w14:textId="77777777" w:rsidR="00BE2C1D" w:rsidRPr="00BE2C1D" w:rsidRDefault="00BE2C1D" w:rsidP="00BE2C1D">
            <w:pPr>
              <w:spacing w:line="360" w:lineRule="auto"/>
              <w:jc w:val="both"/>
              <w:rPr>
                <w:rFonts w:cstheme="minorHAnsi"/>
              </w:rPr>
            </w:pPr>
            <w:r w:rsidRPr="00BE2C1D">
              <w:rPr>
                <w:rFonts w:cstheme="minorHAnsi"/>
              </w:rPr>
              <w:t>Age</w:t>
            </w:r>
          </w:p>
        </w:tc>
        <w:tc>
          <w:tcPr>
            <w:tcW w:w="1803" w:type="dxa"/>
          </w:tcPr>
          <w:p w14:paraId="1FB9A858" w14:textId="77777777" w:rsidR="00BE2C1D" w:rsidRPr="00BE2C1D" w:rsidRDefault="00BE2C1D" w:rsidP="00BE2C1D">
            <w:pPr>
              <w:spacing w:line="360" w:lineRule="auto"/>
              <w:jc w:val="both"/>
              <w:rPr>
                <w:rFonts w:cstheme="minorHAnsi"/>
              </w:rPr>
            </w:pPr>
            <w:r w:rsidRPr="00BE2C1D">
              <w:rPr>
                <w:rFonts w:cstheme="minorHAnsi"/>
              </w:rPr>
              <w:t>Type of Assistant</w:t>
            </w:r>
          </w:p>
        </w:tc>
      </w:tr>
      <w:tr w:rsidR="00BE2C1D" w:rsidRPr="00BE2C1D" w14:paraId="1C05DC28" w14:textId="77777777" w:rsidTr="00BE2C1D">
        <w:tc>
          <w:tcPr>
            <w:tcW w:w="2122" w:type="dxa"/>
          </w:tcPr>
          <w:p w14:paraId="2170D322" w14:textId="77777777" w:rsidR="00BE2C1D" w:rsidRPr="00BE2C1D" w:rsidRDefault="00BE2C1D" w:rsidP="00BE2C1D">
            <w:pPr>
              <w:spacing w:line="360" w:lineRule="auto"/>
              <w:jc w:val="both"/>
              <w:rPr>
                <w:rFonts w:cstheme="minorHAnsi"/>
              </w:rPr>
            </w:pPr>
            <w:r w:rsidRPr="00BE2C1D">
              <w:rPr>
                <w:rFonts w:cstheme="minorHAnsi"/>
              </w:rPr>
              <w:t>Mary</w:t>
            </w:r>
          </w:p>
        </w:tc>
        <w:tc>
          <w:tcPr>
            <w:tcW w:w="1484" w:type="dxa"/>
          </w:tcPr>
          <w:p w14:paraId="00608C4F" w14:textId="77777777" w:rsidR="00BE2C1D" w:rsidRPr="00BE2C1D" w:rsidRDefault="00BE2C1D" w:rsidP="00BE2C1D">
            <w:pPr>
              <w:spacing w:line="360" w:lineRule="auto"/>
              <w:jc w:val="both"/>
              <w:rPr>
                <w:rFonts w:cstheme="minorHAnsi"/>
              </w:rPr>
            </w:pPr>
            <w:r w:rsidRPr="00BE2C1D">
              <w:rPr>
                <w:rFonts w:cstheme="minorHAnsi"/>
              </w:rPr>
              <w:t>17</w:t>
            </w:r>
          </w:p>
        </w:tc>
        <w:tc>
          <w:tcPr>
            <w:tcW w:w="1803" w:type="dxa"/>
          </w:tcPr>
          <w:p w14:paraId="12F354B8" w14:textId="77777777" w:rsidR="00BE2C1D" w:rsidRPr="00BE2C1D" w:rsidRDefault="00BE2C1D" w:rsidP="00BE2C1D">
            <w:pPr>
              <w:spacing w:line="360" w:lineRule="auto"/>
              <w:jc w:val="both"/>
              <w:rPr>
                <w:rFonts w:cstheme="minorHAnsi"/>
              </w:rPr>
            </w:pPr>
            <w:r w:rsidRPr="00BE2C1D">
              <w:rPr>
                <w:rFonts w:cstheme="minorHAnsi"/>
              </w:rPr>
              <w:t>Classroom assistant</w:t>
            </w:r>
          </w:p>
        </w:tc>
      </w:tr>
      <w:tr w:rsidR="00BE2C1D" w:rsidRPr="00BE2C1D" w14:paraId="163860D2" w14:textId="77777777" w:rsidTr="00BE2C1D">
        <w:tc>
          <w:tcPr>
            <w:tcW w:w="2122" w:type="dxa"/>
          </w:tcPr>
          <w:p w14:paraId="27DBAD0D" w14:textId="77777777" w:rsidR="00BE2C1D" w:rsidRPr="00BE2C1D" w:rsidRDefault="00BE2C1D" w:rsidP="00BE2C1D">
            <w:pPr>
              <w:spacing w:line="360" w:lineRule="auto"/>
              <w:jc w:val="both"/>
              <w:rPr>
                <w:rFonts w:cstheme="minorHAnsi"/>
              </w:rPr>
            </w:pPr>
            <w:r w:rsidRPr="00BE2C1D">
              <w:rPr>
                <w:rFonts w:cstheme="minorHAnsi"/>
              </w:rPr>
              <w:t>John</w:t>
            </w:r>
          </w:p>
        </w:tc>
        <w:tc>
          <w:tcPr>
            <w:tcW w:w="1484" w:type="dxa"/>
          </w:tcPr>
          <w:p w14:paraId="318A9275" w14:textId="77777777" w:rsidR="00BE2C1D" w:rsidRPr="00BE2C1D" w:rsidRDefault="00BE2C1D" w:rsidP="00BE2C1D">
            <w:pPr>
              <w:spacing w:line="360" w:lineRule="auto"/>
              <w:jc w:val="both"/>
              <w:rPr>
                <w:rFonts w:cstheme="minorHAnsi"/>
              </w:rPr>
            </w:pPr>
            <w:r w:rsidRPr="00BE2C1D">
              <w:rPr>
                <w:rFonts w:cstheme="minorHAnsi"/>
              </w:rPr>
              <w:t>16</w:t>
            </w:r>
          </w:p>
        </w:tc>
        <w:tc>
          <w:tcPr>
            <w:tcW w:w="1803" w:type="dxa"/>
          </w:tcPr>
          <w:p w14:paraId="2C2157F7" w14:textId="77777777" w:rsidR="00BE2C1D" w:rsidRPr="00BE2C1D" w:rsidRDefault="00BE2C1D" w:rsidP="00BE2C1D">
            <w:pPr>
              <w:spacing w:line="360" w:lineRule="auto"/>
              <w:jc w:val="both"/>
              <w:rPr>
                <w:rFonts w:cstheme="minorHAnsi"/>
              </w:rPr>
            </w:pPr>
            <w:r w:rsidRPr="00BE2C1D">
              <w:rPr>
                <w:rFonts w:cstheme="minorHAnsi"/>
              </w:rPr>
              <w:t xml:space="preserve">Classroom Assistant </w:t>
            </w:r>
          </w:p>
        </w:tc>
      </w:tr>
      <w:tr w:rsidR="00BE2C1D" w:rsidRPr="00BE2C1D" w14:paraId="5306CBEC" w14:textId="77777777" w:rsidTr="00BE2C1D">
        <w:tc>
          <w:tcPr>
            <w:tcW w:w="2122" w:type="dxa"/>
          </w:tcPr>
          <w:p w14:paraId="0BE713B6" w14:textId="77777777" w:rsidR="00BE2C1D" w:rsidRPr="00BE2C1D" w:rsidRDefault="00BE2C1D" w:rsidP="00BE2C1D">
            <w:pPr>
              <w:spacing w:line="360" w:lineRule="auto"/>
              <w:jc w:val="both"/>
              <w:rPr>
                <w:rFonts w:cstheme="minorHAnsi"/>
              </w:rPr>
            </w:pPr>
            <w:r w:rsidRPr="00BE2C1D">
              <w:rPr>
                <w:rFonts w:cstheme="minorHAnsi"/>
              </w:rPr>
              <w:t>Louise</w:t>
            </w:r>
          </w:p>
        </w:tc>
        <w:tc>
          <w:tcPr>
            <w:tcW w:w="1484" w:type="dxa"/>
          </w:tcPr>
          <w:p w14:paraId="3AEBE22B" w14:textId="77777777" w:rsidR="00BE2C1D" w:rsidRPr="00BE2C1D" w:rsidRDefault="00BE2C1D" w:rsidP="00BE2C1D">
            <w:pPr>
              <w:spacing w:line="360" w:lineRule="auto"/>
              <w:jc w:val="both"/>
              <w:rPr>
                <w:rFonts w:cstheme="minorHAnsi"/>
              </w:rPr>
            </w:pPr>
            <w:r w:rsidRPr="00BE2C1D">
              <w:rPr>
                <w:rFonts w:cstheme="minorHAnsi"/>
              </w:rPr>
              <w:t>16</w:t>
            </w:r>
          </w:p>
        </w:tc>
        <w:tc>
          <w:tcPr>
            <w:tcW w:w="1803" w:type="dxa"/>
          </w:tcPr>
          <w:p w14:paraId="0650562E" w14:textId="77777777" w:rsidR="00BE2C1D" w:rsidRPr="00BE2C1D" w:rsidRDefault="00BE2C1D" w:rsidP="00BE2C1D">
            <w:pPr>
              <w:spacing w:line="360" w:lineRule="auto"/>
              <w:jc w:val="both"/>
              <w:rPr>
                <w:rFonts w:cstheme="minorHAnsi"/>
              </w:rPr>
            </w:pPr>
            <w:r w:rsidRPr="00BE2C1D">
              <w:rPr>
                <w:rFonts w:cstheme="minorHAnsi"/>
              </w:rPr>
              <w:t>Classroom Assistant</w:t>
            </w:r>
          </w:p>
        </w:tc>
      </w:tr>
      <w:tr w:rsidR="00BE2C1D" w:rsidRPr="00BE2C1D" w14:paraId="7B033A54" w14:textId="77777777" w:rsidTr="00BE2C1D">
        <w:tc>
          <w:tcPr>
            <w:tcW w:w="2122" w:type="dxa"/>
          </w:tcPr>
          <w:p w14:paraId="46C9F2D4" w14:textId="77777777" w:rsidR="00BE2C1D" w:rsidRPr="00BE2C1D" w:rsidRDefault="00BE2C1D" w:rsidP="00BE2C1D">
            <w:pPr>
              <w:spacing w:line="360" w:lineRule="auto"/>
              <w:jc w:val="both"/>
              <w:rPr>
                <w:rFonts w:cstheme="minorHAnsi"/>
              </w:rPr>
            </w:pPr>
            <w:r w:rsidRPr="00BE2C1D">
              <w:rPr>
                <w:rFonts w:cstheme="minorHAnsi"/>
              </w:rPr>
              <w:t>Rania</w:t>
            </w:r>
          </w:p>
        </w:tc>
        <w:tc>
          <w:tcPr>
            <w:tcW w:w="1484" w:type="dxa"/>
          </w:tcPr>
          <w:p w14:paraId="4C757D8A" w14:textId="77777777" w:rsidR="00BE2C1D" w:rsidRPr="00BE2C1D" w:rsidRDefault="00BE2C1D" w:rsidP="00BE2C1D">
            <w:pPr>
              <w:spacing w:line="360" w:lineRule="auto"/>
              <w:jc w:val="both"/>
              <w:rPr>
                <w:rFonts w:cstheme="minorHAnsi"/>
              </w:rPr>
            </w:pPr>
            <w:r w:rsidRPr="00BE2C1D">
              <w:rPr>
                <w:rFonts w:cstheme="minorHAnsi"/>
              </w:rPr>
              <w:t>17</w:t>
            </w:r>
          </w:p>
        </w:tc>
        <w:tc>
          <w:tcPr>
            <w:tcW w:w="1803" w:type="dxa"/>
          </w:tcPr>
          <w:p w14:paraId="525DFEC2" w14:textId="77777777" w:rsidR="00BE2C1D" w:rsidRPr="00BE2C1D" w:rsidRDefault="00BE2C1D" w:rsidP="00BE2C1D">
            <w:pPr>
              <w:spacing w:line="360" w:lineRule="auto"/>
              <w:jc w:val="both"/>
              <w:rPr>
                <w:rFonts w:cstheme="minorHAnsi"/>
              </w:rPr>
            </w:pPr>
            <w:r w:rsidRPr="00BE2C1D">
              <w:rPr>
                <w:rFonts w:cstheme="minorHAnsi"/>
              </w:rPr>
              <w:t>Classroom Assistant</w:t>
            </w:r>
          </w:p>
        </w:tc>
      </w:tr>
      <w:tr w:rsidR="00BE2C1D" w:rsidRPr="00BE2C1D" w14:paraId="154F6834" w14:textId="77777777" w:rsidTr="00BE2C1D">
        <w:tc>
          <w:tcPr>
            <w:tcW w:w="2122" w:type="dxa"/>
          </w:tcPr>
          <w:p w14:paraId="45E1B142" w14:textId="77777777" w:rsidR="00BE2C1D" w:rsidRPr="00BE2C1D" w:rsidRDefault="00BE2C1D" w:rsidP="00BE2C1D">
            <w:pPr>
              <w:spacing w:line="360" w:lineRule="auto"/>
              <w:jc w:val="both"/>
              <w:rPr>
                <w:rFonts w:cstheme="minorHAnsi"/>
              </w:rPr>
            </w:pPr>
            <w:r w:rsidRPr="00BE2C1D">
              <w:rPr>
                <w:rFonts w:cstheme="minorHAnsi"/>
              </w:rPr>
              <w:t>Lynn</w:t>
            </w:r>
          </w:p>
        </w:tc>
        <w:tc>
          <w:tcPr>
            <w:tcW w:w="1484" w:type="dxa"/>
          </w:tcPr>
          <w:p w14:paraId="7E5A1DD8" w14:textId="77777777" w:rsidR="00BE2C1D" w:rsidRPr="00BE2C1D" w:rsidRDefault="00BE2C1D" w:rsidP="00BE2C1D">
            <w:pPr>
              <w:spacing w:line="360" w:lineRule="auto"/>
              <w:jc w:val="both"/>
              <w:rPr>
                <w:rFonts w:cstheme="minorHAnsi"/>
              </w:rPr>
            </w:pPr>
            <w:r w:rsidRPr="00BE2C1D">
              <w:rPr>
                <w:rFonts w:cstheme="minorHAnsi"/>
              </w:rPr>
              <w:t>12</w:t>
            </w:r>
          </w:p>
        </w:tc>
        <w:tc>
          <w:tcPr>
            <w:tcW w:w="1803" w:type="dxa"/>
          </w:tcPr>
          <w:p w14:paraId="6237E4BF" w14:textId="77777777" w:rsidR="00BE2C1D" w:rsidRPr="00BE2C1D" w:rsidRDefault="00BE2C1D" w:rsidP="00BE2C1D">
            <w:pPr>
              <w:spacing w:line="360" w:lineRule="auto"/>
              <w:jc w:val="both"/>
              <w:rPr>
                <w:rFonts w:cstheme="minorHAnsi"/>
              </w:rPr>
            </w:pPr>
            <w:r w:rsidRPr="00BE2C1D">
              <w:rPr>
                <w:rFonts w:cstheme="minorHAnsi"/>
              </w:rPr>
              <w:t>Classroom Assistant</w:t>
            </w:r>
          </w:p>
        </w:tc>
      </w:tr>
      <w:tr w:rsidR="00BE2C1D" w:rsidRPr="00BE2C1D" w14:paraId="74938DE3" w14:textId="77777777" w:rsidTr="00BE2C1D">
        <w:tc>
          <w:tcPr>
            <w:tcW w:w="2122" w:type="dxa"/>
          </w:tcPr>
          <w:p w14:paraId="225D4D30" w14:textId="77777777" w:rsidR="00BE2C1D" w:rsidRPr="00BE2C1D" w:rsidRDefault="00BE2C1D" w:rsidP="00BE2C1D">
            <w:pPr>
              <w:spacing w:line="360" w:lineRule="auto"/>
              <w:jc w:val="both"/>
              <w:rPr>
                <w:rFonts w:cstheme="minorHAnsi"/>
              </w:rPr>
            </w:pPr>
            <w:r w:rsidRPr="00BE2C1D">
              <w:rPr>
                <w:rFonts w:cstheme="minorHAnsi"/>
              </w:rPr>
              <w:t>George</w:t>
            </w:r>
          </w:p>
        </w:tc>
        <w:tc>
          <w:tcPr>
            <w:tcW w:w="1484" w:type="dxa"/>
          </w:tcPr>
          <w:p w14:paraId="7066EA0D" w14:textId="77777777" w:rsidR="00BE2C1D" w:rsidRPr="00BE2C1D" w:rsidRDefault="00BE2C1D" w:rsidP="00BE2C1D">
            <w:pPr>
              <w:spacing w:line="360" w:lineRule="auto"/>
              <w:jc w:val="both"/>
              <w:rPr>
                <w:rFonts w:cstheme="minorHAnsi"/>
              </w:rPr>
            </w:pPr>
            <w:r w:rsidRPr="00BE2C1D">
              <w:rPr>
                <w:rFonts w:cstheme="minorHAnsi"/>
              </w:rPr>
              <w:t>12</w:t>
            </w:r>
          </w:p>
        </w:tc>
        <w:tc>
          <w:tcPr>
            <w:tcW w:w="1803" w:type="dxa"/>
          </w:tcPr>
          <w:p w14:paraId="372DD6BB" w14:textId="77777777" w:rsidR="00BE2C1D" w:rsidRPr="00BE2C1D" w:rsidRDefault="00BE2C1D" w:rsidP="00BE2C1D">
            <w:pPr>
              <w:spacing w:line="360" w:lineRule="auto"/>
              <w:jc w:val="both"/>
              <w:rPr>
                <w:rFonts w:cstheme="minorHAnsi"/>
              </w:rPr>
            </w:pPr>
            <w:r w:rsidRPr="00BE2C1D">
              <w:rPr>
                <w:rFonts w:cstheme="minorHAnsi"/>
              </w:rPr>
              <w:t>Classroom assistant</w:t>
            </w:r>
          </w:p>
        </w:tc>
      </w:tr>
      <w:tr w:rsidR="00BE2C1D" w:rsidRPr="00BE2C1D" w14:paraId="3C6D40E7" w14:textId="77777777" w:rsidTr="00BE2C1D">
        <w:tc>
          <w:tcPr>
            <w:tcW w:w="2122" w:type="dxa"/>
          </w:tcPr>
          <w:p w14:paraId="5BB72204" w14:textId="77777777" w:rsidR="00BE2C1D" w:rsidRPr="00BE2C1D" w:rsidRDefault="00BE2C1D" w:rsidP="00BE2C1D">
            <w:pPr>
              <w:spacing w:line="360" w:lineRule="auto"/>
              <w:jc w:val="both"/>
              <w:rPr>
                <w:rFonts w:cstheme="minorHAnsi"/>
              </w:rPr>
            </w:pPr>
            <w:r w:rsidRPr="00BE2C1D">
              <w:rPr>
                <w:rFonts w:cstheme="minorHAnsi"/>
              </w:rPr>
              <w:t>Angela</w:t>
            </w:r>
          </w:p>
        </w:tc>
        <w:tc>
          <w:tcPr>
            <w:tcW w:w="1484" w:type="dxa"/>
          </w:tcPr>
          <w:p w14:paraId="1BA0EAAB" w14:textId="77777777" w:rsidR="00BE2C1D" w:rsidRPr="00BE2C1D" w:rsidRDefault="00BE2C1D" w:rsidP="00BE2C1D">
            <w:pPr>
              <w:spacing w:line="360" w:lineRule="auto"/>
              <w:jc w:val="both"/>
              <w:rPr>
                <w:rFonts w:cstheme="minorHAnsi"/>
              </w:rPr>
            </w:pPr>
            <w:r w:rsidRPr="00BE2C1D">
              <w:rPr>
                <w:rFonts w:cstheme="minorHAnsi"/>
              </w:rPr>
              <w:t>13</w:t>
            </w:r>
          </w:p>
        </w:tc>
        <w:tc>
          <w:tcPr>
            <w:tcW w:w="1803" w:type="dxa"/>
          </w:tcPr>
          <w:p w14:paraId="0757553A" w14:textId="77777777" w:rsidR="00BE2C1D" w:rsidRPr="00BE2C1D" w:rsidRDefault="00BE2C1D" w:rsidP="00BE2C1D">
            <w:pPr>
              <w:spacing w:line="360" w:lineRule="auto"/>
              <w:jc w:val="both"/>
              <w:rPr>
                <w:rFonts w:cstheme="minorHAnsi"/>
              </w:rPr>
            </w:pPr>
            <w:r w:rsidRPr="00BE2C1D">
              <w:rPr>
                <w:rFonts w:cstheme="minorHAnsi"/>
              </w:rPr>
              <w:t>Classroom assistant</w:t>
            </w:r>
          </w:p>
        </w:tc>
      </w:tr>
      <w:tr w:rsidR="00BE2C1D" w:rsidRPr="00BE2C1D" w14:paraId="6911411D" w14:textId="77777777" w:rsidTr="00BE2C1D">
        <w:tc>
          <w:tcPr>
            <w:tcW w:w="2122" w:type="dxa"/>
          </w:tcPr>
          <w:p w14:paraId="465FA58D" w14:textId="77777777" w:rsidR="00BE2C1D" w:rsidRPr="00BE2C1D" w:rsidRDefault="00BE2C1D" w:rsidP="00BE2C1D">
            <w:pPr>
              <w:spacing w:line="360" w:lineRule="auto"/>
              <w:jc w:val="both"/>
              <w:rPr>
                <w:rFonts w:cstheme="minorHAnsi"/>
              </w:rPr>
            </w:pPr>
            <w:r w:rsidRPr="00BE2C1D">
              <w:rPr>
                <w:rFonts w:cstheme="minorHAnsi"/>
              </w:rPr>
              <w:lastRenderedPageBreak/>
              <w:t>Christine</w:t>
            </w:r>
          </w:p>
        </w:tc>
        <w:tc>
          <w:tcPr>
            <w:tcW w:w="1484" w:type="dxa"/>
          </w:tcPr>
          <w:p w14:paraId="5E5EDE93" w14:textId="77777777" w:rsidR="00BE2C1D" w:rsidRPr="00BE2C1D" w:rsidRDefault="00BE2C1D" w:rsidP="00BE2C1D">
            <w:pPr>
              <w:spacing w:line="360" w:lineRule="auto"/>
              <w:jc w:val="both"/>
              <w:rPr>
                <w:rFonts w:cstheme="minorHAnsi"/>
              </w:rPr>
            </w:pPr>
            <w:r w:rsidRPr="00BE2C1D">
              <w:rPr>
                <w:rFonts w:cstheme="minorHAnsi"/>
              </w:rPr>
              <w:t>13</w:t>
            </w:r>
          </w:p>
        </w:tc>
        <w:tc>
          <w:tcPr>
            <w:tcW w:w="1803" w:type="dxa"/>
          </w:tcPr>
          <w:p w14:paraId="788D8AC3" w14:textId="77777777" w:rsidR="00BE2C1D" w:rsidRPr="00BE2C1D" w:rsidRDefault="00BE2C1D" w:rsidP="00BE2C1D">
            <w:pPr>
              <w:spacing w:line="360" w:lineRule="auto"/>
              <w:jc w:val="both"/>
              <w:rPr>
                <w:rFonts w:cstheme="minorHAnsi"/>
              </w:rPr>
            </w:pPr>
            <w:r w:rsidRPr="00BE2C1D">
              <w:rPr>
                <w:rFonts w:cstheme="minorHAnsi"/>
              </w:rPr>
              <w:t>Classroom assistant</w:t>
            </w:r>
          </w:p>
        </w:tc>
      </w:tr>
      <w:tr w:rsidR="00BE2C1D" w:rsidRPr="00BE2C1D" w14:paraId="5FEA4A35" w14:textId="77777777" w:rsidTr="00BE2C1D">
        <w:tc>
          <w:tcPr>
            <w:tcW w:w="2122" w:type="dxa"/>
          </w:tcPr>
          <w:p w14:paraId="55FBF37D" w14:textId="77777777" w:rsidR="00BE2C1D" w:rsidRPr="00BE2C1D" w:rsidRDefault="00BE2C1D" w:rsidP="00BE2C1D">
            <w:pPr>
              <w:spacing w:line="360" w:lineRule="auto"/>
              <w:jc w:val="both"/>
              <w:rPr>
                <w:rFonts w:cstheme="minorHAnsi"/>
              </w:rPr>
            </w:pPr>
            <w:r w:rsidRPr="00BE2C1D">
              <w:rPr>
                <w:rFonts w:cstheme="minorHAnsi"/>
              </w:rPr>
              <w:t>Alice</w:t>
            </w:r>
          </w:p>
        </w:tc>
        <w:tc>
          <w:tcPr>
            <w:tcW w:w="1484" w:type="dxa"/>
          </w:tcPr>
          <w:p w14:paraId="3DB8E936" w14:textId="77777777" w:rsidR="00BE2C1D" w:rsidRPr="00BE2C1D" w:rsidRDefault="00BE2C1D" w:rsidP="00BE2C1D">
            <w:pPr>
              <w:spacing w:line="360" w:lineRule="auto"/>
              <w:jc w:val="both"/>
              <w:rPr>
                <w:rFonts w:cstheme="minorHAnsi"/>
              </w:rPr>
            </w:pPr>
            <w:r w:rsidRPr="00BE2C1D">
              <w:rPr>
                <w:rFonts w:cstheme="minorHAnsi"/>
              </w:rPr>
              <w:t>23</w:t>
            </w:r>
          </w:p>
        </w:tc>
        <w:tc>
          <w:tcPr>
            <w:tcW w:w="1803" w:type="dxa"/>
          </w:tcPr>
          <w:p w14:paraId="79D79E8C" w14:textId="77777777" w:rsidR="00BE2C1D" w:rsidRPr="00BE2C1D" w:rsidRDefault="00BE2C1D" w:rsidP="00BE2C1D">
            <w:pPr>
              <w:spacing w:line="360" w:lineRule="auto"/>
              <w:jc w:val="both"/>
              <w:rPr>
                <w:rFonts w:cstheme="minorHAnsi"/>
              </w:rPr>
            </w:pPr>
            <w:r w:rsidRPr="00BE2C1D">
              <w:rPr>
                <w:rFonts w:cstheme="minorHAnsi"/>
              </w:rPr>
              <w:t>Classroom assistant</w:t>
            </w:r>
          </w:p>
        </w:tc>
      </w:tr>
      <w:tr w:rsidR="00BE2C1D" w:rsidRPr="00BE2C1D" w14:paraId="06B305A0" w14:textId="77777777" w:rsidTr="00BE2C1D">
        <w:tc>
          <w:tcPr>
            <w:tcW w:w="2122" w:type="dxa"/>
          </w:tcPr>
          <w:p w14:paraId="3A2DBC14" w14:textId="77777777" w:rsidR="00BE2C1D" w:rsidRPr="00BE2C1D" w:rsidRDefault="00BE2C1D" w:rsidP="00BE2C1D">
            <w:pPr>
              <w:spacing w:line="360" w:lineRule="auto"/>
              <w:jc w:val="both"/>
              <w:rPr>
                <w:rFonts w:cstheme="minorHAnsi"/>
              </w:rPr>
            </w:pPr>
            <w:r w:rsidRPr="00BE2C1D">
              <w:rPr>
                <w:rFonts w:cstheme="minorHAnsi"/>
              </w:rPr>
              <w:t>Paul</w:t>
            </w:r>
          </w:p>
        </w:tc>
        <w:tc>
          <w:tcPr>
            <w:tcW w:w="1484" w:type="dxa"/>
          </w:tcPr>
          <w:p w14:paraId="07952987" w14:textId="77777777" w:rsidR="00BE2C1D" w:rsidRPr="00BE2C1D" w:rsidRDefault="00BE2C1D" w:rsidP="00BE2C1D">
            <w:pPr>
              <w:spacing w:line="360" w:lineRule="auto"/>
              <w:jc w:val="both"/>
              <w:rPr>
                <w:rFonts w:cstheme="minorHAnsi"/>
              </w:rPr>
            </w:pPr>
            <w:r w:rsidRPr="00BE2C1D">
              <w:rPr>
                <w:rFonts w:cstheme="minorHAnsi"/>
              </w:rPr>
              <w:t>26</w:t>
            </w:r>
          </w:p>
        </w:tc>
        <w:tc>
          <w:tcPr>
            <w:tcW w:w="1803" w:type="dxa"/>
          </w:tcPr>
          <w:p w14:paraId="0066E6DB" w14:textId="77777777" w:rsidR="00BE2C1D" w:rsidRPr="00BE2C1D" w:rsidRDefault="00BE2C1D" w:rsidP="00BE2C1D">
            <w:pPr>
              <w:spacing w:line="360" w:lineRule="auto"/>
              <w:jc w:val="both"/>
              <w:rPr>
                <w:rFonts w:cstheme="minorHAnsi"/>
              </w:rPr>
            </w:pPr>
            <w:r w:rsidRPr="00BE2C1D">
              <w:rPr>
                <w:rFonts w:cstheme="minorHAnsi"/>
              </w:rPr>
              <w:t>One-to-one assistant</w:t>
            </w:r>
          </w:p>
        </w:tc>
      </w:tr>
      <w:tr w:rsidR="00BE2C1D" w:rsidRPr="00BE2C1D" w14:paraId="675FDABF" w14:textId="77777777" w:rsidTr="00BE2C1D">
        <w:tc>
          <w:tcPr>
            <w:tcW w:w="2122" w:type="dxa"/>
          </w:tcPr>
          <w:p w14:paraId="1CEB8918" w14:textId="77777777" w:rsidR="00BE2C1D" w:rsidRPr="00BE2C1D" w:rsidRDefault="00BE2C1D" w:rsidP="00BE2C1D">
            <w:pPr>
              <w:spacing w:line="360" w:lineRule="auto"/>
              <w:jc w:val="both"/>
              <w:rPr>
                <w:rFonts w:cstheme="minorHAnsi"/>
              </w:rPr>
            </w:pPr>
            <w:r w:rsidRPr="00BE2C1D">
              <w:rPr>
                <w:rFonts w:cstheme="minorHAnsi"/>
              </w:rPr>
              <w:t>Melrose</w:t>
            </w:r>
          </w:p>
        </w:tc>
        <w:tc>
          <w:tcPr>
            <w:tcW w:w="1484" w:type="dxa"/>
          </w:tcPr>
          <w:p w14:paraId="12F727E4" w14:textId="77777777" w:rsidR="00BE2C1D" w:rsidRPr="00BE2C1D" w:rsidRDefault="00BE2C1D" w:rsidP="00BE2C1D">
            <w:pPr>
              <w:spacing w:line="360" w:lineRule="auto"/>
              <w:jc w:val="both"/>
              <w:rPr>
                <w:rFonts w:cstheme="minorHAnsi"/>
              </w:rPr>
            </w:pPr>
            <w:r w:rsidRPr="00BE2C1D">
              <w:rPr>
                <w:rFonts w:cstheme="minorHAnsi"/>
              </w:rPr>
              <w:t>24</w:t>
            </w:r>
          </w:p>
        </w:tc>
        <w:tc>
          <w:tcPr>
            <w:tcW w:w="1803" w:type="dxa"/>
          </w:tcPr>
          <w:p w14:paraId="2EC219AD" w14:textId="77777777" w:rsidR="00BE2C1D" w:rsidRPr="00BE2C1D" w:rsidRDefault="00BE2C1D" w:rsidP="00BE2C1D">
            <w:pPr>
              <w:spacing w:line="360" w:lineRule="auto"/>
              <w:jc w:val="both"/>
              <w:rPr>
                <w:rFonts w:cstheme="minorHAnsi"/>
              </w:rPr>
            </w:pPr>
            <w:r w:rsidRPr="00BE2C1D">
              <w:rPr>
                <w:rFonts w:cstheme="minorHAnsi"/>
              </w:rPr>
              <w:t>One-to-one assistant</w:t>
            </w:r>
          </w:p>
        </w:tc>
      </w:tr>
      <w:tr w:rsidR="00BE2C1D" w:rsidRPr="00BE2C1D" w14:paraId="5AFCC054" w14:textId="77777777" w:rsidTr="00BE2C1D">
        <w:tc>
          <w:tcPr>
            <w:tcW w:w="2122" w:type="dxa"/>
          </w:tcPr>
          <w:p w14:paraId="6357D239" w14:textId="77777777" w:rsidR="00BE2C1D" w:rsidRPr="00BE2C1D" w:rsidRDefault="00BE2C1D" w:rsidP="00BE2C1D">
            <w:pPr>
              <w:spacing w:line="360" w:lineRule="auto"/>
              <w:jc w:val="both"/>
              <w:rPr>
                <w:rFonts w:cstheme="minorHAnsi"/>
              </w:rPr>
            </w:pPr>
            <w:r w:rsidRPr="00BE2C1D">
              <w:rPr>
                <w:rFonts w:cstheme="minorHAnsi"/>
              </w:rPr>
              <w:t>Ryan</w:t>
            </w:r>
          </w:p>
        </w:tc>
        <w:tc>
          <w:tcPr>
            <w:tcW w:w="1484" w:type="dxa"/>
          </w:tcPr>
          <w:p w14:paraId="3B28CE64" w14:textId="77777777" w:rsidR="00BE2C1D" w:rsidRPr="00BE2C1D" w:rsidRDefault="00BE2C1D" w:rsidP="00BE2C1D">
            <w:pPr>
              <w:spacing w:line="360" w:lineRule="auto"/>
              <w:jc w:val="both"/>
              <w:rPr>
                <w:rFonts w:cstheme="minorHAnsi"/>
              </w:rPr>
            </w:pPr>
            <w:r w:rsidRPr="00BE2C1D">
              <w:rPr>
                <w:rFonts w:cstheme="minorHAnsi"/>
              </w:rPr>
              <w:t>29</w:t>
            </w:r>
          </w:p>
        </w:tc>
        <w:tc>
          <w:tcPr>
            <w:tcW w:w="1803" w:type="dxa"/>
          </w:tcPr>
          <w:p w14:paraId="2782AB92" w14:textId="77777777" w:rsidR="00BE2C1D" w:rsidRPr="00BE2C1D" w:rsidRDefault="00BE2C1D" w:rsidP="00BE2C1D">
            <w:pPr>
              <w:spacing w:line="360" w:lineRule="auto"/>
              <w:jc w:val="both"/>
              <w:rPr>
                <w:rFonts w:cstheme="minorHAnsi"/>
              </w:rPr>
            </w:pPr>
            <w:r w:rsidRPr="00BE2C1D">
              <w:rPr>
                <w:rFonts w:cstheme="minorHAnsi"/>
              </w:rPr>
              <w:t>One-to-one assistant</w:t>
            </w:r>
          </w:p>
        </w:tc>
      </w:tr>
      <w:tr w:rsidR="00BE2C1D" w:rsidRPr="00BE2C1D" w14:paraId="14CCD591" w14:textId="77777777" w:rsidTr="00BE2C1D">
        <w:tc>
          <w:tcPr>
            <w:tcW w:w="2122" w:type="dxa"/>
          </w:tcPr>
          <w:p w14:paraId="2D6B2A83" w14:textId="77777777" w:rsidR="00BE2C1D" w:rsidRPr="00BE2C1D" w:rsidRDefault="00BE2C1D" w:rsidP="00BE2C1D">
            <w:pPr>
              <w:spacing w:line="360" w:lineRule="auto"/>
              <w:jc w:val="both"/>
              <w:rPr>
                <w:rFonts w:cstheme="minorHAnsi"/>
              </w:rPr>
            </w:pPr>
            <w:r w:rsidRPr="00BE2C1D">
              <w:rPr>
                <w:rFonts w:cstheme="minorHAnsi"/>
              </w:rPr>
              <w:t>Nathan</w:t>
            </w:r>
          </w:p>
        </w:tc>
        <w:tc>
          <w:tcPr>
            <w:tcW w:w="1484" w:type="dxa"/>
          </w:tcPr>
          <w:p w14:paraId="034AAED2" w14:textId="77777777" w:rsidR="00BE2C1D" w:rsidRPr="00BE2C1D" w:rsidRDefault="00BE2C1D" w:rsidP="00BE2C1D">
            <w:pPr>
              <w:spacing w:line="360" w:lineRule="auto"/>
              <w:jc w:val="both"/>
              <w:rPr>
                <w:rFonts w:cstheme="minorHAnsi"/>
              </w:rPr>
            </w:pPr>
            <w:r w:rsidRPr="00BE2C1D">
              <w:rPr>
                <w:rFonts w:cstheme="minorHAnsi"/>
              </w:rPr>
              <w:t>27</w:t>
            </w:r>
          </w:p>
        </w:tc>
        <w:tc>
          <w:tcPr>
            <w:tcW w:w="1803" w:type="dxa"/>
          </w:tcPr>
          <w:p w14:paraId="63216FD9" w14:textId="77777777" w:rsidR="00BE2C1D" w:rsidRPr="00BE2C1D" w:rsidRDefault="00BE2C1D" w:rsidP="00BE2C1D">
            <w:pPr>
              <w:spacing w:line="360" w:lineRule="auto"/>
              <w:jc w:val="both"/>
              <w:rPr>
                <w:rFonts w:cstheme="minorHAnsi"/>
              </w:rPr>
            </w:pPr>
            <w:r w:rsidRPr="00BE2C1D">
              <w:rPr>
                <w:rFonts w:cstheme="minorHAnsi"/>
              </w:rPr>
              <w:t>One-to-one assistant</w:t>
            </w:r>
          </w:p>
        </w:tc>
      </w:tr>
      <w:tr w:rsidR="00BE2C1D" w:rsidRPr="00BE2C1D" w14:paraId="7DE4B81D" w14:textId="77777777" w:rsidTr="00BE2C1D">
        <w:tc>
          <w:tcPr>
            <w:tcW w:w="2122" w:type="dxa"/>
          </w:tcPr>
          <w:p w14:paraId="1129DE37" w14:textId="77777777" w:rsidR="00BE2C1D" w:rsidRPr="00BE2C1D" w:rsidRDefault="00BE2C1D" w:rsidP="00BE2C1D">
            <w:pPr>
              <w:spacing w:line="360" w:lineRule="auto"/>
              <w:jc w:val="both"/>
              <w:rPr>
                <w:rFonts w:cstheme="minorHAnsi"/>
              </w:rPr>
            </w:pPr>
            <w:r w:rsidRPr="00BE2C1D">
              <w:rPr>
                <w:rFonts w:cstheme="minorHAnsi"/>
              </w:rPr>
              <w:t>Liz</w:t>
            </w:r>
          </w:p>
        </w:tc>
        <w:tc>
          <w:tcPr>
            <w:tcW w:w="1484" w:type="dxa"/>
          </w:tcPr>
          <w:p w14:paraId="0E3EA2D9" w14:textId="77777777" w:rsidR="00BE2C1D" w:rsidRPr="00BE2C1D" w:rsidRDefault="00BE2C1D" w:rsidP="00BE2C1D">
            <w:pPr>
              <w:spacing w:line="360" w:lineRule="auto"/>
              <w:jc w:val="both"/>
              <w:rPr>
                <w:rFonts w:cstheme="minorHAnsi"/>
              </w:rPr>
            </w:pPr>
            <w:r w:rsidRPr="00BE2C1D">
              <w:rPr>
                <w:rFonts w:cstheme="minorHAnsi"/>
              </w:rPr>
              <w:t>26</w:t>
            </w:r>
          </w:p>
        </w:tc>
        <w:tc>
          <w:tcPr>
            <w:tcW w:w="1803" w:type="dxa"/>
          </w:tcPr>
          <w:p w14:paraId="13FA2185" w14:textId="77777777" w:rsidR="00BE2C1D" w:rsidRPr="00BE2C1D" w:rsidRDefault="00BE2C1D" w:rsidP="00BE2C1D">
            <w:pPr>
              <w:spacing w:line="360" w:lineRule="auto"/>
              <w:jc w:val="both"/>
              <w:rPr>
                <w:rFonts w:cstheme="minorHAnsi"/>
              </w:rPr>
            </w:pPr>
            <w:r w:rsidRPr="00BE2C1D">
              <w:rPr>
                <w:rFonts w:cstheme="minorHAnsi"/>
              </w:rPr>
              <w:t>One-to-one assistant</w:t>
            </w:r>
          </w:p>
        </w:tc>
      </w:tr>
      <w:tr w:rsidR="00BE2C1D" w:rsidRPr="00BE2C1D" w14:paraId="6B19FA26" w14:textId="77777777" w:rsidTr="00BE2C1D">
        <w:tc>
          <w:tcPr>
            <w:tcW w:w="2122" w:type="dxa"/>
          </w:tcPr>
          <w:p w14:paraId="4A7837B5" w14:textId="77777777" w:rsidR="00BE2C1D" w:rsidRPr="00BE2C1D" w:rsidRDefault="00BE2C1D" w:rsidP="00BE2C1D">
            <w:pPr>
              <w:spacing w:line="360" w:lineRule="auto"/>
              <w:jc w:val="both"/>
              <w:rPr>
                <w:rFonts w:cstheme="minorHAnsi"/>
              </w:rPr>
            </w:pPr>
            <w:r w:rsidRPr="00BE2C1D">
              <w:rPr>
                <w:rFonts w:cstheme="minorHAnsi"/>
              </w:rPr>
              <w:t>Patricia</w:t>
            </w:r>
          </w:p>
        </w:tc>
        <w:tc>
          <w:tcPr>
            <w:tcW w:w="1484" w:type="dxa"/>
          </w:tcPr>
          <w:p w14:paraId="00FDE84F" w14:textId="77777777" w:rsidR="00BE2C1D" w:rsidRPr="00BE2C1D" w:rsidRDefault="00BE2C1D" w:rsidP="00BE2C1D">
            <w:pPr>
              <w:spacing w:line="360" w:lineRule="auto"/>
              <w:jc w:val="both"/>
              <w:rPr>
                <w:rFonts w:cstheme="minorHAnsi"/>
              </w:rPr>
            </w:pPr>
            <w:r w:rsidRPr="00BE2C1D">
              <w:rPr>
                <w:rFonts w:cstheme="minorHAnsi"/>
              </w:rPr>
              <w:t>30</w:t>
            </w:r>
          </w:p>
        </w:tc>
        <w:tc>
          <w:tcPr>
            <w:tcW w:w="1803" w:type="dxa"/>
          </w:tcPr>
          <w:p w14:paraId="27C5D21A" w14:textId="77777777" w:rsidR="00BE2C1D" w:rsidRPr="00BE2C1D" w:rsidRDefault="00BE2C1D" w:rsidP="00BE2C1D">
            <w:pPr>
              <w:spacing w:line="360" w:lineRule="auto"/>
              <w:jc w:val="both"/>
              <w:rPr>
                <w:rFonts w:cstheme="minorHAnsi"/>
              </w:rPr>
            </w:pPr>
            <w:r w:rsidRPr="00BE2C1D">
              <w:rPr>
                <w:rFonts w:cstheme="minorHAnsi"/>
              </w:rPr>
              <w:t>One-to-one assistant</w:t>
            </w:r>
          </w:p>
        </w:tc>
      </w:tr>
    </w:tbl>
    <w:p w14:paraId="5E9E6CD1" w14:textId="77777777" w:rsidR="00BE2C1D" w:rsidRPr="00BE2C1D" w:rsidRDefault="00BE2C1D" w:rsidP="00BE2C1D">
      <w:pPr>
        <w:spacing w:line="360" w:lineRule="auto"/>
        <w:jc w:val="both"/>
        <w:rPr>
          <w:rFonts w:cstheme="minorHAnsi"/>
        </w:rPr>
      </w:pPr>
    </w:p>
    <w:p w14:paraId="7EC16A75" w14:textId="77777777" w:rsidR="00BE2C1D" w:rsidRPr="00BE2C1D" w:rsidRDefault="00BE2C1D" w:rsidP="00BE2C1D">
      <w:pPr>
        <w:spacing w:line="360" w:lineRule="auto"/>
        <w:jc w:val="both"/>
        <w:rPr>
          <w:rFonts w:cstheme="minorHAnsi"/>
        </w:rPr>
      </w:pPr>
      <w:r w:rsidRPr="00BE2C1D">
        <w:rPr>
          <w:rFonts w:cstheme="minorHAnsi"/>
        </w:rPr>
        <w:t xml:space="preserve">TAs supported the young people in various ways. For instance, some young people referred to subject-specific support e.g. Science &amp; Home Economics, during which the TAs’ support compensated for the lack of arrangements and adjustments in such classes: </w:t>
      </w:r>
    </w:p>
    <w:p w14:paraId="5D1E1738" w14:textId="77777777" w:rsidR="00BE2C1D" w:rsidRPr="00BE2C1D" w:rsidRDefault="00BE2C1D" w:rsidP="00BE2C1D">
      <w:pPr>
        <w:spacing w:line="360" w:lineRule="auto"/>
        <w:ind w:left="720"/>
        <w:jc w:val="both"/>
        <w:rPr>
          <w:rFonts w:cstheme="minorHAnsi"/>
          <w:sz w:val="20"/>
          <w:szCs w:val="20"/>
        </w:rPr>
      </w:pPr>
      <w:r w:rsidRPr="00BE2C1D">
        <w:rPr>
          <w:rFonts w:cstheme="minorHAnsi"/>
          <w:sz w:val="20"/>
          <w:szCs w:val="20"/>
        </w:rPr>
        <w:t>Patricia: So, like when I first went to high school, she was helping me with like Science class, Home Economics and things like that. And she was helping me to kinda put things in the oven and all this kind of stuff really.</w:t>
      </w:r>
    </w:p>
    <w:p w14:paraId="666D9DFA" w14:textId="6C215528" w:rsidR="00BE2C1D" w:rsidRPr="00BE2C1D" w:rsidRDefault="00BE2C1D" w:rsidP="00BE2C1D">
      <w:pPr>
        <w:spacing w:line="360" w:lineRule="auto"/>
        <w:ind w:left="720"/>
        <w:jc w:val="both"/>
        <w:rPr>
          <w:rFonts w:cstheme="minorHAnsi"/>
          <w:sz w:val="20"/>
          <w:szCs w:val="20"/>
        </w:rPr>
      </w:pPr>
      <w:r w:rsidRPr="00BE2C1D">
        <w:rPr>
          <w:rFonts w:cstheme="minorHAnsi"/>
          <w:sz w:val="20"/>
          <w:szCs w:val="20"/>
        </w:rPr>
        <w:t xml:space="preserve">Christine: In Science, I have a one-to-one sometimes, cause it depends on if we’re doing like a practical or anything to do, yeah, anything to do like carrying anything. </w:t>
      </w:r>
    </w:p>
    <w:p w14:paraId="16526979" w14:textId="77777777" w:rsidR="00BE2C1D" w:rsidRPr="00BE2C1D" w:rsidRDefault="00BE2C1D" w:rsidP="00BE2C1D">
      <w:pPr>
        <w:spacing w:line="360" w:lineRule="auto"/>
        <w:jc w:val="both"/>
        <w:rPr>
          <w:rFonts w:cstheme="minorHAnsi"/>
        </w:rPr>
      </w:pPr>
      <w:r w:rsidRPr="00BE2C1D">
        <w:rPr>
          <w:rFonts w:cstheme="minorHAnsi"/>
        </w:rPr>
        <w:t xml:space="preserve">Similarly, TAs helped the young people with other physical arrangements: </w:t>
      </w:r>
    </w:p>
    <w:p w14:paraId="72A4FEC7" w14:textId="77777777" w:rsidR="00BE2C1D" w:rsidRPr="00BE2C1D" w:rsidRDefault="00BE2C1D" w:rsidP="00BE2C1D">
      <w:pPr>
        <w:spacing w:line="360" w:lineRule="auto"/>
        <w:ind w:left="720"/>
        <w:jc w:val="both"/>
        <w:rPr>
          <w:rFonts w:cstheme="minorHAnsi"/>
          <w:sz w:val="20"/>
          <w:szCs w:val="20"/>
        </w:rPr>
      </w:pPr>
      <w:r w:rsidRPr="00BE2C1D">
        <w:rPr>
          <w:rFonts w:cstheme="minorHAnsi"/>
          <w:sz w:val="20"/>
          <w:szCs w:val="20"/>
        </w:rPr>
        <w:t xml:space="preserve">Alice: My first year at secondary school I had an assistant, like a classroom assistant, who was, who would come and collect, not collect me, come to the class five minutes before and help me get to my next class, em, because I had, I think science chairs maybe, one on every floor. Em, so I think it was a </w:t>
      </w:r>
      <w:r w:rsidRPr="00BE2C1D">
        <w:rPr>
          <w:rFonts w:cstheme="minorHAnsi"/>
          <w:sz w:val="20"/>
          <w:szCs w:val="20"/>
        </w:rPr>
        <w:lastRenderedPageBreak/>
        <w:t xml:space="preserve">class that was only seemed to work the chair had to get moved, so she was able to help me. And because in the older building of the school I couldn’t reach, eh, the lift buttons. </w:t>
      </w:r>
    </w:p>
    <w:p w14:paraId="3ECEFE7F" w14:textId="77777777" w:rsidR="00BE2C1D" w:rsidRPr="00BE2C1D" w:rsidRDefault="00BE2C1D" w:rsidP="00BE2C1D">
      <w:pPr>
        <w:spacing w:line="360" w:lineRule="auto"/>
        <w:ind w:left="720"/>
        <w:jc w:val="both"/>
        <w:rPr>
          <w:rFonts w:cstheme="minorHAnsi"/>
          <w:sz w:val="20"/>
          <w:szCs w:val="20"/>
        </w:rPr>
      </w:pPr>
      <w:r w:rsidRPr="00BE2C1D">
        <w:rPr>
          <w:rFonts w:cstheme="minorHAnsi"/>
          <w:sz w:val="20"/>
          <w:szCs w:val="20"/>
        </w:rPr>
        <w:t xml:space="preserve">Paul: She was just there to help me out if I needed a chair lifted from my classroom to another classroom, she’d be the one to organise that. </w:t>
      </w:r>
    </w:p>
    <w:p w14:paraId="26061EB0" w14:textId="77777777" w:rsidR="00BE2C1D" w:rsidRPr="00BE2C1D" w:rsidRDefault="00BE2C1D" w:rsidP="00BE2C1D">
      <w:pPr>
        <w:spacing w:line="360" w:lineRule="auto"/>
        <w:jc w:val="both"/>
        <w:rPr>
          <w:rFonts w:cstheme="minorHAnsi"/>
        </w:rPr>
      </w:pPr>
      <w:r w:rsidRPr="00BE2C1D">
        <w:rPr>
          <w:rFonts w:cstheme="minorHAnsi"/>
        </w:rPr>
        <w:t>What the above accounts illustrated was that TAs were there to enable the young people to navigate inaccessible environments or environments that had not been adapted accordingly by removing barriers to doing (Mortier et al. 2010). For instance, Alice brought up the lift buttons that were out of reach to her and, hence, the support of her TA was essential to transfer the chair from one class to another. Similar was the case with Patricia, whose TA helped her with putting things in an oven that was out of reach to her.</w:t>
      </w:r>
    </w:p>
    <w:p w14:paraId="53D40387" w14:textId="77777777" w:rsidR="00BE2C1D" w:rsidRPr="00BE2C1D" w:rsidRDefault="00BE2C1D" w:rsidP="00BE2C1D">
      <w:pPr>
        <w:spacing w:line="360" w:lineRule="auto"/>
        <w:jc w:val="both"/>
        <w:rPr>
          <w:rFonts w:cstheme="minorHAnsi"/>
        </w:rPr>
      </w:pPr>
      <w:r w:rsidRPr="00BE2C1D">
        <w:rPr>
          <w:rFonts w:cstheme="minorHAnsi"/>
        </w:rPr>
        <w:t xml:space="preserve">Moreover, some young people mentioned how their TAs supported them with their impairment effects (Thomas 1999) e.g. aching arms and their medical needs: </w:t>
      </w:r>
    </w:p>
    <w:p w14:paraId="079837B9" w14:textId="77777777" w:rsidR="00BE2C1D" w:rsidRPr="00BE2C1D" w:rsidRDefault="00BE2C1D" w:rsidP="00BE2C1D">
      <w:pPr>
        <w:spacing w:line="360" w:lineRule="auto"/>
        <w:ind w:left="720"/>
        <w:jc w:val="both"/>
        <w:rPr>
          <w:rFonts w:cstheme="minorHAnsi"/>
          <w:sz w:val="20"/>
          <w:szCs w:val="20"/>
        </w:rPr>
      </w:pPr>
      <w:r w:rsidRPr="00BE2C1D">
        <w:rPr>
          <w:rFonts w:cstheme="minorHAnsi"/>
          <w:sz w:val="20"/>
          <w:szCs w:val="20"/>
        </w:rPr>
        <w:t>Nathan: Yes, a lot of the later PA’s were great [..] carrying things, helping me write when I was tired etc.</w:t>
      </w:r>
    </w:p>
    <w:p w14:paraId="759E7A56" w14:textId="77777777" w:rsidR="00BE2C1D" w:rsidRPr="00BE2C1D" w:rsidRDefault="00BE2C1D" w:rsidP="00BE2C1D">
      <w:pPr>
        <w:spacing w:line="360" w:lineRule="auto"/>
        <w:ind w:left="720"/>
        <w:jc w:val="both"/>
        <w:rPr>
          <w:rFonts w:cstheme="minorHAnsi"/>
          <w:sz w:val="20"/>
          <w:szCs w:val="20"/>
        </w:rPr>
      </w:pPr>
      <w:r w:rsidRPr="00BE2C1D">
        <w:rPr>
          <w:rFonts w:cstheme="minorHAnsi"/>
          <w:sz w:val="20"/>
          <w:szCs w:val="20"/>
        </w:rPr>
        <w:t>John: Well for me, that was like, years 7, 8 and 9, like I wasn’t right, cause I kind, I also had help like writing and things, cause I get really achy arms and like, so they’d help a bit now and then.</w:t>
      </w:r>
    </w:p>
    <w:p w14:paraId="5BC8360B" w14:textId="77777777" w:rsidR="00BE2C1D" w:rsidRPr="00BE2C1D" w:rsidRDefault="00BE2C1D" w:rsidP="00BE2C1D">
      <w:pPr>
        <w:spacing w:line="360" w:lineRule="auto"/>
        <w:ind w:left="720"/>
        <w:jc w:val="both"/>
        <w:rPr>
          <w:rFonts w:cstheme="minorHAnsi"/>
          <w:sz w:val="20"/>
          <w:szCs w:val="20"/>
        </w:rPr>
      </w:pPr>
      <w:r w:rsidRPr="00BE2C1D">
        <w:rPr>
          <w:rFonts w:cstheme="minorHAnsi"/>
          <w:sz w:val="20"/>
          <w:szCs w:val="20"/>
        </w:rPr>
        <w:t xml:space="preserve">Paul: If I need, if I had a problem with a particular health need, I could talk to her and then she could arrange something to get and help me out. </w:t>
      </w:r>
    </w:p>
    <w:p w14:paraId="2ACE2721" w14:textId="77777777" w:rsidR="00BE2C1D" w:rsidRPr="00BE2C1D" w:rsidRDefault="00BE2C1D" w:rsidP="00BE2C1D">
      <w:pPr>
        <w:spacing w:line="360" w:lineRule="auto"/>
        <w:jc w:val="both"/>
        <w:rPr>
          <w:rFonts w:cstheme="minorHAnsi"/>
        </w:rPr>
      </w:pPr>
      <w:r w:rsidRPr="00BE2C1D">
        <w:rPr>
          <w:rFonts w:cstheme="minorHAnsi"/>
        </w:rPr>
        <w:t xml:space="preserve">The young people were quite positive about this kind of support, which enabled them to keep up with the able-bodied pace of life in schools (Price 2011; Whitburn 2013).  </w:t>
      </w:r>
    </w:p>
    <w:p w14:paraId="41BFDC61" w14:textId="77777777" w:rsidR="00BE2C1D" w:rsidRPr="00BE2C1D" w:rsidRDefault="00BE2C1D" w:rsidP="00BE2C1D">
      <w:pPr>
        <w:spacing w:line="360" w:lineRule="auto"/>
        <w:jc w:val="both"/>
        <w:rPr>
          <w:rFonts w:cstheme="minorHAnsi"/>
        </w:rPr>
      </w:pPr>
      <w:r w:rsidRPr="00BE2C1D">
        <w:rPr>
          <w:rFonts w:cstheme="minorHAnsi"/>
        </w:rPr>
        <w:t xml:space="preserve">As the above stories demonstrated, TAs served different purposes, such as providing physical support and support with any medical needs. This partly reflects the lack of professional standards regarding the TAs’ role (Giangreco et al. 1997; Giangreco 2010), leaving it to each school to decide how the TA would be ‘fit for purpose’. The need for such forms of support was to an extent, though, due to a lack of physical adjustments (e.g. subject-specific equipment) and arrangements (e.g. lack of chairs in all the rooms or classes in floors where a lift or the stairs had to be used). Therefore, TAs served as a solution to the ‘problem’ of disability (Michalko 2009) in terms of inaccessible structures not allowing participants to fulfil certain tasks by themselves and support was to be sought. Disability appeared as a problem in the classroom that had to be managed and resolved (Titchkosky 2011). TAs then enabled the inclusion of the young people by removing barriers to doing. This has led certain scholars (Giangreco et al. 1997; Slee 2006; Whitburn 2013) to question then the extent to which TAs have become part of the problem of inclusion in terms of concealing how disabling structures make disability appear as a problem. Nevertheless, the young people also recognised how valuable TAs were </w:t>
      </w:r>
      <w:r w:rsidRPr="00BE2C1D">
        <w:rPr>
          <w:rFonts w:cstheme="minorHAnsi"/>
        </w:rPr>
        <w:lastRenderedPageBreak/>
        <w:t xml:space="preserve">in supporting them with any impairment effects, making their presence integral. Therefore, rather than viewing TAs as a solution to inclusion or part of the problem, more attention should be paid to the context within which support is provided and to the views of those who are supported. Following this perspective, in the next section I focus on how the young people experienced their TAs interference with their learning under the name (or disguise) of ‘academic support’.    </w:t>
      </w:r>
    </w:p>
    <w:p w14:paraId="78764256" w14:textId="77777777" w:rsidR="00BE2C1D" w:rsidRPr="00BE2C1D" w:rsidRDefault="00BE2C1D" w:rsidP="00BE2C1D">
      <w:pPr>
        <w:keepNext/>
        <w:keepLines/>
        <w:spacing w:before="40" w:after="0" w:line="360" w:lineRule="auto"/>
        <w:outlineLvl w:val="2"/>
        <w:rPr>
          <w:rFonts w:asciiTheme="majorHAnsi" w:eastAsiaTheme="majorEastAsia" w:hAnsiTheme="majorHAnsi" w:cstheme="majorBidi"/>
          <w:color w:val="44546A" w:themeColor="text2"/>
          <w:sz w:val="24"/>
          <w:szCs w:val="24"/>
          <w:lang w:eastAsia="zh-CN"/>
        </w:rPr>
      </w:pPr>
      <w:bookmarkStart w:id="125" w:name="_Toc39585256"/>
      <w:r w:rsidRPr="00BE2C1D">
        <w:rPr>
          <w:rFonts w:asciiTheme="majorHAnsi" w:eastAsiaTheme="majorEastAsia" w:hAnsiTheme="majorHAnsi" w:cstheme="majorBidi"/>
          <w:color w:val="44546A" w:themeColor="text2"/>
          <w:sz w:val="24"/>
          <w:szCs w:val="24"/>
          <w:lang w:eastAsia="zh-CN"/>
        </w:rPr>
        <w:t>Barriers to Being</w:t>
      </w:r>
      <w:bookmarkEnd w:id="125"/>
      <w:r w:rsidRPr="00BE2C1D">
        <w:rPr>
          <w:rFonts w:asciiTheme="majorHAnsi" w:eastAsiaTheme="majorEastAsia" w:hAnsiTheme="majorHAnsi" w:cstheme="majorBidi"/>
          <w:color w:val="44546A" w:themeColor="text2"/>
          <w:sz w:val="24"/>
          <w:szCs w:val="24"/>
          <w:lang w:eastAsia="zh-CN"/>
        </w:rPr>
        <w:t xml:space="preserve"> </w:t>
      </w:r>
    </w:p>
    <w:p w14:paraId="6BDBD9EC" w14:textId="77777777" w:rsidR="00BE2C1D" w:rsidRPr="00BE2C1D" w:rsidRDefault="00BE2C1D" w:rsidP="00BE2C1D">
      <w:pPr>
        <w:spacing w:line="360" w:lineRule="auto"/>
        <w:jc w:val="both"/>
      </w:pPr>
      <w:r w:rsidRPr="00BE2C1D">
        <w:t xml:space="preserve">Besides physical support and support with any impairment effects, which young people mostly welcomed, TAs also interfered with their learning, performing their ‘instructional’ role (Butt 2016; Devecchi et al. 2012; Webster et al. 2013). Whether TAs should be involved in the learning of young people and, if so, to what extent, has been a reason for debate in the literature (Slater and Gzeley 2019), with various points of critique focusing on the lack of training of TAs (Giangreco et al. 1997) and TAs functioning as a replacement of class teachers (Butt 2016; Radford et al. 2015). In this section, I look at how the young people experienced and felt about this form of support, shedding light on its implications and repercussions. </w:t>
      </w:r>
    </w:p>
    <w:p w14:paraId="6C441629" w14:textId="77777777" w:rsidR="00BE2C1D" w:rsidRPr="00BE2C1D" w:rsidRDefault="00BE2C1D" w:rsidP="00BE2C1D">
      <w:pPr>
        <w:spacing w:line="360" w:lineRule="auto"/>
        <w:jc w:val="both"/>
      </w:pPr>
      <w:r w:rsidRPr="00BE2C1D">
        <w:t xml:space="preserve">When Mary was asked about her teaching assistant, she mentioned that:  </w:t>
      </w:r>
    </w:p>
    <w:p w14:paraId="786FC53D" w14:textId="2A342025" w:rsidR="00BE2C1D" w:rsidRPr="00243BF7" w:rsidRDefault="00BE2C1D" w:rsidP="00243BF7">
      <w:pPr>
        <w:spacing w:line="360" w:lineRule="auto"/>
        <w:ind w:left="720"/>
        <w:jc w:val="both"/>
        <w:rPr>
          <w:rFonts w:cstheme="minorHAnsi"/>
          <w:sz w:val="20"/>
          <w:szCs w:val="20"/>
        </w:rPr>
      </w:pPr>
      <w:r w:rsidRPr="00BE2C1D">
        <w:rPr>
          <w:rFonts w:cstheme="minorHAnsi"/>
          <w:sz w:val="20"/>
          <w:szCs w:val="20"/>
        </w:rPr>
        <w:t>Mary: In Y7 I had this teaching assistant and she treated me like I was like mentally incapable of doing everything and I didn’t like it.</w:t>
      </w:r>
    </w:p>
    <w:p w14:paraId="4AD0212F" w14:textId="0D01AA67" w:rsidR="00BE2C1D" w:rsidRPr="00BE2C1D" w:rsidRDefault="00243BF7" w:rsidP="00BE2C1D">
      <w:pPr>
        <w:spacing w:line="360" w:lineRule="auto"/>
        <w:jc w:val="both"/>
      </w:pPr>
      <w:r w:rsidRPr="008F4D34">
        <w:t>Similar</w:t>
      </w:r>
      <w:r w:rsidR="00527A07" w:rsidRPr="008F4D34">
        <w:t xml:space="preserve"> stories were</w:t>
      </w:r>
      <w:r w:rsidR="00BE2C1D" w:rsidRPr="008F4D34">
        <w:t xml:space="preserve"> </w:t>
      </w:r>
      <w:r w:rsidR="00527A07" w:rsidRPr="008F4D34">
        <w:t>shared by other participants too, which shed light on the negative feelings the young people had towards this kind of support. This was also a finding in other studies too, in which disabled</w:t>
      </w:r>
      <w:r w:rsidR="00BE2C1D" w:rsidRPr="008F4D34">
        <w:t xml:space="preserve"> young people </w:t>
      </w:r>
      <w:r w:rsidR="00527A07" w:rsidRPr="008F4D34">
        <w:t>rejected their TAs’</w:t>
      </w:r>
      <w:r w:rsidR="00BE2C1D" w:rsidRPr="008F4D34">
        <w:t xml:space="preserve"> academic support</w:t>
      </w:r>
      <w:r w:rsidR="00BE2C1D" w:rsidRPr="00BE2C1D">
        <w:t xml:space="preserve"> (Mortier et al. 2011; Tews and Lupart 2008; Whitburn 2013). This rejection of such support had to do with the stigma attached to being supported academically (Mansaray 2006), a stigma which was experienced as a ‘barrier to being’. It was experienced as a ‘barrier to being’, because it meant that young people were viewed in ways they did not feel they were representative of them (Mortier et al. 2011). This leads to the second point, which was the ‘discursive work’ (MacLure 2003 cited in Whitburn 2017: 486) taking place in these stories, that is how Mary </w:t>
      </w:r>
      <w:r w:rsidR="00BE2C1D" w:rsidRPr="008F4D34">
        <w:t xml:space="preserve">and </w:t>
      </w:r>
      <w:r w:rsidR="00527A07" w:rsidRPr="008F4D34">
        <w:t>other participants</w:t>
      </w:r>
      <w:r w:rsidR="00BE2C1D" w:rsidRPr="008F4D34">
        <w:t xml:space="preserve"> carved</w:t>
      </w:r>
      <w:r w:rsidR="00BE2C1D" w:rsidRPr="00BE2C1D">
        <w:t xml:space="preserve"> out the identities they wanted by pushing away those that were inscribed upon them. They were worried about their subjectification (to be seen as ‘mentally incapable’) based on fixed notions of their impairment (Davis and Watson 2002) which were reified by medical and psychological studies which had associated RG with cognitive deficits (Dowdney et al. 1987; Stabler et al. 1994) and poor academic performance (</w:t>
      </w:r>
      <w:r w:rsidR="00BE2C1D" w:rsidRPr="00BE2C1D">
        <w:rPr>
          <w:rFonts w:eastAsiaTheme="minorEastAsia"/>
          <w:lang w:eastAsia="zh-CN"/>
        </w:rPr>
        <w:t>Teasdale et al. 1991; Silventoinen et al. 2000</w:t>
      </w:r>
      <w:r w:rsidR="00BE2C1D" w:rsidRPr="00BE2C1D">
        <w:t xml:space="preserve">). Therefore, they dissociated themselves from such an identity. However, such dissociation partly drew on the rejection and Othering of the learning disabled, perpetuating, hence, a hierarchy of impairments (Deal 2003). </w:t>
      </w:r>
    </w:p>
    <w:p w14:paraId="2D95E882" w14:textId="77777777" w:rsidR="00BE2C1D" w:rsidRPr="00BE2C1D" w:rsidRDefault="00BE2C1D" w:rsidP="00BE2C1D">
      <w:pPr>
        <w:spacing w:line="360" w:lineRule="auto"/>
        <w:jc w:val="both"/>
        <w:rPr>
          <w:rFonts w:cstheme="minorHAnsi"/>
        </w:rPr>
      </w:pPr>
      <w:r w:rsidRPr="00BE2C1D">
        <w:rPr>
          <w:rFonts w:cstheme="minorHAnsi"/>
        </w:rPr>
        <w:lastRenderedPageBreak/>
        <w:t xml:space="preserve">Besides academic support being experienced as a barrier to being, the young people were also concerned about further repercussions that such support had on them: </w:t>
      </w:r>
    </w:p>
    <w:p w14:paraId="6B05944C" w14:textId="77777777" w:rsidR="00BE2C1D" w:rsidRPr="00BE2C1D" w:rsidRDefault="00BE2C1D" w:rsidP="00BE2C1D">
      <w:pPr>
        <w:spacing w:line="360" w:lineRule="auto"/>
        <w:ind w:left="720"/>
        <w:jc w:val="both"/>
        <w:rPr>
          <w:rFonts w:cstheme="minorHAnsi"/>
          <w:color w:val="000000"/>
          <w:sz w:val="20"/>
          <w:szCs w:val="20"/>
        </w:rPr>
      </w:pPr>
      <w:r w:rsidRPr="00BE2C1D">
        <w:rPr>
          <w:rFonts w:cstheme="minorHAnsi"/>
          <w:color w:val="000000"/>
          <w:sz w:val="20"/>
          <w:szCs w:val="20"/>
        </w:rPr>
        <w:t>Ryan: They were very helpful, but the only problem was that I tended to rely on them too much. So, when it came to exam time or 1-1 sessions, I then found it hard explaining to the TA on what the task assigned to me was all about, so they could write it down into my own word rather than theirs.</w:t>
      </w:r>
    </w:p>
    <w:p w14:paraId="501715FA" w14:textId="77777777" w:rsidR="00BE2C1D" w:rsidRPr="00BE2C1D" w:rsidRDefault="00BE2C1D" w:rsidP="00BE2C1D">
      <w:pPr>
        <w:spacing w:line="360" w:lineRule="auto"/>
        <w:ind w:left="720"/>
        <w:jc w:val="both"/>
        <w:rPr>
          <w:sz w:val="20"/>
          <w:szCs w:val="20"/>
        </w:rPr>
      </w:pPr>
      <w:r w:rsidRPr="00BE2C1D">
        <w:rPr>
          <w:sz w:val="20"/>
          <w:szCs w:val="20"/>
        </w:rPr>
        <w:t>Patricia: I mean every so often she would maybe give me a little bit of a hand, like kind of, almost kind of like, kind of slyly (giggle), which was probably quite, on my part, it was quite nice, cause she liked, she was like: ‘Em, hint, hint, you got that wrong, and ..whatever’, em, which kind of helped me. But then, I suppose, I don’t know if it was helping me in the long run or not kind of thing. So, like sometimes, it was quite nice and that she gave me the hand and, at other times, I would be like ‘Mmm, but then I am not really gonna know this in the exam or something like that if you helped me.</w:t>
      </w:r>
    </w:p>
    <w:p w14:paraId="2B3D2F3E" w14:textId="69A56EB1" w:rsidR="00243BF7" w:rsidRDefault="00BE2C1D" w:rsidP="00BE2C1D">
      <w:pPr>
        <w:autoSpaceDE w:val="0"/>
        <w:autoSpaceDN w:val="0"/>
        <w:adjustRightInd w:val="0"/>
        <w:spacing w:after="0" w:line="360" w:lineRule="auto"/>
        <w:jc w:val="both"/>
        <w:rPr>
          <w:rFonts w:cstheme="minorHAnsi"/>
          <w:color w:val="000000"/>
        </w:rPr>
      </w:pPr>
      <w:r w:rsidRPr="00BE2C1D">
        <w:rPr>
          <w:rFonts w:cstheme="minorHAnsi"/>
          <w:color w:val="000000"/>
        </w:rPr>
        <w:t xml:space="preserve">Both Ryan and Patricia reported how the academic support from their TAs could have the opposite results compared to what was intended for. Ryan noted how he had become highly dependent on his TA and Patricia was worried about how such support could affect her academic performance. These stories were in line with findings from other studies, which also pointed out how TAs’ support had a negative effect on disabled students’ academic progress (Giancreco et al. 1997; Webster et al. 2010; Webster et al. 2011). Moreover, the issue of dependency on TAs was also discussed as a barrier to independent learning (Moyles and Suschitsky 1997; Sharples et al. 2015). </w:t>
      </w:r>
    </w:p>
    <w:p w14:paraId="0A945B50" w14:textId="77777777" w:rsidR="00243BF7" w:rsidRDefault="00243BF7" w:rsidP="00BE2C1D">
      <w:pPr>
        <w:autoSpaceDE w:val="0"/>
        <w:autoSpaceDN w:val="0"/>
        <w:adjustRightInd w:val="0"/>
        <w:spacing w:after="0" w:line="360" w:lineRule="auto"/>
        <w:jc w:val="both"/>
        <w:rPr>
          <w:rFonts w:cstheme="minorHAnsi"/>
          <w:color w:val="000000"/>
        </w:rPr>
      </w:pPr>
    </w:p>
    <w:p w14:paraId="20B30717" w14:textId="474488B4" w:rsidR="00BE2C1D" w:rsidRPr="00BE2C1D" w:rsidRDefault="00BE2C1D" w:rsidP="00BE2C1D">
      <w:pPr>
        <w:autoSpaceDE w:val="0"/>
        <w:autoSpaceDN w:val="0"/>
        <w:adjustRightInd w:val="0"/>
        <w:spacing w:after="0" w:line="360" w:lineRule="auto"/>
        <w:jc w:val="both"/>
        <w:rPr>
          <w:rFonts w:cstheme="minorHAnsi"/>
          <w:color w:val="000000"/>
        </w:rPr>
      </w:pPr>
      <w:r w:rsidRPr="00BE2C1D">
        <w:t xml:space="preserve">When I asked the young people why they believed that their TAs were involved with their learning, some of the responses were the following: </w:t>
      </w:r>
    </w:p>
    <w:p w14:paraId="0F23CD15" w14:textId="77777777" w:rsidR="00BE2C1D" w:rsidRPr="00BE2C1D" w:rsidRDefault="00BE2C1D" w:rsidP="00BE2C1D">
      <w:pPr>
        <w:spacing w:line="360" w:lineRule="auto"/>
        <w:ind w:left="720"/>
        <w:jc w:val="both"/>
        <w:rPr>
          <w:rFonts w:cstheme="minorHAnsi"/>
          <w:sz w:val="20"/>
          <w:szCs w:val="20"/>
        </w:rPr>
      </w:pPr>
      <w:r w:rsidRPr="00BE2C1D">
        <w:rPr>
          <w:rFonts w:cstheme="minorHAnsi"/>
          <w:sz w:val="20"/>
          <w:szCs w:val="20"/>
        </w:rPr>
        <w:t xml:space="preserve">Rania: And then often I think because you’re small there’s always with lots of people - and this is gonna sound quite generalizing, but to be fair, it is with older people, which in my case my TA, the TAs that were shared work, they were generally older, near retiring age, there’s always this like patronizing nature, cause they see like you’re small, they always see like, oh, like, like you got a younger mind, when actually that definitely isn’t the case for me. [..]so when you got like a TA to help you with your bags or make sure you are ok with your back, I don’t want them to try to help me with my work.  </w:t>
      </w:r>
    </w:p>
    <w:p w14:paraId="6B7F5C4B" w14:textId="77777777" w:rsidR="00BE2C1D" w:rsidRPr="00BE2C1D" w:rsidRDefault="00BE2C1D" w:rsidP="00BE2C1D">
      <w:pPr>
        <w:spacing w:line="360" w:lineRule="auto"/>
        <w:ind w:left="720"/>
        <w:jc w:val="both"/>
        <w:rPr>
          <w:sz w:val="20"/>
          <w:szCs w:val="20"/>
        </w:rPr>
      </w:pPr>
      <w:r w:rsidRPr="00BE2C1D">
        <w:rPr>
          <w:sz w:val="20"/>
          <w:szCs w:val="20"/>
        </w:rPr>
        <w:t xml:space="preserve">Michael: Em, I think it was just that by, by physically having an impairment that you had a mental impairment as well. And, em, I’m, yeah, I think that was easy for them to think that. </w:t>
      </w:r>
    </w:p>
    <w:p w14:paraId="100495E5" w14:textId="77777777" w:rsidR="00BE2C1D" w:rsidRPr="00BE2C1D" w:rsidRDefault="00BE2C1D" w:rsidP="00BE2C1D">
      <w:pPr>
        <w:spacing w:line="360" w:lineRule="auto"/>
        <w:ind w:left="720"/>
        <w:jc w:val="both"/>
        <w:rPr>
          <w:sz w:val="20"/>
          <w:szCs w:val="20"/>
        </w:rPr>
      </w:pPr>
      <w:r w:rsidRPr="00BE2C1D">
        <w:rPr>
          <w:sz w:val="20"/>
          <w:szCs w:val="20"/>
        </w:rPr>
        <w:t>Alice: I think like people years ago actually quite recent like 25 years ago, people with dwarfism in Britain and Scotland they were put in like, I don’t know what it was, special needs schools. And like actual schools for disabled, but to be honest, when you think about this, it’s hard to believe that.</w:t>
      </w:r>
    </w:p>
    <w:p w14:paraId="1AF7345B" w14:textId="77777777" w:rsidR="00BE2C1D" w:rsidRPr="00BE2C1D" w:rsidRDefault="00BE2C1D" w:rsidP="00BE2C1D">
      <w:pPr>
        <w:spacing w:line="360" w:lineRule="auto"/>
        <w:jc w:val="both"/>
      </w:pPr>
      <w:r w:rsidRPr="00BE2C1D">
        <w:t xml:space="preserve">While the above stories provided a range of reasons for why TAs felt like they had to support the young people with their learning, it is the common spaces among the stories which I would like to </w:t>
      </w:r>
      <w:r w:rsidRPr="00BE2C1D">
        <w:lastRenderedPageBreak/>
        <w:t xml:space="preserve">shed light on. Rania’s story started with an ageist comment (that she was conscious of), attributing this mentality that a small body was associated with a ‘younger’ mind to older people. This mentality can partly be related to Alice’s point about the institutionalisation of disabled children and young people in special schools, which perpetuated this discourse of the ‘special needs’ of disabled children and legitimated their segregation to separate spaces compared to their non-disabled peers (Tomlinson 2017). Moreover, Runswick-Cole (2011) and Slee (2019) considered how the rhetoric of inclusive education has been built on ableist and market-driven ideologies, perpetuating therefore the marginalisation of disabled students. Furthermore, this association of the smaller body with a younger mind can be linked to infantilization (that is to be treated as ‘younger’ than your age or like a child), whereby children and those deemed childlike are perceived as cognitive subpar (Mills and LeFrancois 2018). Infantilisation then legitimated early institutional interventions (e.g. a TA) that aimed to normalise children. </w:t>
      </w:r>
    </w:p>
    <w:p w14:paraId="18A04973" w14:textId="77777777" w:rsidR="00BE2C1D" w:rsidRPr="00BE2C1D" w:rsidRDefault="00BE2C1D" w:rsidP="00BE2C1D">
      <w:pPr>
        <w:spacing w:line="360" w:lineRule="auto"/>
        <w:jc w:val="both"/>
      </w:pPr>
      <w:r w:rsidRPr="00BE2C1D">
        <w:rPr>
          <w:rFonts w:cstheme="minorHAnsi"/>
        </w:rPr>
        <w:t xml:space="preserve">Michael’s account also resonated with Shildrick’s (2009) and Soley-Beltran’s (2004) argument, who assert that the non-normative body triggered assumptions about the intellectual capacity of the person with it, considering their mind ‘damaged’ too. This links with what Sinason (1992) referred to as a ‘secondary handicap of living with an impairment’ (in this case, restricted growth). This inscription of secondary ‘difficulties’ on RG </w:t>
      </w:r>
      <w:r w:rsidRPr="00BE2C1D">
        <w:rPr>
          <w:rFonts w:cstheme="minorHAnsi"/>
          <w:lang w:val="en-US"/>
        </w:rPr>
        <w:t xml:space="preserve">added further to the pathologisation of the body, holding it accountable for its ‘failure’ to ‘maintain ableist standards of normalcy’ (Rice et al. 2018: 668). RG (and height), in that context, acted as marker of (cognitive) ability, and the blame was situated on the individual’s body rather than the societal structures and institutions.  </w:t>
      </w:r>
    </w:p>
    <w:p w14:paraId="582E71B4" w14:textId="77777777" w:rsidR="00BE2C1D" w:rsidRPr="00BE2C1D" w:rsidRDefault="00BE2C1D" w:rsidP="00BE2C1D">
      <w:pPr>
        <w:autoSpaceDE w:val="0"/>
        <w:autoSpaceDN w:val="0"/>
        <w:adjustRightInd w:val="0"/>
        <w:spacing w:after="0" w:line="360" w:lineRule="auto"/>
        <w:jc w:val="both"/>
        <w:rPr>
          <w:rFonts w:cstheme="minorHAnsi"/>
          <w:lang w:val="en-US"/>
        </w:rPr>
      </w:pPr>
      <w:r w:rsidRPr="00BE2C1D">
        <w:rPr>
          <w:rFonts w:cstheme="minorHAnsi"/>
          <w:lang w:val="en-US"/>
        </w:rPr>
        <w:t xml:space="preserve">The stories that have been discussed so far tackled the barriers to doing and barriers to being separately, with physical support removing the former and academic support perpetuating the latter. However, the relationship between support and barriers to doing and being was more complicated, when the issue of independence came up, as discussed in the next section.   </w:t>
      </w:r>
    </w:p>
    <w:p w14:paraId="08CCF7B0" w14:textId="77777777" w:rsidR="00BE2C1D" w:rsidRPr="00BE2C1D" w:rsidRDefault="00BE2C1D" w:rsidP="00BE2C1D">
      <w:pPr>
        <w:keepNext/>
        <w:keepLines/>
        <w:spacing w:before="40" w:after="0" w:line="360" w:lineRule="auto"/>
        <w:outlineLvl w:val="1"/>
        <w:rPr>
          <w:rFonts w:asciiTheme="majorHAnsi" w:eastAsiaTheme="majorEastAsia" w:hAnsiTheme="majorHAnsi" w:cstheme="majorBidi"/>
          <w:color w:val="4472C4" w:themeColor="accent1"/>
          <w:sz w:val="26"/>
          <w:szCs w:val="26"/>
          <w:lang w:eastAsia="zh-CN"/>
        </w:rPr>
      </w:pPr>
      <w:bookmarkStart w:id="126" w:name="_Toc39585257"/>
      <w:r w:rsidRPr="00BE2C1D">
        <w:rPr>
          <w:rFonts w:asciiTheme="majorHAnsi" w:eastAsiaTheme="majorEastAsia" w:hAnsiTheme="majorHAnsi" w:cstheme="majorBidi"/>
          <w:color w:val="4472C4" w:themeColor="accent1"/>
          <w:sz w:val="26"/>
          <w:szCs w:val="26"/>
          <w:lang w:eastAsia="zh-CN"/>
        </w:rPr>
        <w:t>Support and Independence</w:t>
      </w:r>
      <w:bookmarkEnd w:id="126"/>
      <w:r w:rsidRPr="00BE2C1D">
        <w:rPr>
          <w:rFonts w:asciiTheme="majorHAnsi" w:eastAsiaTheme="majorEastAsia" w:hAnsiTheme="majorHAnsi" w:cstheme="majorBidi"/>
          <w:color w:val="4472C4" w:themeColor="accent1"/>
          <w:sz w:val="26"/>
          <w:szCs w:val="26"/>
          <w:lang w:eastAsia="zh-CN"/>
        </w:rPr>
        <w:t xml:space="preserve"> </w:t>
      </w:r>
    </w:p>
    <w:p w14:paraId="3A46C0A1" w14:textId="77777777" w:rsidR="00BE2C1D" w:rsidRPr="00BE2C1D" w:rsidRDefault="00BE2C1D" w:rsidP="00BE2C1D">
      <w:pPr>
        <w:spacing w:line="360" w:lineRule="auto"/>
        <w:jc w:val="both"/>
        <w:rPr>
          <w:rFonts w:cstheme="minorHAnsi"/>
          <w:color w:val="FF0000"/>
        </w:rPr>
      </w:pPr>
      <w:r w:rsidRPr="00BE2C1D">
        <w:t>A prevalent theme in the literature regarding disabled young people’s insights into TAs’ support was the ‘threat’ the TAs posed to their independence (</w:t>
      </w:r>
      <w:r w:rsidRPr="00BE2C1D">
        <w:rPr>
          <w:rFonts w:ascii="Calibri" w:hAnsi="Calibri" w:cs="Calibri"/>
        </w:rPr>
        <w:t xml:space="preserve">Bowers 1997; Broer et al. 2005; Egilson and Traustadottir 2009; Hemmingson et al. 2003; McLaughlin and Coleman-Fountain 2018; Mortier et al. 2010, 2011; </w:t>
      </w:r>
      <w:r w:rsidRPr="00BE2C1D">
        <w:rPr>
          <w:rFonts w:cstheme="minorHAnsi"/>
        </w:rPr>
        <w:t xml:space="preserve">Skär and Tamm 2001; Tews and Lupart 2008; Whitburn 2013). The young people in this research also shared their stories of how their TAs did not see them as independent and the potential toll this had on how they would be perceived by others too e.g. peers. Moreover, they further discussed why becoming independent was important to them and the labour they had to put to be considered as such. It is these stories that I turn the attention to, considering the desire of the young </w:t>
      </w:r>
      <w:r w:rsidRPr="00BE2C1D">
        <w:rPr>
          <w:rFonts w:cstheme="minorHAnsi"/>
        </w:rPr>
        <w:lastRenderedPageBreak/>
        <w:t xml:space="preserve">people for independency and its ‘symbolic value’ (McLaughlin and Coleman-Fountain 2018: 68), especially for disabled young people approaching adulthood (McLaughlin 2019; Slater 2015).     </w:t>
      </w:r>
    </w:p>
    <w:p w14:paraId="4758A1FA" w14:textId="77777777" w:rsidR="00BE2C1D" w:rsidRPr="00BE2C1D" w:rsidRDefault="00BE2C1D" w:rsidP="00BE2C1D">
      <w:pPr>
        <w:spacing w:line="360" w:lineRule="auto"/>
        <w:jc w:val="both"/>
      </w:pPr>
      <w:r w:rsidRPr="00BE2C1D">
        <w:t xml:space="preserve">In the focus group with the three young people, the topic of independence came up at different stages of the interview, but here I consider how they thought their independence was threatened by the presence of TAs. The following story is illustrative of how TAs were considered to undermine the young people’s independence: </w:t>
      </w:r>
    </w:p>
    <w:p w14:paraId="2E4AC438" w14:textId="77777777" w:rsidR="00BE2C1D" w:rsidRPr="00BE2C1D" w:rsidRDefault="00BE2C1D" w:rsidP="00BE2C1D">
      <w:pPr>
        <w:spacing w:line="360" w:lineRule="auto"/>
        <w:ind w:left="720"/>
        <w:jc w:val="both"/>
        <w:rPr>
          <w:sz w:val="20"/>
          <w:szCs w:val="20"/>
        </w:rPr>
      </w:pPr>
      <w:r w:rsidRPr="00BE2C1D">
        <w:rPr>
          <w:sz w:val="20"/>
          <w:szCs w:val="20"/>
        </w:rPr>
        <w:t xml:space="preserve">Louise: I don’t know, just little things. Like if you can’t reach something, there is like, you’re sitting down, you can’t reach it. There is a way, because like, like move yourself, stretch even further to reach it, but them someone seeing that you can’t reach it, they just grab it for you. </w:t>
      </w:r>
    </w:p>
    <w:p w14:paraId="05566E5E" w14:textId="77777777" w:rsidR="00BE2C1D" w:rsidRPr="00BE2C1D" w:rsidRDefault="00BE2C1D" w:rsidP="00BE2C1D">
      <w:pPr>
        <w:spacing w:line="360" w:lineRule="auto"/>
        <w:jc w:val="both"/>
        <w:rPr>
          <w:sz w:val="20"/>
          <w:szCs w:val="20"/>
        </w:rPr>
      </w:pPr>
      <w:r w:rsidRPr="00BE2C1D">
        <w:rPr>
          <w:sz w:val="20"/>
          <w:szCs w:val="20"/>
        </w:rPr>
        <w:t xml:space="preserve"> </w:t>
      </w:r>
      <w:r w:rsidRPr="00BE2C1D">
        <w:rPr>
          <w:sz w:val="20"/>
          <w:szCs w:val="20"/>
        </w:rPr>
        <w:tab/>
        <w:t>Me: Without even asking?</w:t>
      </w:r>
    </w:p>
    <w:p w14:paraId="5FD4AD57" w14:textId="77777777" w:rsidR="00BE2C1D" w:rsidRPr="00BE2C1D" w:rsidRDefault="00BE2C1D" w:rsidP="00BE2C1D">
      <w:pPr>
        <w:spacing w:line="360" w:lineRule="auto"/>
        <w:jc w:val="both"/>
        <w:rPr>
          <w:sz w:val="20"/>
          <w:szCs w:val="20"/>
        </w:rPr>
      </w:pPr>
      <w:r w:rsidRPr="00BE2C1D">
        <w:rPr>
          <w:sz w:val="20"/>
          <w:szCs w:val="20"/>
        </w:rPr>
        <w:t xml:space="preserve"> </w:t>
      </w:r>
      <w:r w:rsidRPr="00BE2C1D">
        <w:rPr>
          <w:sz w:val="20"/>
          <w:szCs w:val="20"/>
        </w:rPr>
        <w:tab/>
        <w:t>Louise: Yeah.</w:t>
      </w:r>
    </w:p>
    <w:p w14:paraId="7D0ACE59" w14:textId="77777777" w:rsidR="00BE2C1D" w:rsidRPr="00BE2C1D" w:rsidRDefault="00BE2C1D" w:rsidP="00BE2C1D">
      <w:pPr>
        <w:spacing w:line="360" w:lineRule="auto"/>
        <w:ind w:left="720"/>
        <w:jc w:val="both"/>
        <w:rPr>
          <w:sz w:val="20"/>
          <w:szCs w:val="20"/>
        </w:rPr>
      </w:pPr>
      <w:r w:rsidRPr="00BE2C1D">
        <w:rPr>
          <w:sz w:val="20"/>
          <w:szCs w:val="20"/>
        </w:rPr>
        <w:t>John: Yeah. But for me, yeah, I ‘d rather, if I am doing something, I’d rather ask than then just go and (Mary: yeah) do it, because like it’s kind like</w:t>
      </w:r>
    </w:p>
    <w:p w14:paraId="229B342E" w14:textId="77777777" w:rsidR="00BE2C1D" w:rsidRPr="00BE2C1D" w:rsidRDefault="00BE2C1D" w:rsidP="00BE2C1D">
      <w:pPr>
        <w:spacing w:line="360" w:lineRule="auto"/>
        <w:jc w:val="both"/>
        <w:rPr>
          <w:sz w:val="20"/>
          <w:szCs w:val="20"/>
        </w:rPr>
      </w:pPr>
      <w:r w:rsidRPr="00BE2C1D">
        <w:rPr>
          <w:sz w:val="20"/>
          <w:szCs w:val="20"/>
        </w:rPr>
        <w:t xml:space="preserve"> </w:t>
      </w:r>
      <w:r w:rsidRPr="00BE2C1D">
        <w:rPr>
          <w:sz w:val="20"/>
          <w:szCs w:val="20"/>
        </w:rPr>
        <w:tab/>
        <w:t>Louise: Degrading.</w:t>
      </w:r>
    </w:p>
    <w:p w14:paraId="372D8853" w14:textId="77777777" w:rsidR="00BE2C1D" w:rsidRPr="00BE2C1D" w:rsidRDefault="00BE2C1D" w:rsidP="00BE2C1D">
      <w:pPr>
        <w:spacing w:line="360" w:lineRule="auto"/>
        <w:ind w:left="720"/>
        <w:jc w:val="both"/>
        <w:rPr>
          <w:sz w:val="20"/>
          <w:szCs w:val="20"/>
        </w:rPr>
      </w:pPr>
      <w:r w:rsidRPr="00BE2C1D">
        <w:rPr>
          <w:sz w:val="20"/>
          <w:szCs w:val="20"/>
        </w:rPr>
        <w:t xml:space="preserve">John: Yeah. It’s kind like they’re being ‘Oh, you need this help (Mary: yeah), so I must go and help you.’ I am like: ‘That’s nice and everything, but I’ll ask you’. I don’t need someone to just go and do something for me, for like, just yeah. Like I ‘d rather ask or I can do it myself. </w:t>
      </w:r>
    </w:p>
    <w:p w14:paraId="68D3BA28" w14:textId="77777777" w:rsidR="00BE2C1D" w:rsidRPr="00BE2C1D" w:rsidRDefault="00BE2C1D" w:rsidP="00BE2C1D">
      <w:pPr>
        <w:spacing w:line="360" w:lineRule="auto"/>
        <w:jc w:val="both"/>
        <w:rPr>
          <w:sz w:val="20"/>
          <w:szCs w:val="20"/>
        </w:rPr>
      </w:pPr>
      <w:r w:rsidRPr="00BE2C1D">
        <w:rPr>
          <w:sz w:val="20"/>
          <w:szCs w:val="20"/>
        </w:rPr>
        <w:t xml:space="preserve"> </w:t>
      </w:r>
      <w:r w:rsidRPr="00BE2C1D">
        <w:rPr>
          <w:sz w:val="20"/>
          <w:szCs w:val="20"/>
        </w:rPr>
        <w:tab/>
        <w:t>Mary: Yeah, I agree with that. I ‘d rather do it myself than someone assuming that I need help.</w:t>
      </w:r>
    </w:p>
    <w:p w14:paraId="1D9980DA" w14:textId="77777777" w:rsidR="00BE2C1D" w:rsidRPr="00BE2C1D" w:rsidRDefault="00BE2C1D" w:rsidP="00BE2C1D">
      <w:pPr>
        <w:spacing w:line="360" w:lineRule="auto"/>
        <w:ind w:left="720"/>
        <w:jc w:val="both"/>
        <w:rPr>
          <w:sz w:val="20"/>
          <w:szCs w:val="20"/>
        </w:rPr>
      </w:pPr>
      <w:r w:rsidRPr="00BE2C1D">
        <w:rPr>
          <w:sz w:val="20"/>
          <w:szCs w:val="20"/>
        </w:rPr>
        <w:t>John: Yeah. And if like someone does assume I need help, I would rather them ask me than just go and do it (Mary: yeah). Because if someone is like ‘Oh, would you like me to pass paper, would you like me to hand that to you? I would rather do that than them just actually, yeah, do it.</w:t>
      </w:r>
    </w:p>
    <w:p w14:paraId="24F0E963" w14:textId="77777777" w:rsidR="00BE2C1D" w:rsidRPr="00BE2C1D" w:rsidRDefault="00BE2C1D" w:rsidP="00BE2C1D">
      <w:pPr>
        <w:spacing w:line="360" w:lineRule="auto"/>
        <w:jc w:val="both"/>
        <w:rPr>
          <w:rFonts w:cstheme="minorHAnsi"/>
        </w:rPr>
      </w:pPr>
      <w:r w:rsidRPr="00BE2C1D">
        <w:rPr>
          <w:rFonts w:cstheme="minorHAnsi"/>
        </w:rPr>
        <w:t>Many important insights are raised in this extract. Firstly, the three young people discussed mundane moments during which the TAs noticed them try to do something and, without asking them, they immediately intervened. As pointed out by John, TAs were vigilant, because their institutional role (Blatchford et al., 2009) obliged them to be ‘of help’ to the young people (‘I must go and help you’). However, the young people did not appreciate and/or welcome their positioning as ‘in need of help’, unless they asked for it. In this context and similar to other studies (</w:t>
      </w:r>
      <w:r w:rsidRPr="00BE2C1D">
        <w:rPr>
          <w:rFonts w:ascii="Calibri" w:hAnsi="Calibri" w:cs="Calibri"/>
        </w:rPr>
        <w:t xml:space="preserve">Broer et al. 2005; Egilson and Traustadottir 2009; Hemmingson et al. 2003; Mortier et al. 2010, 2011; </w:t>
      </w:r>
      <w:r w:rsidRPr="00BE2C1D">
        <w:rPr>
          <w:rFonts w:cstheme="minorHAnsi"/>
        </w:rPr>
        <w:t>Skär and Tamm 2001; Tews and Lupart 2008), disabled young people were not involved at all in the discussions of what support they needed, as this was already assumed and predetermined exclusively by the ‘adults</w:t>
      </w:r>
      <w:r w:rsidRPr="00BE2C1D">
        <w:rPr>
          <w:rFonts w:cstheme="minorHAnsi"/>
          <w:vertAlign w:val="superscript"/>
        </w:rPr>
        <w:footnoteReference w:id="104"/>
      </w:r>
      <w:r w:rsidRPr="00BE2C1D">
        <w:rPr>
          <w:rFonts w:cstheme="minorHAnsi"/>
        </w:rPr>
        <w:t xml:space="preserve">’ for the </w:t>
      </w:r>
      <w:r w:rsidRPr="00BE2C1D">
        <w:rPr>
          <w:rFonts w:cstheme="minorHAnsi"/>
        </w:rPr>
        <w:lastRenderedPageBreak/>
        <w:t xml:space="preserve">‘best interest of the child’. They were treated as passive recipients of support rather than as agents of it (Broer et al. 2005; Mortier et al. 2011). </w:t>
      </w:r>
    </w:p>
    <w:p w14:paraId="49364BAA" w14:textId="77777777" w:rsidR="00BE2C1D" w:rsidRPr="00BE2C1D" w:rsidRDefault="00BE2C1D" w:rsidP="00BE2C1D">
      <w:pPr>
        <w:spacing w:line="360" w:lineRule="auto"/>
        <w:jc w:val="both"/>
      </w:pPr>
      <w:r w:rsidRPr="00BE2C1D">
        <w:rPr>
          <w:rFonts w:cstheme="minorHAnsi"/>
        </w:rPr>
        <w:t>This leads to the second point, which is that the young people were not dismissive of support, but they wanted to have a say over when and what kind of support they needed (</w:t>
      </w:r>
      <w:r w:rsidRPr="00BE2C1D">
        <w:t>De Schauwer et al. 2009)</w:t>
      </w:r>
      <w:r w:rsidRPr="00BE2C1D">
        <w:rPr>
          <w:rFonts w:cstheme="minorHAnsi"/>
        </w:rPr>
        <w:t xml:space="preserve">. This is what McLaughlin (2019: 1-2) referred to as ‘supported independence, where disabled people are in control of the additional practical assistance’. This is an interesting insight into independence, as it did not strictly fit with individualistic, normative understandings of independence (Goodley, 2014 Shildrick 2005), </w:t>
      </w:r>
      <w:r w:rsidRPr="00BE2C1D">
        <w:t xml:space="preserve">whereby one is capable of doing everything by themselves, but took into consideration potential moments of relational independency, that is interdependency (Greenstein 2015). This is in line with Slater’s (2015) research with disabled young people, where their understanding of independence was drawing on relational understandings of it rather than merely individualistic ones. </w:t>
      </w:r>
    </w:p>
    <w:p w14:paraId="43018449" w14:textId="77777777" w:rsidR="00BE2C1D" w:rsidRPr="00BE2C1D" w:rsidRDefault="00BE2C1D" w:rsidP="00BE2C1D">
      <w:pPr>
        <w:spacing w:line="360" w:lineRule="auto"/>
        <w:jc w:val="both"/>
        <w:rPr>
          <w:rFonts w:cstheme="minorHAnsi"/>
        </w:rPr>
      </w:pPr>
      <w:r w:rsidRPr="00BE2C1D">
        <w:t xml:space="preserve">Thirdly, </w:t>
      </w:r>
      <w:r w:rsidRPr="00BE2C1D">
        <w:rPr>
          <w:rFonts w:cstheme="minorHAnsi"/>
        </w:rPr>
        <w:t xml:space="preserve">Louise’s opening story indicated the knowledge of the body that disabled people have (“there is a way..move yourself, stretch even further..”), which still remains subjugated by the dominant narratives of ableism, casting disability as a weakness (Be 2019). This potentially benevolent intention of the TAs to help reproduced a power relation, where the disabled body was viewed as in need of help, and this power relation was experienced and felt by the young people as ‘degrading’. </w:t>
      </w:r>
      <w:r w:rsidRPr="00BE2C1D">
        <w:t xml:space="preserve">The psycho-emotional toll of not being seen as independent was further discussed by Louise and other young people: </w:t>
      </w:r>
    </w:p>
    <w:p w14:paraId="2C3CC1F5" w14:textId="77777777" w:rsidR="00BE2C1D" w:rsidRPr="00BE2C1D" w:rsidRDefault="00BE2C1D" w:rsidP="00BE2C1D">
      <w:pPr>
        <w:spacing w:line="360" w:lineRule="auto"/>
        <w:ind w:left="720"/>
        <w:jc w:val="both"/>
        <w:rPr>
          <w:rFonts w:cstheme="minorHAnsi"/>
          <w:sz w:val="20"/>
          <w:szCs w:val="20"/>
        </w:rPr>
      </w:pPr>
      <w:r w:rsidRPr="00BE2C1D">
        <w:rPr>
          <w:rFonts w:cstheme="minorHAnsi"/>
          <w:sz w:val="20"/>
          <w:szCs w:val="20"/>
        </w:rPr>
        <w:t>Louise: Cause when they are constantly asking, you’re thinking: ‘Oh, they think that I am incapable’. But then, you’re thinking: ‘Oh, that is how everyone will always see me, like I am incapable (John: yeah).’</w:t>
      </w:r>
    </w:p>
    <w:p w14:paraId="31E99AE3" w14:textId="77777777" w:rsidR="00BE2C1D" w:rsidRPr="00BE2C1D" w:rsidRDefault="00BE2C1D" w:rsidP="00BE2C1D">
      <w:pPr>
        <w:spacing w:line="360" w:lineRule="auto"/>
        <w:ind w:left="720"/>
        <w:jc w:val="both"/>
        <w:rPr>
          <w:rFonts w:cstheme="minorHAnsi"/>
        </w:rPr>
      </w:pPr>
      <w:r w:rsidRPr="00BE2C1D">
        <w:rPr>
          <w:rFonts w:cstheme="minorHAnsi"/>
          <w:sz w:val="20"/>
          <w:szCs w:val="20"/>
        </w:rPr>
        <w:t xml:space="preserve">Lynn: And then like I walk, and then she helps me with everything. I am like: ‘I can tie my shoelaces, I can pick a book (Rania: Yes). And then, people look at me like: ‘Why does she need help with that’? And I am like: ‘You really embarrass me.’ </w:t>
      </w:r>
      <w:r w:rsidRPr="00BE2C1D">
        <w:rPr>
          <w:rFonts w:cstheme="minorHAnsi"/>
        </w:rPr>
        <w:t xml:space="preserve"> </w:t>
      </w:r>
    </w:p>
    <w:p w14:paraId="69E7C9DC" w14:textId="77777777" w:rsidR="00BE2C1D" w:rsidRPr="00BE2C1D" w:rsidRDefault="00BE2C1D" w:rsidP="00BE2C1D">
      <w:pPr>
        <w:spacing w:line="360" w:lineRule="auto"/>
        <w:jc w:val="both"/>
        <w:rPr>
          <w:rFonts w:cstheme="minorHAnsi"/>
        </w:rPr>
      </w:pPr>
      <w:r w:rsidRPr="00BE2C1D">
        <w:rPr>
          <w:rFonts w:cstheme="minorHAnsi"/>
        </w:rPr>
        <w:t xml:space="preserve">Louise and Lynn were mostly concerned about the stigmatising effects of support, which stressed their bodies as ‘incapable’ and, therefore, could impinge on others’ perceptions of them. Hence, they experienced this constant questioning of their abilities as a barrier to being. This was described as ‘degrading’ and ‘embarrassing’ by Louise and Lynn respectively, indicating the psycho-emotional disablism they were sustaining under the name of support.  </w:t>
      </w:r>
    </w:p>
    <w:p w14:paraId="7C37DD20" w14:textId="77777777" w:rsidR="00BE2C1D" w:rsidRPr="00BE2C1D" w:rsidRDefault="00BE2C1D" w:rsidP="00BE2C1D">
      <w:pPr>
        <w:spacing w:line="360" w:lineRule="auto"/>
        <w:jc w:val="both"/>
        <w:rPr>
          <w:rFonts w:cstheme="minorHAnsi"/>
        </w:rPr>
      </w:pPr>
      <w:r w:rsidRPr="00BE2C1D">
        <w:rPr>
          <w:rFonts w:cstheme="minorHAnsi"/>
        </w:rPr>
        <w:t xml:space="preserve">The desire for independence was also expressed by some young people by comparing themselves to others that seemed to be in need of such support compared to them: </w:t>
      </w:r>
    </w:p>
    <w:p w14:paraId="062B1D86" w14:textId="77777777" w:rsidR="00BE2C1D" w:rsidRPr="00BE2C1D" w:rsidRDefault="00BE2C1D" w:rsidP="00BE2C1D">
      <w:pPr>
        <w:spacing w:line="360" w:lineRule="auto"/>
        <w:ind w:left="720"/>
        <w:jc w:val="both"/>
        <w:rPr>
          <w:rFonts w:cstheme="minorHAnsi"/>
          <w:sz w:val="20"/>
          <w:szCs w:val="20"/>
        </w:rPr>
      </w:pPr>
      <w:r w:rsidRPr="00BE2C1D">
        <w:rPr>
          <w:rFonts w:cstheme="minorHAnsi"/>
          <w:sz w:val="20"/>
          <w:szCs w:val="20"/>
        </w:rPr>
        <w:t xml:space="preserve">Rania: When you enter teaching assistants, in the first year I was placed in a class with a lad with a hearing impairment and so we shared the TA. And then, I think after the first year they realized I didn’t </w:t>
      </w:r>
      <w:r w:rsidRPr="00BE2C1D">
        <w:rPr>
          <w:rFonts w:cstheme="minorHAnsi"/>
          <w:sz w:val="20"/>
          <w:szCs w:val="20"/>
        </w:rPr>
        <w:lastRenderedPageBreak/>
        <w:t xml:space="preserve">need her. I was very independent by myself and literally wouldn’t need her at all unless I did not get on with my things.  And then that was, drop issues assigned, so yeah, she would carry on being aside to this other student and not to me after the first year. So, when I was getting on with things, it was fine. </w:t>
      </w:r>
    </w:p>
    <w:p w14:paraId="3F184BC3" w14:textId="77777777" w:rsidR="00BE2C1D" w:rsidRPr="00BE2C1D" w:rsidRDefault="00BE2C1D" w:rsidP="00BE2C1D">
      <w:pPr>
        <w:spacing w:line="360" w:lineRule="auto"/>
        <w:ind w:left="720"/>
        <w:jc w:val="both"/>
        <w:rPr>
          <w:rFonts w:cstheme="minorHAnsi"/>
          <w:sz w:val="20"/>
          <w:szCs w:val="20"/>
        </w:rPr>
      </w:pPr>
      <w:r w:rsidRPr="00BE2C1D">
        <w:rPr>
          <w:rFonts w:cstheme="minorHAnsi"/>
          <w:sz w:val="20"/>
          <w:szCs w:val="20"/>
        </w:rPr>
        <w:t>Lynn: And then they go: ‘Lynn, okay, I will write this down for you.’ And I am like ‘I can write it myself. I have. Look’. Like the girl in the wheelchair has help, but I don’t want help. I need to learn how to do it myself. I don’t want to get in the habit like “Oh, they are always gonna be there for me”. I don’t wanna be in that habit. I wanna learn for myself, so yeah.</w:t>
      </w:r>
    </w:p>
    <w:p w14:paraId="221F4684" w14:textId="77777777" w:rsidR="00BE2C1D" w:rsidRPr="00BE2C1D" w:rsidRDefault="00BE2C1D" w:rsidP="00BE2C1D">
      <w:pPr>
        <w:spacing w:line="360" w:lineRule="auto"/>
        <w:jc w:val="both"/>
        <w:rPr>
          <w:rFonts w:cstheme="minorHAnsi"/>
        </w:rPr>
      </w:pPr>
      <w:r w:rsidRPr="00BE2C1D">
        <w:rPr>
          <w:rFonts w:cstheme="minorHAnsi"/>
        </w:rPr>
        <w:t>In both stories, TAs were regarded as helpful for the disabled peers, but not for the young people themselves. This claim to independence then drew on the dissociation from the disabled Other and perpetuated a hierarchy of impairments (Deal 2003), whereby students with certain impairments were constructed as less independent and in ‘real’ need of help from a TA (Priestley et al. 1999; McMaugh 2011) compared to students with other impairments, who could be (more) independent. The young people then relied on a more normative understanding of independence, which was identical with no support at all (Shildrick 2005). However, my intention here is not to ‘call out’ the two young people for drawing on a normative perspective of independence, but to pay attention to ‘</w:t>
      </w:r>
      <w:r w:rsidRPr="00BE2C1D">
        <w:t xml:space="preserve">the deeply embedded nature of norms of independence as self-reliance in people’s understandings of who is the valued subject (McLaughlin and Coleman-Fountain 2018: 70). To borrow McLaughlin and Coleman-Fountain’s (2019: 377) words, my purpose here is </w:t>
      </w:r>
    </w:p>
    <w:p w14:paraId="24E10528" w14:textId="77777777" w:rsidR="00BE2C1D" w:rsidRPr="00BE2C1D" w:rsidRDefault="00BE2C1D" w:rsidP="00BE2C1D">
      <w:pPr>
        <w:spacing w:line="360" w:lineRule="auto"/>
        <w:ind w:left="720"/>
        <w:jc w:val="both"/>
        <w:rPr>
          <w:sz w:val="20"/>
          <w:szCs w:val="20"/>
        </w:rPr>
      </w:pPr>
      <w:r w:rsidRPr="00BE2C1D">
        <w:rPr>
          <w:sz w:val="20"/>
          <w:szCs w:val="20"/>
        </w:rPr>
        <w:t xml:space="preserve">not to criticise them, or present them as dupes to this broader imaginary. Instead, it is to acknowledge that because they draw from wider circulating narratives of what kinds of body can be valued, they remain, as we all do, within disciplinary dynamics.   </w:t>
      </w:r>
    </w:p>
    <w:p w14:paraId="678F82C8" w14:textId="03D50E73" w:rsidR="00BE2C1D" w:rsidRPr="00BE2C1D" w:rsidRDefault="00BE2C1D" w:rsidP="00BE2C1D">
      <w:pPr>
        <w:spacing w:line="360" w:lineRule="auto"/>
        <w:jc w:val="both"/>
      </w:pPr>
      <w:r w:rsidRPr="00BE2C1D">
        <w:t xml:space="preserve">McLaughlin and Coleman-Fountain (2019: 378) argued that such narratives reflect ‘the remaining restrictions within our imaginaries for what bodies can be and still be celebrated’ and the symbolic value that is still attributed to independence (McLaughlin and Coleman-Fountain, 2018). </w:t>
      </w:r>
    </w:p>
    <w:p w14:paraId="079915CA" w14:textId="77777777" w:rsidR="00BE2C1D" w:rsidRPr="00BE2C1D" w:rsidRDefault="00BE2C1D" w:rsidP="00BE2C1D">
      <w:pPr>
        <w:spacing w:line="360" w:lineRule="auto"/>
        <w:jc w:val="both"/>
      </w:pPr>
      <w:r w:rsidRPr="00BE2C1D">
        <w:t xml:space="preserve">Moreover, it is worth noting the labour disabled young people had to put to prove to their TAs (and others) their independence, as acknowledged in the above two stories. For Rania, this took a year at least and, even after that, she still had to prove that she was getting on with things. In Lynn’s case, the effort was daily and constant, as indicated in the example of the writing task. Scully (2010: 32) has described this labour as a ‘hidden’ one, since the labour that disabled people put to manage their impairments remained unrecognised by non-disabled people. McLaughlin and Coleman-Fountain (2014, 2018) also discussed the hidden labour of the disabled young people in their research, who managed their impairment in such ways so that they would be not considered as less independent.  </w:t>
      </w:r>
    </w:p>
    <w:p w14:paraId="16E5A5C6" w14:textId="77777777" w:rsidR="00BE2C1D" w:rsidRPr="00BE2C1D" w:rsidRDefault="00BE2C1D" w:rsidP="00BE2C1D">
      <w:pPr>
        <w:spacing w:line="360" w:lineRule="auto"/>
        <w:jc w:val="both"/>
      </w:pPr>
      <w:r w:rsidRPr="00BE2C1D">
        <w:lastRenderedPageBreak/>
        <w:t xml:space="preserve">This desire to be independent or to become independent was also brought up in other stories, especially as the young people were approaching adulthood: </w:t>
      </w:r>
    </w:p>
    <w:p w14:paraId="03156A09" w14:textId="77777777" w:rsidR="00BE2C1D" w:rsidRPr="00BE2C1D" w:rsidRDefault="00BE2C1D" w:rsidP="00BE2C1D">
      <w:pPr>
        <w:spacing w:line="360" w:lineRule="auto"/>
        <w:ind w:left="720"/>
        <w:jc w:val="both"/>
        <w:rPr>
          <w:sz w:val="20"/>
          <w:szCs w:val="20"/>
        </w:rPr>
      </w:pPr>
      <w:r w:rsidRPr="00BE2C1D">
        <w:rPr>
          <w:sz w:val="20"/>
          <w:szCs w:val="20"/>
        </w:rPr>
        <w:t xml:space="preserve">Patricia: And then when I kind of got a little bit older, I kind of realised I can actually do this stuff by myself that I don’t really need any help kind of thing. Em, so yeah, she was quite good. And then she also like gave me the independence (I mean), because I was becoming an adult and I kind of realised myself I need to learn to do this, because I can’t do it. If I am not gonna have help at home, I don’t need the help here kind of thing. </w:t>
      </w:r>
    </w:p>
    <w:p w14:paraId="67918B39" w14:textId="77777777" w:rsidR="00BE2C1D" w:rsidRPr="00BE2C1D" w:rsidRDefault="00BE2C1D" w:rsidP="00BE2C1D">
      <w:pPr>
        <w:spacing w:line="360" w:lineRule="auto"/>
        <w:ind w:left="720"/>
        <w:jc w:val="both"/>
        <w:rPr>
          <w:rFonts w:cstheme="minorHAnsi"/>
          <w:sz w:val="20"/>
          <w:szCs w:val="20"/>
        </w:rPr>
      </w:pPr>
      <w:r w:rsidRPr="00BE2C1D">
        <w:rPr>
          <w:rFonts w:cstheme="minorHAnsi"/>
          <w:sz w:val="20"/>
          <w:szCs w:val="20"/>
        </w:rPr>
        <w:t xml:space="preserve">Christine: Yeah, yeah. I had, when I first joined, I had, probably I had a TA for like every single lesson, so to get used to the area. But now, sometimes, I don’t have even a TA in, in a lesson. So, it’s got reduced a lot. </w:t>
      </w:r>
    </w:p>
    <w:p w14:paraId="64E223B8" w14:textId="77777777" w:rsidR="00BE2C1D" w:rsidRPr="00BE2C1D" w:rsidRDefault="00BE2C1D" w:rsidP="00BE2C1D">
      <w:pPr>
        <w:spacing w:line="360" w:lineRule="auto"/>
        <w:jc w:val="both"/>
        <w:rPr>
          <w:rFonts w:cstheme="minorHAnsi"/>
        </w:rPr>
      </w:pPr>
      <w:r w:rsidRPr="00BE2C1D">
        <w:rPr>
          <w:rFonts w:cstheme="minorHAnsi"/>
        </w:rPr>
        <w:t xml:space="preserve">Similar to Lynn, Patricia discussed how she had to do things by herself rather than depending on others, especially because she was getting closer to adulthood. For Christine, the transition from having a TA for every lesson to having no TAs was the result of years passing, meaning that Christine was getting older and closer to adulthood too. This expectation from disabled young people to ‘grow independent’ was discussed by Slater (2015) and McLaughlin (2019), who discussed independence as a signifier of normative, neoliberal adulthood. Disabled young people were expected to perform independence if they were to fit into this narrow, ableist, neoliberal view of adulthood. This discussion also resonated with McLaughlin’s and Coleman-Fountain’s (2018) consideration of the symbolic value of independence, which was a major signifier of who comes to count as a ‘good’ citizen (McLaughlin 2019). The young people had to grow independent as a proof of them fitting into the productive, adult citizen.  </w:t>
      </w:r>
    </w:p>
    <w:p w14:paraId="5281457A" w14:textId="77777777" w:rsidR="00BE2C1D" w:rsidRPr="00BE2C1D" w:rsidRDefault="00BE2C1D" w:rsidP="00BE2C1D">
      <w:pPr>
        <w:spacing w:line="360" w:lineRule="auto"/>
        <w:jc w:val="both"/>
        <w:rPr>
          <w:rFonts w:cstheme="minorHAnsi"/>
        </w:rPr>
      </w:pPr>
      <w:r w:rsidRPr="00BE2C1D">
        <w:rPr>
          <w:rFonts w:cstheme="minorHAnsi"/>
        </w:rPr>
        <w:t xml:space="preserve">To summarise, this section looked at the double-edged nature of support in relation to the topic of independence. TAs’ support was experienced as a barrier to being by the young people when it threatened their independence or when their abilities were questioned. This barrier to being was of particular significance to the young people, as illustrated in their stories, due to the symbolic value of independence (McLaughlin and Coleman-Fountain 2018), especially when approaching adulthood (Slater 2015; McLaughlin 2019). To fight back this barrier, the young people referred to how they had to put constant, hidden labour (Scully 2010) to prove themselves as independent. Another strategy of constructing themselves as independent was through the dissociation from the disabled Other, who was constructed as in need of support. Moreover, the stories of the young people drew on a range of understandings of independence, such as normative independence (Goodley 2014), supported independence (McLaughlin 2019) and relational independence (Slater 2015).   </w:t>
      </w:r>
      <w:r w:rsidRPr="00BE2C1D">
        <w:t xml:space="preserve">   </w:t>
      </w:r>
    </w:p>
    <w:p w14:paraId="445327EC" w14:textId="77777777" w:rsidR="00BE2C1D" w:rsidRPr="00BE2C1D" w:rsidRDefault="00BE2C1D" w:rsidP="00BE2C1D">
      <w:pPr>
        <w:spacing w:line="360" w:lineRule="auto"/>
        <w:jc w:val="both"/>
      </w:pPr>
      <w:r w:rsidRPr="00BE2C1D">
        <w:lastRenderedPageBreak/>
        <w:t xml:space="preserve">The focus so far has been on how the young people experienced their TAs’ support. Nevertheless, TAs’ support also came with the toll of positioning the disabled young people under their constant surveillance. It is to these stories of surveillance that I am turning to next.  </w:t>
      </w:r>
    </w:p>
    <w:p w14:paraId="452F50F7" w14:textId="77777777" w:rsidR="00BE2C1D" w:rsidRPr="00BE2C1D" w:rsidRDefault="00BE2C1D" w:rsidP="00BE2C1D">
      <w:pPr>
        <w:keepNext/>
        <w:keepLines/>
        <w:spacing w:before="40" w:after="0" w:line="360" w:lineRule="auto"/>
        <w:outlineLvl w:val="1"/>
        <w:rPr>
          <w:rFonts w:asciiTheme="majorHAnsi" w:eastAsiaTheme="majorEastAsia" w:hAnsiTheme="majorHAnsi" w:cstheme="majorBidi"/>
          <w:color w:val="2F5496" w:themeColor="accent1" w:themeShade="BF"/>
          <w:sz w:val="26"/>
          <w:szCs w:val="26"/>
          <w:lang w:eastAsia="zh-CN"/>
        </w:rPr>
      </w:pPr>
      <w:bookmarkStart w:id="127" w:name="_Toc39585258"/>
      <w:r w:rsidRPr="00BE2C1D">
        <w:rPr>
          <w:rFonts w:asciiTheme="majorHAnsi" w:eastAsiaTheme="majorEastAsia" w:hAnsiTheme="majorHAnsi" w:cstheme="majorBidi"/>
          <w:color w:val="2F5496" w:themeColor="accent1" w:themeShade="BF"/>
          <w:sz w:val="26"/>
          <w:szCs w:val="26"/>
          <w:lang w:eastAsia="zh-CN"/>
        </w:rPr>
        <w:t>Teaching Assistants as Panopticons</w:t>
      </w:r>
      <w:bookmarkEnd w:id="127"/>
    </w:p>
    <w:p w14:paraId="4341F177" w14:textId="77777777" w:rsidR="00BE2C1D" w:rsidRPr="00BE2C1D" w:rsidRDefault="00BE2C1D" w:rsidP="00BE2C1D">
      <w:pPr>
        <w:spacing w:line="360" w:lineRule="auto"/>
        <w:ind w:left="720"/>
        <w:jc w:val="both"/>
        <w:rPr>
          <w:sz w:val="20"/>
          <w:szCs w:val="20"/>
        </w:rPr>
      </w:pPr>
      <w:r w:rsidRPr="00BE2C1D">
        <w:rPr>
          <w:sz w:val="20"/>
          <w:szCs w:val="20"/>
        </w:rPr>
        <w:t>Whenever one is dealing with a multiplicity of individuals on whom a task or a particular form of behaviour must be imposed, the panoptic schema may be used (Foucault 1977: 205).</w:t>
      </w:r>
    </w:p>
    <w:p w14:paraId="53D944FC" w14:textId="77777777" w:rsidR="00BE2C1D" w:rsidRPr="00BE2C1D" w:rsidRDefault="00BE2C1D" w:rsidP="00BE2C1D">
      <w:pPr>
        <w:spacing w:line="360" w:lineRule="auto"/>
        <w:jc w:val="both"/>
        <w:rPr>
          <w:color w:val="FF0000"/>
        </w:rPr>
      </w:pPr>
      <w:r w:rsidRPr="00BE2C1D">
        <w:t xml:space="preserve">As demonstrated so far in the stories of the young people, TAs supported them in various ways, some of which were welcomed, and others that were experienced as unnecessary and patronising. However, what the young people were mostly sceptical about and annoyed with was that the support came at the expense of them being under the surveillance of their TAs, in and out of the classroom, and the repercussions of such surveillance. The discussion of these stories builds on Foucault’s work on surveillance (1977) and Surveillance Studies (Caluyam 2010; Gallagher 2010), which I explain first. </w:t>
      </w:r>
    </w:p>
    <w:p w14:paraId="513860D2" w14:textId="77777777" w:rsidR="00BE2C1D" w:rsidRPr="00BE2C1D" w:rsidRDefault="00BE2C1D" w:rsidP="00BE2C1D">
      <w:pPr>
        <w:spacing w:line="360" w:lineRule="auto"/>
        <w:jc w:val="both"/>
      </w:pPr>
      <w:r w:rsidRPr="00BE2C1D">
        <w:t xml:space="preserve">Foucault (1982: 787) described schools in the following terms: </w:t>
      </w:r>
    </w:p>
    <w:p w14:paraId="7AE739FE" w14:textId="77777777" w:rsidR="00BE2C1D" w:rsidRPr="00BE2C1D" w:rsidRDefault="00BE2C1D" w:rsidP="00BE2C1D">
      <w:pPr>
        <w:spacing w:line="360" w:lineRule="auto"/>
        <w:ind w:left="720"/>
        <w:jc w:val="both"/>
        <w:rPr>
          <w:sz w:val="20"/>
          <w:szCs w:val="20"/>
        </w:rPr>
      </w:pPr>
      <w:r w:rsidRPr="00BE2C1D">
        <w:rPr>
          <w:sz w:val="20"/>
          <w:szCs w:val="20"/>
        </w:rPr>
        <w:t>Take for an example an educational institution: the disposal of its space, the meticulous regulations which govern its internal life, the different activities which are organised there, the diverse persons who live there or meet one another, each with his own functions, his well-defined character - all these things constitute a block of capacity-communication-power. The activity which ensures apprenticeship and the acquisition of aptitudes or types of behaviour is developed there by means of a whole ensemble of regulated communications (lessons, questions and answers, orders, exhortations, coded signs of obedience, differentiation marks of the value of each person and of the levels of knowledge) and by the means of a whole series of power processes (enclosure, surveillance, reward and punishment, the pyramidal hierarchy).</w:t>
      </w:r>
    </w:p>
    <w:p w14:paraId="13A8C015" w14:textId="77777777" w:rsidR="00BE2C1D" w:rsidRPr="00BE2C1D" w:rsidRDefault="00BE2C1D" w:rsidP="00BE2C1D">
      <w:pPr>
        <w:spacing w:line="360" w:lineRule="auto"/>
        <w:jc w:val="both"/>
      </w:pPr>
      <w:r w:rsidRPr="00BE2C1D">
        <w:t xml:space="preserve">In the above quote, Foucault referred to the disciplinary technologies aiming at the production of ‘docile subjects’ in schools, with surveillance being one such technology. According to Foucault (1977), surveillance included three procedures - hierarchical observation, normalising judgement and examination, with the focus here being on the first two, as they were the ones that were raised in the participants’ stories.  </w:t>
      </w:r>
    </w:p>
    <w:p w14:paraId="4BDDB461" w14:textId="77777777" w:rsidR="00BE2C1D" w:rsidRPr="00BE2C1D" w:rsidRDefault="00BE2C1D" w:rsidP="00BE2C1D">
      <w:pPr>
        <w:spacing w:line="360" w:lineRule="auto"/>
        <w:jc w:val="both"/>
      </w:pPr>
      <w:r w:rsidRPr="00BE2C1D">
        <w:t xml:space="preserve">Hierarchical observation referred to the observation and close attention to the individual conduct of the students by their teachers (and TAs) and was hierarchical, because it was intrusive and coercive (Foucault 1977). For hierarchical observation to take place, two technologies were applied:   spatialisation and panopticism. Spatialisation referred to the role that physical structures played on the transformation of the human being into a docile subject, or, simply put, how space is set out to </w:t>
      </w:r>
      <w:r w:rsidRPr="00BE2C1D">
        <w:lastRenderedPageBreak/>
        <w:t>discipline bodies</w:t>
      </w:r>
      <w:r w:rsidRPr="00BE2C1D">
        <w:rPr>
          <w:vertAlign w:val="superscript"/>
        </w:rPr>
        <w:footnoteReference w:id="105"/>
      </w:r>
      <w:r w:rsidRPr="00BE2C1D">
        <w:t xml:space="preserve">. Panopticism had to do with the internalisation of the sense that you were relentlessly watched (internalisation of the gaze) so that you behaved in a specific manner (ibid). As Foucault (1977: 187) argued, ‘It is the fact of constantly being seen, of being always able to be seen, that maintains the disciplined individual in his subjection’. </w:t>
      </w:r>
    </w:p>
    <w:p w14:paraId="135DC369" w14:textId="77777777" w:rsidR="00BE2C1D" w:rsidRPr="00BE2C1D" w:rsidRDefault="00BE2C1D" w:rsidP="00BE2C1D">
      <w:pPr>
        <w:spacing w:line="360" w:lineRule="auto"/>
        <w:jc w:val="both"/>
      </w:pPr>
      <w:r w:rsidRPr="00BE2C1D">
        <w:t xml:space="preserve">The idea of panopticism derived from the Panopticon (introduced by Bentham), a prison designed in such a way so that inmates would always feel that they were being watched. The purpose of the Panopticon was for their inmates to internalise the disciplinary gaze, even if surveillance was discontinuous, so that they self-govern their conduct accordingly. This meant that </w:t>
      </w:r>
    </w:p>
    <w:p w14:paraId="0F1E4247" w14:textId="77777777" w:rsidR="00BE2C1D" w:rsidRPr="00BE2C1D" w:rsidRDefault="00BE2C1D" w:rsidP="00BE2C1D">
      <w:pPr>
        <w:spacing w:line="360" w:lineRule="auto"/>
        <w:ind w:left="720"/>
        <w:rPr>
          <w:sz w:val="20"/>
          <w:szCs w:val="20"/>
        </w:rPr>
      </w:pPr>
      <w:r w:rsidRPr="00BE2C1D">
        <w:rPr>
          <w:sz w:val="20"/>
          <w:szCs w:val="20"/>
        </w:rPr>
        <w:t>He who is subjected to a field of visibility, and who knows it, assumes responsibility for the constraints of power; he makes them play spontaneously upon himself; he inscribes in himself the power relation in which he simultaneously plays both roles; he becomes the principle of his own subjection (ibid: 202-203).</w:t>
      </w:r>
    </w:p>
    <w:p w14:paraId="16E15AF0" w14:textId="77777777" w:rsidR="00BE2C1D" w:rsidRPr="00BE2C1D" w:rsidRDefault="00BE2C1D" w:rsidP="00BE2C1D">
      <w:pPr>
        <w:spacing w:line="360" w:lineRule="auto"/>
        <w:jc w:val="both"/>
      </w:pPr>
      <w:r w:rsidRPr="00BE2C1D">
        <w:t xml:space="preserve">Rather than considering the Panopticon literally, Foucault (ibid: 205) suggested that it ‘must be understood as a generalizable model of functioning; a way of defining power relations in terms of the everyday life of men.’ For instance, Foucault considered institutions such as schools and hospitals as panoptic ones. </w:t>
      </w:r>
    </w:p>
    <w:p w14:paraId="5E6A650E" w14:textId="77777777" w:rsidR="00BE2C1D" w:rsidRPr="00BE2C1D" w:rsidRDefault="00BE2C1D" w:rsidP="00BE2C1D">
      <w:pPr>
        <w:spacing w:line="360" w:lineRule="auto"/>
        <w:jc w:val="both"/>
      </w:pPr>
      <w:r w:rsidRPr="00BE2C1D">
        <w:t>Besides Foucault, various other scholars have adopted the ‘Panopticon’ as a metaphor to consider how surveillance plays out in schools and how everyone - teachers, TAs, students - is caught in it (Azzarito 2009; Gallagher 2010, 2011; Hope 2009; Taylor 2013). Disability Studies scholars have illustrated in particular how such surveillance is exacerbated for disabled students, who find themselves under the surveillance of various stakeholders, such as TAs, teachers, SENCOs</w:t>
      </w:r>
      <w:r w:rsidRPr="00BE2C1D">
        <w:rPr>
          <w:vertAlign w:val="superscript"/>
        </w:rPr>
        <w:footnoteReference w:id="106"/>
      </w:r>
      <w:r w:rsidRPr="00BE2C1D">
        <w:t xml:space="preserve"> and their peers (Allan 1996; 2008; Holt 2004b, 2007). However, the dominance of the panopticon in examining surveillance has been understood as oppressive by various Surveillance Studies scholars (Haggerty 2006), who have turned to other theorists, such as Deleuze and Guattari, to discuss surveillance e.g. the concept of the ‘surveillance assemblage’, or who have proposed to move towards post-panoptic understandings of surveillance (Lyon 2006). This push to engage with other theorists and theories to look into surveillance drew on critiques around the perceived limitations of the Panopticon (for such critiques see the edited collection by Lyon 2006). For instance, Mathiesen (1997) and Ball (2006) argued that the Panopticon perpetuated a static, unidirectional understanding of power and the gaze. </w:t>
      </w:r>
    </w:p>
    <w:p w14:paraId="32B3A8F2" w14:textId="77777777" w:rsidR="00BE2C1D" w:rsidRPr="00BE2C1D" w:rsidRDefault="00BE2C1D" w:rsidP="00BE2C1D">
      <w:pPr>
        <w:spacing w:line="360" w:lineRule="auto"/>
        <w:jc w:val="both"/>
      </w:pPr>
      <w:r w:rsidRPr="00BE2C1D">
        <w:t xml:space="preserve">Nevertheless, I agree with Caluya (2010) that such critiques rely on misinterpretations (or selective readings) of Foucault’s work and, specifically, his work around ‘power’ and the ‘gaze’. Caluya (2010: </w:t>
      </w:r>
      <w:r w:rsidRPr="00BE2C1D">
        <w:lastRenderedPageBreak/>
        <w:t>624) proposed that ‘Foucault’s analysis of the panopticon should be situated within the context of his microphysics of power’. He argued that Foucault’s take on the Panopticon offers ‘an analysis of power through the use of the gaze’ (ibid: 202) and his analysis of power ‘has its principle not so much in a person as in a certain concerted distribution of bodies, surfaces, lights, gazes; in an arrangement whose internal mechanisms produce the relation in which individuals are caught up’ (ibid: 202).</w:t>
      </w:r>
    </w:p>
    <w:p w14:paraId="3165241B" w14:textId="77777777" w:rsidR="00BE2C1D" w:rsidRPr="00BE2C1D" w:rsidRDefault="00BE2C1D" w:rsidP="00BE2C1D">
      <w:pPr>
        <w:spacing w:line="360" w:lineRule="auto"/>
        <w:jc w:val="both"/>
      </w:pPr>
      <w:r w:rsidRPr="00BE2C1D">
        <w:t xml:space="preserve">My analysis of TAs as agents of surveillance was in line with such a view of panopticism in schools, meaning that it focused on how TAs enact surveillance whilst also finding themselves under surveillance. As Foucault (1977: 207) proposed, ‘this Panopticon, subtly arranged so that an observer may observe, at a glance, so many different individuals, also enables everyone to come and observe any of the observers’.  </w:t>
      </w:r>
    </w:p>
    <w:p w14:paraId="1026F1A2" w14:textId="77777777" w:rsidR="00BE2C1D" w:rsidRPr="00BE2C1D" w:rsidRDefault="00BE2C1D" w:rsidP="00BE2C1D">
      <w:pPr>
        <w:spacing w:line="360" w:lineRule="auto"/>
        <w:jc w:val="both"/>
      </w:pPr>
      <w:r w:rsidRPr="00BE2C1D">
        <w:t xml:space="preserve">The second technology of surveillance was the ‘normalising judgement’, which included the establishment and enforcement of specific norms of behaviour and the accompanying strategies to punish and normalise those who transgressed such norms or deviated from them (Foucault 1977). Therefore, the normalising judgement relied on the differentiation of the individuals based on the extent to which they complied with the rules. These two technologies - the hierarchical observation and the normalising judgement - were the main means through which the surveillance of the participants by their TAs was accomplished, as the following stories of surveillance demonstrated. </w:t>
      </w:r>
    </w:p>
    <w:p w14:paraId="411094D1" w14:textId="77777777" w:rsidR="00BE2C1D" w:rsidRPr="00BE2C1D" w:rsidRDefault="00BE2C1D" w:rsidP="00BE2C1D">
      <w:pPr>
        <w:keepNext/>
        <w:keepLines/>
        <w:spacing w:before="40" w:after="0" w:line="360" w:lineRule="auto"/>
        <w:outlineLvl w:val="2"/>
        <w:rPr>
          <w:rFonts w:asciiTheme="majorHAnsi" w:eastAsiaTheme="majorEastAsia" w:hAnsiTheme="majorHAnsi" w:cstheme="majorBidi"/>
          <w:color w:val="1F3763" w:themeColor="accent1" w:themeShade="7F"/>
          <w:sz w:val="24"/>
          <w:szCs w:val="24"/>
          <w:lang w:eastAsia="zh-CN"/>
        </w:rPr>
      </w:pPr>
      <w:bookmarkStart w:id="128" w:name="_Toc39585259"/>
      <w:r w:rsidRPr="00BE2C1D">
        <w:rPr>
          <w:rFonts w:asciiTheme="majorHAnsi" w:eastAsiaTheme="majorEastAsia" w:hAnsiTheme="majorHAnsi" w:cstheme="majorBidi"/>
          <w:color w:val="1F3763" w:themeColor="accent1" w:themeShade="7F"/>
          <w:sz w:val="24"/>
          <w:szCs w:val="24"/>
          <w:lang w:eastAsia="zh-CN"/>
        </w:rPr>
        <w:t>Stories of Surveillance</w:t>
      </w:r>
      <w:bookmarkEnd w:id="128"/>
    </w:p>
    <w:p w14:paraId="3429DBE9" w14:textId="77777777" w:rsidR="00BE2C1D" w:rsidRPr="00BE2C1D" w:rsidRDefault="00BE2C1D" w:rsidP="00BE2C1D">
      <w:pPr>
        <w:spacing w:line="360" w:lineRule="auto"/>
        <w:jc w:val="both"/>
      </w:pPr>
      <w:r w:rsidRPr="00BE2C1D">
        <w:t xml:space="preserve">The young people shared a wide range of stories in relation to how they found themselves under the surveillance of their TAs both in and out the classroom, and they also discussed the repercussions of such surveillance. I start with the stories of surveillance that took place in the panoptic classroom (Holt 2004a). </w:t>
      </w:r>
    </w:p>
    <w:p w14:paraId="44E64625" w14:textId="77777777" w:rsidR="00BE2C1D" w:rsidRPr="00BE2C1D" w:rsidRDefault="00BE2C1D" w:rsidP="00BE2C1D">
      <w:pPr>
        <w:spacing w:line="360" w:lineRule="auto"/>
        <w:jc w:val="both"/>
      </w:pPr>
      <w:r w:rsidRPr="00BE2C1D">
        <w:t xml:space="preserve">The ‘indoors’ surveillance was in line with two of the institutional roles of TAs: first, to facilitate the teacher with behaviour management, especially managing ‘disruptive’ behaviour (Wren 2017) and, second, to keep students ‘on task’ (Blatchford et al. 2009; Wren 2017). Both these roles were related to the technologies of hierarchical observation and normalising judgement. The following two stories are illustrative of the first form of surveillance: </w:t>
      </w:r>
    </w:p>
    <w:p w14:paraId="511DE4BD" w14:textId="77777777" w:rsidR="00BE2C1D" w:rsidRPr="00BE2C1D" w:rsidRDefault="00BE2C1D" w:rsidP="00BE2C1D">
      <w:pPr>
        <w:spacing w:line="360" w:lineRule="auto"/>
        <w:ind w:left="720"/>
        <w:jc w:val="both"/>
        <w:rPr>
          <w:sz w:val="20"/>
          <w:szCs w:val="20"/>
        </w:rPr>
      </w:pPr>
      <w:r w:rsidRPr="00BE2C1D">
        <w:rPr>
          <w:sz w:val="20"/>
          <w:szCs w:val="20"/>
        </w:rPr>
        <w:t xml:space="preserve">Rania: And then, yes, say if you are breaking a rule, like my school, they absolutely hate chewing gum, so say if I was like being sneaky, had some chewing gum in the lesson, ‘Rania, chewing gum’. It’s like: I don’t need you to tell me [..]You’re not saying that to anyone else, which is quite cliché. You’re just saying that to me, cause you’re here to watch me, when actually that’s not what you’re doing, that’s not what you’re here to do. This it like to do, anyway, that was very annoying in that sense. </w:t>
      </w:r>
    </w:p>
    <w:p w14:paraId="02DD04B3" w14:textId="77777777" w:rsidR="00BE2C1D" w:rsidRPr="00BE2C1D" w:rsidRDefault="00BE2C1D" w:rsidP="00BE2C1D">
      <w:pPr>
        <w:spacing w:line="360" w:lineRule="auto"/>
        <w:ind w:left="720"/>
        <w:jc w:val="both"/>
        <w:rPr>
          <w:rFonts w:cstheme="minorHAnsi"/>
          <w:sz w:val="20"/>
          <w:szCs w:val="20"/>
        </w:rPr>
      </w:pPr>
      <w:r w:rsidRPr="00BE2C1D">
        <w:rPr>
          <w:rFonts w:cstheme="minorHAnsi"/>
          <w:sz w:val="20"/>
          <w:szCs w:val="20"/>
        </w:rPr>
        <w:lastRenderedPageBreak/>
        <w:t xml:space="preserve">Patricia: So, because I had a member of staff sat next to me sometimes, and, I almost kind of felt like I couldn’t be, I don’t know, what you should be, like a little bit naughty and a little bit rebellious, you know what I mean. Kind of what you meant to do at high school. </w:t>
      </w:r>
    </w:p>
    <w:p w14:paraId="7409F8ED" w14:textId="77777777" w:rsidR="00BE2C1D" w:rsidRPr="00BE2C1D" w:rsidRDefault="00BE2C1D" w:rsidP="00BE2C1D">
      <w:pPr>
        <w:spacing w:line="360" w:lineRule="auto"/>
        <w:jc w:val="both"/>
      </w:pPr>
      <w:r w:rsidRPr="00BE2C1D">
        <w:t xml:space="preserve">Both Rania and Patricia reflected on how they had to be on their best behaviour when TAs were around. They were conscious that they were being watched and that they had to self-govern their conduct accordingly. Their observation by their TAs was hierarchical in terms of being coercive, since the participants could not do much to cease it. </w:t>
      </w:r>
    </w:p>
    <w:p w14:paraId="3D9F9B41" w14:textId="77777777" w:rsidR="00BE2C1D" w:rsidRPr="00BE2C1D" w:rsidRDefault="00BE2C1D" w:rsidP="00BE2C1D">
      <w:pPr>
        <w:spacing w:line="360" w:lineRule="auto"/>
        <w:jc w:val="both"/>
      </w:pPr>
      <w:r w:rsidRPr="00BE2C1D">
        <w:t xml:space="preserve">According to Slater (2016: 1), the ‘non-normativity’ of young people e.g. being rebellious (or acting rebelliously) was ‘only permissible to young people fitting neatly into other culturally privileged positions’. The non-normativity of those who did not fit into these positions, including disabled young people, left them in a much more precarious position (Slater 2016). This was evident in the two stories above: Patricia needed to self-govern her ‘non-normativity’ in terms of who she should be and who she could not be and Rania was immediately singled out and corrected through the normalising judgement when she attempted to break the rules. </w:t>
      </w:r>
    </w:p>
    <w:p w14:paraId="2F13E076" w14:textId="77777777" w:rsidR="00BE2C1D" w:rsidRPr="00BE2C1D" w:rsidRDefault="00BE2C1D" w:rsidP="00BE2C1D">
      <w:pPr>
        <w:spacing w:line="360" w:lineRule="auto"/>
        <w:jc w:val="both"/>
      </w:pPr>
      <w:r w:rsidRPr="00BE2C1D">
        <w:t>In a similar manner, TAs kept an eye on the young people to ensure that they were always on task:</w:t>
      </w:r>
    </w:p>
    <w:p w14:paraId="2896CC29" w14:textId="77777777" w:rsidR="00BE2C1D" w:rsidRPr="00BE2C1D" w:rsidRDefault="00BE2C1D" w:rsidP="00BE2C1D">
      <w:pPr>
        <w:spacing w:line="360" w:lineRule="auto"/>
        <w:ind w:left="720"/>
        <w:jc w:val="both"/>
        <w:rPr>
          <w:rFonts w:cstheme="minorHAnsi"/>
          <w:sz w:val="20"/>
          <w:szCs w:val="20"/>
        </w:rPr>
      </w:pPr>
      <w:r w:rsidRPr="00BE2C1D">
        <w:rPr>
          <w:rFonts w:cstheme="minorHAnsi"/>
          <w:sz w:val="20"/>
          <w:szCs w:val="20"/>
        </w:rPr>
        <w:t xml:space="preserve">Rania: If I was like, as a student, as you do, if you were sat next to somebody you were getting on with and had a chat with him. And then, they will always say, and then, they will always say: ‘Oh, what are you doing? Oh, ok. Oh, are you alright with that question? Are you alright with this? Are you alright with that?’ I am like: ‘Fine’.  ‘Oh, come on, just get on’, like ‘let’s get on with your work then.’ </w:t>
      </w:r>
    </w:p>
    <w:p w14:paraId="3C230AB3" w14:textId="77777777" w:rsidR="00BE2C1D" w:rsidRPr="00BE2C1D" w:rsidRDefault="00BE2C1D" w:rsidP="00BE2C1D">
      <w:pPr>
        <w:spacing w:line="360" w:lineRule="auto"/>
        <w:ind w:left="720"/>
        <w:jc w:val="both"/>
        <w:rPr>
          <w:rFonts w:cstheme="minorHAnsi"/>
          <w:sz w:val="20"/>
          <w:szCs w:val="20"/>
        </w:rPr>
      </w:pPr>
      <w:r w:rsidRPr="00BE2C1D">
        <w:rPr>
          <w:rFonts w:cstheme="minorHAnsi"/>
          <w:sz w:val="20"/>
          <w:szCs w:val="20"/>
        </w:rPr>
        <w:t>Lynn: Yeah, it is annoying. Like I was talking inside about the same. Oh, you need to pick four teaspoons of sugar and she goes “Shush, Lynn, Lynn is just talking.” [..] She goes like “Do your work”. [..]</w:t>
      </w:r>
      <w:r w:rsidRPr="00BE2C1D">
        <w:rPr>
          <w:rFonts w:cstheme="minorHAnsi"/>
          <w:vertAlign w:val="superscript"/>
        </w:rPr>
        <w:footnoteReference w:id="107"/>
      </w:r>
      <w:r w:rsidRPr="00BE2C1D">
        <w:rPr>
          <w:rFonts w:cstheme="minorHAnsi"/>
          <w:sz w:val="20"/>
          <w:szCs w:val="20"/>
        </w:rPr>
        <w:t xml:space="preserve"> (Rania: Yeah). And then like two minutes later: “Lynn, pack up, we’re going [..]. </w:t>
      </w:r>
    </w:p>
    <w:p w14:paraId="275E4BA5" w14:textId="13C449DA" w:rsidR="00BE2C1D" w:rsidRPr="00BE2C1D" w:rsidRDefault="00BE2C1D" w:rsidP="00BE2C1D">
      <w:pPr>
        <w:spacing w:line="360" w:lineRule="auto"/>
        <w:ind w:left="720"/>
        <w:jc w:val="both"/>
        <w:rPr>
          <w:rFonts w:cstheme="minorHAnsi"/>
          <w:sz w:val="20"/>
          <w:szCs w:val="20"/>
        </w:rPr>
      </w:pPr>
      <w:r w:rsidRPr="00BE2C1D">
        <w:rPr>
          <w:rFonts w:cstheme="minorHAnsi"/>
          <w:sz w:val="20"/>
          <w:szCs w:val="20"/>
        </w:rPr>
        <w:t>Christine: I don’t talk too much if I am with my best friend. We giggle too much, we don’t talk too much, we just giggle</w:t>
      </w:r>
      <w:r w:rsidR="0043116F">
        <w:rPr>
          <w:rFonts w:cstheme="minorHAnsi"/>
          <w:sz w:val="20"/>
          <w:szCs w:val="20"/>
        </w:rPr>
        <w:t xml:space="preserve">. </w:t>
      </w:r>
      <w:r w:rsidRPr="00BE2C1D">
        <w:rPr>
          <w:rFonts w:cstheme="minorHAnsi"/>
          <w:sz w:val="20"/>
          <w:szCs w:val="20"/>
        </w:rPr>
        <w:t xml:space="preserve"> And we do our work. And then, they just tell us off even though we were doing our work. </w:t>
      </w:r>
    </w:p>
    <w:p w14:paraId="6788D1E1" w14:textId="77777777" w:rsidR="00BE2C1D" w:rsidRPr="00BE2C1D" w:rsidRDefault="00BE2C1D" w:rsidP="00BE2C1D">
      <w:pPr>
        <w:spacing w:line="360" w:lineRule="auto"/>
        <w:jc w:val="both"/>
        <w:rPr>
          <w:rFonts w:cstheme="minorHAnsi"/>
        </w:rPr>
      </w:pPr>
      <w:r w:rsidRPr="00BE2C1D">
        <w:rPr>
          <w:rFonts w:cstheme="minorHAnsi"/>
        </w:rPr>
        <w:t xml:space="preserve">Once more, the TAs watched the young people with a vigilant eye, exercising their normalising judgement, and intervened when they thought that the latter were not focused on their work.  What was common in these three stories was the persistence of TAs, who, even after being reassured by the young people that they were on task, insisted on the same course of action, reflecting the cultural mistrust towards young people, especially those positioned as ‘at risk’ (Kelly 2001; Slater 2016). Similar feelings of irritation from disabled young people who were under the surveillance of TAs were shared </w:t>
      </w:r>
      <w:r w:rsidRPr="00BE2C1D">
        <w:rPr>
          <w:rFonts w:cstheme="minorHAnsi"/>
        </w:rPr>
        <w:lastRenderedPageBreak/>
        <w:t xml:space="preserve">in other studies too (Hemmingson et al. 2003; Mortier et al. 2010). Moreover, as noted by Rubie-Davies et al. (2010) and Radford et al. (2011), TAs seemed to be more concentrated on task completion rather than learning, which was also evident in the above stories.  </w:t>
      </w:r>
    </w:p>
    <w:p w14:paraId="06E895E2" w14:textId="77777777" w:rsidR="00BE2C1D" w:rsidRPr="00BE2C1D" w:rsidRDefault="00BE2C1D" w:rsidP="00BE2C1D">
      <w:pPr>
        <w:spacing w:line="360" w:lineRule="auto"/>
        <w:jc w:val="both"/>
        <w:rPr>
          <w:rFonts w:cstheme="minorHAnsi"/>
        </w:rPr>
      </w:pPr>
      <w:r w:rsidRPr="00BE2C1D">
        <w:rPr>
          <w:rFonts w:cstheme="minorHAnsi"/>
        </w:rPr>
        <w:t xml:space="preserve">The stories of surveillance shared and discussed so far illustrated how TAs exercised surveillance on the young people in the classroom as part of their institutional role and with the purpose of producing the docile, self-governed subject and of managing the ‘non-normativity’ of disabled young people. Nevertheless, surveillance extended to other spaces, such as playgrounds (Richards 2012) and dining rooms (Pike 2008). Holt (2004b) and Allan (1996) discussed how disabled young people found themselves under adult surveillance in all different spaces in the panoptic school. ‘Outdoors’ surveillance (meaning outside the classroom) was also brought up in the stories of some young people: </w:t>
      </w:r>
    </w:p>
    <w:p w14:paraId="23CABD38" w14:textId="77777777" w:rsidR="00BE2C1D" w:rsidRPr="00BE2C1D" w:rsidRDefault="00BE2C1D" w:rsidP="00BE2C1D">
      <w:pPr>
        <w:spacing w:line="360" w:lineRule="auto"/>
        <w:ind w:left="1440"/>
        <w:jc w:val="both"/>
        <w:rPr>
          <w:rFonts w:cstheme="minorHAnsi"/>
          <w:sz w:val="20"/>
          <w:szCs w:val="20"/>
        </w:rPr>
      </w:pPr>
      <w:r w:rsidRPr="00BE2C1D">
        <w:rPr>
          <w:rFonts w:cstheme="minorHAnsi"/>
          <w:sz w:val="20"/>
          <w:szCs w:val="20"/>
        </w:rPr>
        <w:t>Patricia: Eh, yeah, she used to go for a coffee and then she kind of used to come and almost kind of find me sometimes. But again, she’d be quite good at kind of keeping her distance, so she just kind of stand almost in the background and just kind of make sure like, if I kind of say to her: ‘Oh, can you come here for a minute?’ And then she’d come and say like: ‘What was it that you need’ or whatever. So, em, so yeah, she was quite good at that really.</w:t>
      </w:r>
    </w:p>
    <w:p w14:paraId="33C9D713" w14:textId="77777777" w:rsidR="00BE2C1D" w:rsidRPr="00BE2C1D" w:rsidRDefault="00BE2C1D" w:rsidP="00BE2C1D">
      <w:pPr>
        <w:spacing w:line="360" w:lineRule="auto"/>
        <w:ind w:left="1440"/>
        <w:jc w:val="both"/>
        <w:rPr>
          <w:rFonts w:cstheme="minorHAnsi"/>
          <w:sz w:val="20"/>
          <w:szCs w:val="20"/>
        </w:rPr>
      </w:pPr>
      <w:r w:rsidRPr="00BE2C1D">
        <w:rPr>
          <w:rFonts w:cstheme="minorHAnsi"/>
          <w:sz w:val="20"/>
          <w:szCs w:val="20"/>
        </w:rPr>
        <w:t>Lynn: Like at class, when I leave five minutes early, cause I wait for my friend and someone else and (giggles), teacher</w:t>
      </w:r>
      <w:r w:rsidRPr="00BE2C1D">
        <w:rPr>
          <w:rFonts w:cstheme="minorHAnsi"/>
          <w:vertAlign w:val="superscript"/>
        </w:rPr>
        <w:footnoteReference w:id="108"/>
      </w:r>
      <w:r w:rsidRPr="00BE2C1D">
        <w:rPr>
          <w:rFonts w:cstheme="minorHAnsi"/>
          <w:sz w:val="20"/>
          <w:szCs w:val="20"/>
        </w:rPr>
        <w:t xml:space="preserve"> goes: ‘Oh, I will wait out here for you.’ […]She goes like ‘No, I’ll just wait.’ And then my friend comes out and she walks with us.</w:t>
      </w:r>
    </w:p>
    <w:p w14:paraId="614CC38D" w14:textId="77777777" w:rsidR="00BE2C1D" w:rsidRPr="00BE2C1D" w:rsidRDefault="00BE2C1D" w:rsidP="00BE2C1D">
      <w:pPr>
        <w:spacing w:line="360" w:lineRule="auto"/>
        <w:ind w:left="1440"/>
        <w:jc w:val="both"/>
        <w:rPr>
          <w:rFonts w:cstheme="minorHAnsi"/>
          <w:sz w:val="20"/>
          <w:szCs w:val="20"/>
        </w:rPr>
      </w:pPr>
      <w:r w:rsidRPr="00BE2C1D">
        <w:rPr>
          <w:rFonts w:cstheme="minorHAnsi"/>
          <w:sz w:val="20"/>
          <w:szCs w:val="20"/>
        </w:rPr>
        <w:t>Rania: And then like someone who like walks around with you after. So, like every so often when you go to your lessons: ‘Oh, where are you next?’ ‘I am over in the Science block.  ‘Alright, I will walk with you.’</w:t>
      </w:r>
      <w:r w:rsidRPr="00BE2C1D">
        <w:rPr>
          <w:rFonts w:ascii="Times New Roman" w:hAnsi="Times New Roman" w:cs="Times New Roman"/>
          <w:sz w:val="20"/>
          <w:szCs w:val="20"/>
        </w:rPr>
        <w:t xml:space="preserve"> </w:t>
      </w:r>
    </w:p>
    <w:p w14:paraId="58F6D548" w14:textId="77777777" w:rsidR="00BE2C1D" w:rsidRPr="00BE2C1D" w:rsidRDefault="00BE2C1D" w:rsidP="00BE2C1D">
      <w:pPr>
        <w:spacing w:line="360" w:lineRule="auto"/>
        <w:jc w:val="both"/>
      </w:pPr>
      <w:r w:rsidRPr="00BE2C1D">
        <w:t>The young people could not escape the TAs’ surveillance, who did not leave them out of their sight</w:t>
      </w:r>
      <w:r w:rsidRPr="00BE2C1D">
        <w:rPr>
          <w:vertAlign w:val="superscript"/>
        </w:rPr>
        <w:footnoteReference w:id="109"/>
      </w:r>
      <w:r w:rsidRPr="00BE2C1D">
        <w:t xml:space="preserve"> at any moment, indicating the hierarchical nature of surveillance. In Patricia’s story, this surveillance from a discreet distance made her feel quite safe in terms of having immediate access to her TA in case she needed anything. On the other hand, Lynn and Rania did not like the idea of being followed everywhere. These stories also raised the issue of proximity of TAs to the young people, whose repercussions, such as the stigma attached to having a TA everywhere with you, have been discussed in the other studies (Giangreco et al. 1997; Hemmingson et al. 2003; Skar and Tam 2001). This omnipresence and proximity of the TA, as discussed by the young people, affected the content of the conversation they could have with their friends: </w:t>
      </w:r>
    </w:p>
    <w:p w14:paraId="10611BED" w14:textId="77777777" w:rsidR="00BE2C1D" w:rsidRPr="00BE2C1D" w:rsidRDefault="00BE2C1D" w:rsidP="00BE2C1D">
      <w:pPr>
        <w:spacing w:line="360" w:lineRule="auto"/>
        <w:ind w:left="720"/>
        <w:jc w:val="both"/>
        <w:rPr>
          <w:rFonts w:cstheme="minorHAnsi"/>
          <w:sz w:val="20"/>
          <w:szCs w:val="20"/>
        </w:rPr>
      </w:pPr>
      <w:r w:rsidRPr="00BE2C1D">
        <w:rPr>
          <w:rFonts w:cstheme="minorHAnsi"/>
          <w:sz w:val="20"/>
          <w:szCs w:val="20"/>
        </w:rPr>
        <w:lastRenderedPageBreak/>
        <w:t xml:space="preserve">Louise: But if you have a TA, I don’t know about you, but if you have a TA people are like, it’s a bit weird (Mary: Yeah), cause they’ll be always with you and you just want to be with your friends. (John: yes) just to have a normal conversation. </w:t>
      </w:r>
    </w:p>
    <w:p w14:paraId="787914BB" w14:textId="77777777" w:rsidR="00BE2C1D" w:rsidRPr="00BE2C1D" w:rsidRDefault="00BE2C1D" w:rsidP="00BE2C1D">
      <w:pPr>
        <w:spacing w:line="360" w:lineRule="auto"/>
        <w:ind w:left="720"/>
        <w:jc w:val="both"/>
        <w:rPr>
          <w:rFonts w:cstheme="minorHAnsi"/>
          <w:sz w:val="20"/>
          <w:szCs w:val="20"/>
        </w:rPr>
      </w:pPr>
      <w:r w:rsidRPr="00BE2C1D">
        <w:rPr>
          <w:rFonts w:cstheme="minorHAnsi"/>
          <w:sz w:val="20"/>
          <w:szCs w:val="20"/>
        </w:rPr>
        <w:t>John: if I am talking to my friend, I won’t be able to like, (Louise: say it) it’s different, yeah. But like, when I am sat next to a teacher with me, even if it’s in a classroom coming and checking on me, it’s like. I’d rather not have them there actually, cause I want to talk, like, yeah, I want to talk to my friend about something and it’s been more private. I don’t want teachers just there.</w:t>
      </w:r>
    </w:p>
    <w:p w14:paraId="581D4EA1" w14:textId="77777777" w:rsidR="00BE2C1D" w:rsidRPr="00BE2C1D" w:rsidRDefault="00BE2C1D" w:rsidP="00BE2C1D">
      <w:pPr>
        <w:spacing w:line="360" w:lineRule="auto"/>
        <w:jc w:val="both"/>
        <w:rPr>
          <w:rFonts w:cstheme="minorHAnsi"/>
        </w:rPr>
      </w:pPr>
      <w:r w:rsidRPr="00BE2C1D">
        <w:rPr>
          <w:rFonts w:cstheme="minorHAnsi"/>
        </w:rPr>
        <w:t>Louise, John and Mary reflected on how the TAs’ presence influenced what they could discuss with their friends. The above stories point to the multi-sensory nature of surveillance, meaning that surveillance is not only ocularcentric</w:t>
      </w:r>
      <w:r w:rsidRPr="00BE2C1D">
        <w:rPr>
          <w:rFonts w:cstheme="minorHAnsi"/>
          <w:vertAlign w:val="superscript"/>
        </w:rPr>
        <w:footnoteReference w:id="110"/>
      </w:r>
      <w:r w:rsidRPr="00BE2C1D">
        <w:rPr>
          <w:rFonts w:cstheme="minorHAnsi"/>
        </w:rPr>
        <w:t>, as implied in the concept of Panopticon, but it also takes place through other senses, such as hearing. Gallagher (2010, 2011) explored how both panoptic and panaural</w:t>
      </w:r>
      <w:r w:rsidRPr="00BE2C1D">
        <w:rPr>
          <w:rFonts w:cstheme="minorHAnsi"/>
          <w:vertAlign w:val="superscript"/>
        </w:rPr>
        <w:footnoteReference w:id="111"/>
      </w:r>
      <w:r w:rsidRPr="00BE2C1D">
        <w:rPr>
          <w:rFonts w:cstheme="minorHAnsi"/>
        </w:rPr>
        <w:t xml:space="preserve"> modes of surveillance were enacted by teachers and TAs in a primary school and he called for more attention to be paid on panauralism, which has often been overlooked when considering surveillance.   </w:t>
      </w:r>
    </w:p>
    <w:p w14:paraId="775E6AB3" w14:textId="77777777" w:rsidR="00BE2C1D" w:rsidRPr="00BE2C1D" w:rsidRDefault="00BE2C1D" w:rsidP="00BE2C1D">
      <w:pPr>
        <w:spacing w:line="360" w:lineRule="auto"/>
        <w:jc w:val="both"/>
        <w:rPr>
          <w:rFonts w:cstheme="minorHAnsi"/>
        </w:rPr>
      </w:pPr>
      <w:r w:rsidRPr="00BE2C1D">
        <w:rPr>
          <w:rFonts w:cstheme="minorHAnsi"/>
        </w:rPr>
        <w:t xml:space="preserve">While John did not provide any examples of what he considered as a ‘private’ topic, Melrose and Patricia shared the following stories regarding potential topics that they would not like their TAs to be there for when discussed: </w:t>
      </w:r>
    </w:p>
    <w:p w14:paraId="7C304AA9" w14:textId="77777777" w:rsidR="00BE2C1D" w:rsidRPr="00BE2C1D" w:rsidRDefault="00BE2C1D" w:rsidP="00BE2C1D">
      <w:pPr>
        <w:spacing w:line="360" w:lineRule="auto"/>
        <w:ind w:left="720"/>
        <w:jc w:val="both"/>
        <w:rPr>
          <w:rFonts w:cstheme="minorHAnsi"/>
          <w:sz w:val="20"/>
          <w:szCs w:val="20"/>
        </w:rPr>
      </w:pPr>
      <w:r w:rsidRPr="00BE2C1D">
        <w:rPr>
          <w:rFonts w:cstheme="minorHAnsi"/>
          <w:sz w:val="20"/>
          <w:szCs w:val="20"/>
        </w:rPr>
        <w:t>Melrose: And obviously, when you are in high school, you talk about different things. Like, you know, you start your period, puberty; you don’t want an older woman there while you’re talking about things like that. So yeah, that was, that was, that was difficult.</w:t>
      </w:r>
    </w:p>
    <w:p w14:paraId="63AD3C7D" w14:textId="77777777" w:rsidR="00BE2C1D" w:rsidRPr="00BE2C1D" w:rsidRDefault="00BE2C1D" w:rsidP="00BE2C1D">
      <w:pPr>
        <w:spacing w:line="360" w:lineRule="auto"/>
        <w:ind w:left="720"/>
        <w:jc w:val="both"/>
        <w:rPr>
          <w:rFonts w:cstheme="minorHAnsi"/>
          <w:sz w:val="20"/>
          <w:szCs w:val="20"/>
        </w:rPr>
      </w:pPr>
      <w:r w:rsidRPr="00BE2C1D">
        <w:rPr>
          <w:rFonts w:cstheme="minorHAnsi"/>
          <w:sz w:val="20"/>
          <w:szCs w:val="20"/>
        </w:rPr>
        <w:t>Patricia: When you kind of like, I don’t know, if you like boys or whatever, and you wanna say: ‘I quite like him’ to your friend and, or your friend wants to say it to you or anything like that, yeah. Anything private that you kind of want to discuss almost you kind of don’t want them to listen, it feels like another person kind of there</w:t>
      </w:r>
      <w:r w:rsidRPr="00BE2C1D">
        <w:rPr>
          <w:rFonts w:cstheme="minorHAnsi"/>
          <w:b/>
          <w:sz w:val="20"/>
          <w:szCs w:val="20"/>
        </w:rPr>
        <w:t xml:space="preserve">. </w:t>
      </w:r>
      <w:r w:rsidRPr="00BE2C1D">
        <w:rPr>
          <w:rFonts w:cstheme="minorHAnsi"/>
          <w:sz w:val="20"/>
          <w:szCs w:val="20"/>
        </w:rPr>
        <w:t>I mean sometimes that was quite nice, cause she gave quite helpful advice, but then other times it was just like I want this privacy kind of thing.</w:t>
      </w:r>
    </w:p>
    <w:p w14:paraId="07F6746F" w14:textId="77777777" w:rsidR="00BE2C1D" w:rsidRPr="00BE2C1D" w:rsidRDefault="00BE2C1D" w:rsidP="00BE2C1D">
      <w:pPr>
        <w:spacing w:line="360" w:lineRule="auto"/>
        <w:jc w:val="both"/>
        <w:rPr>
          <w:rFonts w:cstheme="minorHAnsi"/>
        </w:rPr>
      </w:pPr>
      <w:r w:rsidRPr="00BE2C1D">
        <w:rPr>
          <w:rFonts w:cstheme="minorHAnsi"/>
        </w:rPr>
        <w:t xml:space="preserve">Melrose and Patricia expressed their hesitation to discuss more private topics, such as menstruation and intimate relationships, in the presence of their TAs, although the latter also acknowledged a potential benefit in relation to the TA being able to advise accordingly. What all these stories demonstrate though was that the young people were conscious of this panaural surveillance and they had to self-govern themselves in terms of what they could share with their friends. As Skar and Tamm (2001: 927) claim, disabled young people experienced their relationship with their TAs as ‘an invasion </w:t>
      </w:r>
      <w:r w:rsidRPr="00BE2C1D">
        <w:rPr>
          <w:rFonts w:cstheme="minorHAnsi"/>
        </w:rPr>
        <w:lastRenderedPageBreak/>
        <w:t xml:space="preserve">of privacy’ and as asymmetrical in terms of them sharing (or having to share) everything about themselves without them knowing anything about their TAs. </w:t>
      </w:r>
    </w:p>
    <w:p w14:paraId="14DD84D1" w14:textId="77777777" w:rsidR="00BE2C1D" w:rsidRPr="00BE2C1D" w:rsidRDefault="00BE2C1D" w:rsidP="00BE2C1D">
      <w:pPr>
        <w:spacing w:line="360" w:lineRule="auto"/>
        <w:jc w:val="both"/>
        <w:rPr>
          <w:rFonts w:cstheme="minorHAnsi"/>
        </w:rPr>
      </w:pPr>
      <w:r w:rsidRPr="00BE2C1D">
        <w:rPr>
          <w:rFonts w:cstheme="minorHAnsi"/>
        </w:rPr>
        <w:t xml:space="preserve">Furthermore, as argued in the literature (de Schauwer et al. 2009; Giangreco et al. 1997; Hemmingson et al. 2003; Tamm and Skar 2000; Worth 2013), the presence of a TA had a toll on the relationships disabled young people could develop with their peers:   </w:t>
      </w:r>
    </w:p>
    <w:p w14:paraId="113D0C23" w14:textId="77777777" w:rsidR="00BE2C1D" w:rsidRPr="00BE2C1D" w:rsidRDefault="00BE2C1D" w:rsidP="00BE2C1D">
      <w:pPr>
        <w:spacing w:line="360" w:lineRule="auto"/>
        <w:ind w:left="720"/>
        <w:jc w:val="both"/>
        <w:rPr>
          <w:sz w:val="20"/>
          <w:szCs w:val="20"/>
        </w:rPr>
      </w:pPr>
      <w:r w:rsidRPr="00BE2C1D">
        <w:rPr>
          <w:sz w:val="20"/>
          <w:szCs w:val="20"/>
        </w:rPr>
        <w:t>Melrose: And you’re trying to make friends and then there’s that older woman sat with you, like it doesn’t, it doesn’t make you cool, it doesn’t make you popular. And unfortunately, I did want to be a bit popular, but obviously, you want to fit in. But having that carer there definitely does not help.</w:t>
      </w:r>
    </w:p>
    <w:p w14:paraId="6E0755C1" w14:textId="77777777" w:rsidR="00BE2C1D" w:rsidRPr="00BE2C1D" w:rsidRDefault="00BE2C1D" w:rsidP="00BE2C1D">
      <w:pPr>
        <w:spacing w:line="360" w:lineRule="auto"/>
        <w:ind w:left="720"/>
        <w:jc w:val="both"/>
        <w:rPr>
          <w:sz w:val="20"/>
          <w:szCs w:val="20"/>
        </w:rPr>
      </w:pPr>
      <w:r w:rsidRPr="00BE2C1D">
        <w:rPr>
          <w:sz w:val="20"/>
          <w:szCs w:val="20"/>
        </w:rPr>
        <w:t xml:space="preserve">Christine: And also cause I had some really mean TAs and if they are in the classroom with me,  they’re like, yeah, sometimes like, if the, if the students are just behaving like this, which they always do, they’re not like bad people, they’re just naughty, the, the TAs kind of like tell them off and then it‘s me who feels bad, cause like my TAs are telling them off. And then it’s just like, it’s horrible. </w:t>
      </w:r>
    </w:p>
    <w:p w14:paraId="2A71D26A" w14:textId="77777777" w:rsidR="00BE2C1D" w:rsidRPr="00BE2C1D" w:rsidRDefault="00BE2C1D" w:rsidP="00BE2C1D">
      <w:pPr>
        <w:spacing w:line="360" w:lineRule="auto"/>
        <w:jc w:val="both"/>
        <w:rPr>
          <w:rFonts w:cstheme="minorHAnsi"/>
        </w:rPr>
      </w:pPr>
      <w:r w:rsidRPr="00BE2C1D">
        <w:rPr>
          <w:rFonts w:cstheme="minorHAnsi"/>
        </w:rPr>
        <w:t xml:space="preserve">For Melrose, the mere presence of the TA, especially an older one, had an impact on her friendships, as it affected how she was perceived, as ‘not cool’. For Christine, on the other hand, her TA’s interference with other students’ behaviour reflected bad on her, because it was her TA. In both stories, TAs acted as a barrier to being to the young people (Mortier et al. 2010), as they hindered them from being perceived the way they wished to be or they had a toll on how they were perceived. </w:t>
      </w:r>
    </w:p>
    <w:p w14:paraId="6BA1E560" w14:textId="77777777" w:rsidR="00BE2C1D" w:rsidRPr="00BE2C1D" w:rsidRDefault="00BE2C1D" w:rsidP="00BE2C1D">
      <w:pPr>
        <w:spacing w:line="360" w:lineRule="auto"/>
        <w:jc w:val="both"/>
      </w:pPr>
      <w:r w:rsidRPr="00BE2C1D">
        <w:rPr>
          <w:rFonts w:cstheme="minorHAnsi"/>
        </w:rPr>
        <w:t xml:space="preserve">In a summary, this section looked at how the young people found themselves under the constant surveillance through the hierarchical observation and normalising judgement of their TAs, in and out the classroom, with surveillance aiming at the intention the production of the docile, self-governed subject. Moreover, the multi-sensory nature of such surveillance, that is surveillance based on sight -panopticism - and surveillance based on hearing – panauralism - was considered. Finally, I discussed the repercussions such surveillance had on the young people, such as functioning as a barrier to being, the threat to privacy and the toll it had on the relationships with peers. In the next section, the focus is on the young people’s resistance to such surveillance, looking particularly at what means of resistance they used to fight back their surveillance and the cost(s) such resistance came with.   </w:t>
      </w:r>
    </w:p>
    <w:p w14:paraId="3CE98EE8" w14:textId="77777777" w:rsidR="00BE2C1D" w:rsidRPr="00BE2C1D" w:rsidRDefault="00BE2C1D" w:rsidP="00BE2C1D">
      <w:pPr>
        <w:keepNext/>
        <w:keepLines/>
        <w:spacing w:before="40" w:after="0" w:line="360" w:lineRule="auto"/>
        <w:outlineLvl w:val="1"/>
        <w:rPr>
          <w:rFonts w:asciiTheme="majorHAnsi" w:eastAsiaTheme="majorEastAsia" w:hAnsiTheme="majorHAnsi" w:cstheme="majorBidi"/>
          <w:color w:val="2F5496" w:themeColor="accent1" w:themeShade="BF"/>
          <w:sz w:val="26"/>
          <w:szCs w:val="26"/>
          <w:lang w:eastAsia="zh-CN"/>
        </w:rPr>
      </w:pPr>
      <w:bookmarkStart w:id="129" w:name="_Toc39585260"/>
      <w:r w:rsidRPr="00BE2C1D">
        <w:rPr>
          <w:rFonts w:asciiTheme="majorHAnsi" w:eastAsiaTheme="majorEastAsia" w:hAnsiTheme="majorHAnsi" w:cstheme="majorBidi"/>
          <w:color w:val="2F5496" w:themeColor="accent1" w:themeShade="BF"/>
          <w:sz w:val="26"/>
          <w:szCs w:val="26"/>
          <w:lang w:eastAsia="zh-CN"/>
        </w:rPr>
        <w:t>Resistance and the Synoptic Class</w:t>
      </w:r>
      <w:bookmarkEnd w:id="129"/>
      <w:r w:rsidRPr="00BE2C1D">
        <w:rPr>
          <w:rFonts w:asciiTheme="majorHAnsi" w:eastAsiaTheme="majorEastAsia" w:hAnsiTheme="majorHAnsi" w:cstheme="majorBidi"/>
          <w:color w:val="2F5496" w:themeColor="accent1" w:themeShade="BF"/>
          <w:sz w:val="26"/>
          <w:szCs w:val="26"/>
          <w:lang w:eastAsia="zh-CN"/>
        </w:rPr>
        <w:t xml:space="preserve"> </w:t>
      </w:r>
    </w:p>
    <w:p w14:paraId="671C3E02" w14:textId="77777777" w:rsidR="00BE2C1D" w:rsidRPr="00BE2C1D" w:rsidRDefault="00BE2C1D" w:rsidP="00BE2C1D">
      <w:pPr>
        <w:spacing w:line="360" w:lineRule="auto"/>
        <w:jc w:val="both"/>
        <w:rPr>
          <w:rFonts w:cstheme="minorHAnsi"/>
        </w:rPr>
      </w:pPr>
      <w:r w:rsidRPr="00BE2C1D">
        <w:rPr>
          <w:rFonts w:cstheme="minorHAnsi"/>
        </w:rPr>
        <w:t xml:space="preserve">So far, I have discussed the different forms of surveillance enacted by the TAs on the young people in and out of the school classroom. However, such a discussion risks portraying the young people as passive recipients of such surveillance (Holt et al. 2014), which was not the case. Engaging with Foucault’s notion of resistance and its relation to power as well as with scholars writing from a Resistance Studies perspective, I explore the ways and the means that the young people used to resist to such surveillance and the potential outcomes (or lack of) of such resistance.     </w:t>
      </w:r>
    </w:p>
    <w:p w14:paraId="4183C9DD" w14:textId="77777777" w:rsidR="00BE2C1D" w:rsidRPr="00BE2C1D" w:rsidRDefault="00BE2C1D" w:rsidP="00BE2C1D">
      <w:pPr>
        <w:spacing w:line="360" w:lineRule="auto"/>
        <w:jc w:val="both"/>
        <w:rPr>
          <w:rFonts w:cstheme="minorHAnsi"/>
        </w:rPr>
      </w:pPr>
      <w:r w:rsidRPr="00BE2C1D">
        <w:rPr>
          <w:rFonts w:ascii="Calibri" w:hAnsi="Calibri" w:cs="Calibri"/>
        </w:rPr>
        <w:lastRenderedPageBreak/>
        <w:t>As Weitz (2001) pointed out, resistance as a concept has been loosely defined, resulting to some scholars identifying resistance into everything and others almost nowhere. Armstrong and Murphy (2012: 323) warned of the danger in</w:t>
      </w:r>
    </w:p>
    <w:p w14:paraId="77E3F5C7" w14:textId="77777777" w:rsidR="00BE2C1D" w:rsidRPr="00BE2C1D" w:rsidRDefault="00BE2C1D" w:rsidP="00BE2C1D">
      <w:pPr>
        <w:spacing w:line="360" w:lineRule="auto"/>
        <w:ind w:left="720"/>
        <w:jc w:val="both"/>
        <w:rPr>
          <w:rFonts w:cstheme="minorHAnsi"/>
          <w:sz w:val="20"/>
          <w:szCs w:val="20"/>
        </w:rPr>
      </w:pPr>
      <w:r w:rsidRPr="00BE2C1D">
        <w:rPr>
          <w:rFonts w:cstheme="minorHAnsi"/>
          <w:sz w:val="20"/>
          <w:szCs w:val="20"/>
        </w:rPr>
        <w:t>starting out with a fixed and arbitrary dichotomy between celebrated, active resistance and passive, negative acceptance or co-operation - not least because such a starting point may well over-determine where any subsequent analysis ends up.</w:t>
      </w:r>
    </w:p>
    <w:p w14:paraId="7F58D2F8" w14:textId="77777777" w:rsidR="00BE2C1D" w:rsidRPr="00BE2C1D" w:rsidRDefault="00BE2C1D" w:rsidP="00BE2C1D">
      <w:pPr>
        <w:spacing w:line="360" w:lineRule="auto"/>
        <w:jc w:val="both"/>
        <w:rPr>
          <w:rFonts w:ascii="Calibri" w:hAnsi="Calibri" w:cs="Calibri"/>
          <w:sz w:val="20"/>
          <w:szCs w:val="20"/>
        </w:rPr>
      </w:pPr>
      <w:r w:rsidRPr="00BE2C1D">
        <w:rPr>
          <w:rFonts w:ascii="Calibri" w:hAnsi="Calibri" w:cs="Calibri"/>
        </w:rPr>
        <w:t>Such a dichotomy is inherently hierarchical, as it distinguishes between powerless, oppressed individuals and active, resisting ones (Armstrong and Murphy 2012). This dichotomy is particularly dangerous for Disability Studies in terms of who comes to be recognised as ‘resistant’ (or what is viewed as resistance) and who is being perceived as passive (or what is understood as conformity) (Gabels and Peters 2004). Armstrong and Murphy (2012) further argued that the risk or romanticising resistance as a mean to restore the agency of individuals was exacerbated in research with oppressed groups or individuals. However, this celebration of resistance as inherently positive overlooked a critical examination of its consequences. For instance, Allan (2008) referred to disabled students whose resisting, transgressive practices led them to be further pathologized by staff members of their schools or had an impact on their own health</w:t>
      </w:r>
      <w:r w:rsidRPr="00BE2C1D">
        <w:rPr>
          <w:rFonts w:ascii="Calibri" w:hAnsi="Calibri" w:cs="Calibri"/>
          <w:vertAlign w:val="superscript"/>
        </w:rPr>
        <w:footnoteReference w:id="112"/>
      </w:r>
      <w:r w:rsidRPr="00BE2C1D">
        <w:rPr>
          <w:rFonts w:ascii="Calibri" w:hAnsi="Calibri" w:cs="Calibri"/>
        </w:rPr>
        <w:t xml:space="preserve">.  </w:t>
      </w:r>
    </w:p>
    <w:p w14:paraId="0DA261B8" w14:textId="77777777" w:rsidR="00BE2C1D" w:rsidRPr="00BE2C1D" w:rsidRDefault="00BE2C1D" w:rsidP="00BE2C1D">
      <w:pPr>
        <w:spacing w:line="360" w:lineRule="auto"/>
        <w:jc w:val="both"/>
        <w:rPr>
          <w:rFonts w:cstheme="minorHAnsi"/>
          <w:sz w:val="20"/>
          <w:szCs w:val="20"/>
        </w:rPr>
      </w:pPr>
      <w:r w:rsidRPr="00BE2C1D">
        <w:rPr>
          <w:rFonts w:cstheme="minorHAnsi"/>
        </w:rPr>
        <w:t>Such approaches to resistance were partly linked with a ‘simplistic’ engagement with Foucault’s early work (Armstrong and Murphy 2012: 24). Remaining alert to how my analytical approach might fall into such hierarchical dichotomies, my understanding of resistance is in line with Foucault’s (1982: 780) conceptualisation of it in his later work</w:t>
      </w:r>
      <w:r w:rsidRPr="00BE2C1D">
        <w:rPr>
          <w:rFonts w:cstheme="minorHAnsi"/>
          <w:vertAlign w:val="superscript"/>
        </w:rPr>
        <w:footnoteReference w:id="113"/>
      </w:r>
      <w:r w:rsidRPr="00BE2C1D">
        <w:rPr>
          <w:rFonts w:cstheme="minorHAnsi"/>
        </w:rPr>
        <w:t xml:space="preserve">, whereby resistance is the ‘chemical catalyst so as to bring to light power relations, locate their position, and find out their point of application and the methods used’. </w:t>
      </w:r>
    </w:p>
    <w:p w14:paraId="298B796E" w14:textId="77777777" w:rsidR="00BE2C1D" w:rsidRPr="00BE2C1D" w:rsidRDefault="00BE2C1D" w:rsidP="00BE2C1D">
      <w:pPr>
        <w:spacing w:after="0" w:line="360" w:lineRule="auto"/>
        <w:jc w:val="both"/>
        <w:rPr>
          <w:rFonts w:ascii="Calibri" w:eastAsia="Times New Roman" w:hAnsi="Calibri" w:cs="Calibri"/>
          <w:lang w:eastAsia="en-GB"/>
        </w:rPr>
      </w:pPr>
      <w:r w:rsidRPr="00BE2C1D">
        <w:rPr>
          <w:rFonts w:ascii="Calibri" w:eastAsia="Times New Roman" w:hAnsi="Calibri" w:cs="Calibri"/>
          <w:lang w:eastAsia="en-GB"/>
        </w:rPr>
        <w:t>B</w:t>
      </w:r>
      <w:r w:rsidRPr="00BE2C1D">
        <w:rPr>
          <w:rFonts w:eastAsia="Times New Roman" w:cstheme="minorHAnsi"/>
          <w:lang w:eastAsia="en-GB"/>
        </w:rPr>
        <w:t xml:space="preserve">y identifying certain acts (or lack of) of the young people as resistance, my purpose is not to think of resistance as the ‘panacea’ to the ableist ideologies perpetuated in the TAs’ practices, but to use resistance as a concept to shed more light on the existent power relations at schools as well as to indicate young people’s knowledge of such power structures and the ways they negotiated them. As Foucault (1978: 95) asserted, ‘where there is power, there is resistance, and yet, or rather consequently, this resistance is never in a position of exteriority in relation to power.’ Resistance, then, is not antithetical to power, but it is ‘reversed power’ (Hoy 2004; Thompson 2003), meaning that </w:t>
      </w:r>
    </w:p>
    <w:p w14:paraId="66BE4388" w14:textId="77777777" w:rsidR="00BE2C1D" w:rsidRPr="00BE2C1D" w:rsidRDefault="00BE2C1D" w:rsidP="00BE2C1D">
      <w:pPr>
        <w:spacing w:line="360" w:lineRule="auto"/>
        <w:ind w:left="720"/>
        <w:jc w:val="both"/>
        <w:rPr>
          <w:rFonts w:cstheme="minorHAnsi"/>
          <w:sz w:val="20"/>
          <w:szCs w:val="20"/>
        </w:rPr>
      </w:pPr>
      <w:r w:rsidRPr="00BE2C1D">
        <w:rPr>
          <w:rFonts w:cstheme="minorHAnsi"/>
          <w:sz w:val="20"/>
          <w:szCs w:val="20"/>
        </w:rPr>
        <w:lastRenderedPageBreak/>
        <w:t>resistance, being entangled with power, always has to utilise the same technologies as power, but ‘harness power otherwise, in the production of other effects’ (Nealon 2008, p.24) (Lilja &amp; Vinthagen 2014: 111).</w:t>
      </w:r>
    </w:p>
    <w:p w14:paraId="2C3198B1" w14:textId="77777777" w:rsidR="00BE2C1D" w:rsidRPr="00BE2C1D" w:rsidRDefault="00BE2C1D" w:rsidP="00BE2C1D">
      <w:pPr>
        <w:spacing w:after="0" w:line="360" w:lineRule="auto"/>
        <w:jc w:val="both"/>
        <w:rPr>
          <w:rFonts w:ascii="Calibri" w:hAnsi="Calibri" w:cs="Calibri"/>
        </w:rPr>
      </w:pPr>
      <w:r w:rsidRPr="00BE2C1D">
        <w:rPr>
          <w:rFonts w:ascii="Calibri" w:hAnsi="Calibri" w:cs="Calibri"/>
        </w:rPr>
        <w:t>While Hollander and Einwohner (2004) proposed an analytical typology of resistance</w:t>
      </w:r>
      <w:r w:rsidRPr="00BE2C1D">
        <w:rPr>
          <w:rFonts w:ascii="Calibri" w:hAnsi="Calibri" w:cs="Calibri"/>
          <w:vertAlign w:val="superscript"/>
        </w:rPr>
        <w:footnoteReference w:id="114"/>
      </w:r>
      <w:r w:rsidRPr="00BE2C1D">
        <w:rPr>
          <w:rFonts w:ascii="Calibri" w:hAnsi="Calibri" w:cs="Calibri"/>
        </w:rPr>
        <w:t xml:space="preserve"> based on two criteria - recognition and intent, I remain quite sceptical of such typologies in terms of their purpose and what is not acknowledged as resistance or what is silenced and left out because it is not identified as resistance. Consequentialist (acknowledging resistance based on an achieved outcome) and intentionalist (whether it’s the researcher’s intention to identify certain acts as resistance, as it was mentioned earlier in the case of marginalised groups, or whether the author identifies certain acts as intentional resistance) approaches to resistance can be quite limiting, as they allow space for only certain forms of resistance to be recognised as such. To avoid such discrepancies in my analysis (to the extent that this is possible), I follow Foucault’s (1981: 95) openness on what forms resistance can take, as explained in the following quote:    </w:t>
      </w:r>
    </w:p>
    <w:p w14:paraId="05BB8171" w14:textId="77777777" w:rsidR="00BE2C1D" w:rsidRPr="00BE2C1D" w:rsidRDefault="00BE2C1D" w:rsidP="00BE2C1D">
      <w:pPr>
        <w:spacing w:line="360" w:lineRule="auto"/>
        <w:ind w:left="720"/>
        <w:jc w:val="both"/>
        <w:rPr>
          <w:rFonts w:cstheme="minorHAnsi"/>
        </w:rPr>
      </w:pPr>
      <w:r w:rsidRPr="00BE2C1D">
        <w:rPr>
          <w:rFonts w:cstheme="minorHAnsi"/>
          <w:sz w:val="20"/>
          <w:szCs w:val="20"/>
        </w:rPr>
        <w:t>[We find] a plurality of resistances, each of them a special case: resistances that are possible, necessary, improbable; others that are spontaneous, savage, solitary, concerted, rampant, or violent; still others that are quick to compromise, interested, or sacrificial; by definition they can only exist in the strategic field of power relations. But this does not mean that they are only a reaction or a rebound, forming with respect to the basic domination an underside that is in the end always passive, doomed to perpetual defeat.</w:t>
      </w:r>
      <w:r w:rsidRPr="00BE2C1D">
        <w:rPr>
          <w:rFonts w:cstheme="minorHAnsi"/>
        </w:rPr>
        <w:t xml:space="preserve"> </w:t>
      </w:r>
    </w:p>
    <w:p w14:paraId="056175F1" w14:textId="77777777" w:rsidR="00BE2C1D" w:rsidRPr="00BE2C1D" w:rsidRDefault="00BE2C1D" w:rsidP="00BE2C1D">
      <w:pPr>
        <w:spacing w:line="360" w:lineRule="auto"/>
        <w:jc w:val="both"/>
        <w:rPr>
          <w:rFonts w:ascii="Calibri" w:hAnsi="Calibri" w:cs="Calibri"/>
        </w:rPr>
      </w:pPr>
      <w:r w:rsidRPr="00BE2C1D">
        <w:rPr>
          <w:rFonts w:ascii="Calibri" w:hAnsi="Calibri" w:cs="Calibri"/>
        </w:rPr>
        <w:t>The above approach is in line with Gabels’ and Peters’ (2004: 596) engagement with resistance theory, which</w:t>
      </w:r>
    </w:p>
    <w:p w14:paraId="06F64046" w14:textId="77777777" w:rsidR="00BE2C1D" w:rsidRPr="00BE2C1D" w:rsidRDefault="00BE2C1D" w:rsidP="00BE2C1D">
      <w:pPr>
        <w:spacing w:line="360" w:lineRule="auto"/>
        <w:ind w:left="720"/>
        <w:jc w:val="both"/>
        <w:rPr>
          <w:rFonts w:ascii="Calibri" w:hAnsi="Calibri" w:cs="Calibri"/>
        </w:rPr>
      </w:pPr>
      <w:r w:rsidRPr="00BE2C1D">
        <w:rPr>
          <w:rFonts w:ascii="Calibri" w:hAnsi="Calibri" w:cs="Calibri"/>
          <w:sz w:val="20"/>
          <w:szCs w:val="20"/>
        </w:rPr>
        <w:t>allows disability studies to acknowledge the importance of all forms of resistance by disabled people, including resistance by those individuals who do not accept the ‘party line’ but who have valid perspectives and who share values of liberation and freedom for disabled people.</w:t>
      </w:r>
    </w:p>
    <w:p w14:paraId="300C66DE" w14:textId="77777777" w:rsidR="00BE2C1D" w:rsidRPr="00BE2C1D" w:rsidRDefault="00BE2C1D" w:rsidP="00BE2C1D">
      <w:pPr>
        <w:spacing w:line="360" w:lineRule="auto"/>
        <w:jc w:val="both"/>
        <w:rPr>
          <w:rFonts w:cstheme="minorHAnsi"/>
        </w:rPr>
      </w:pPr>
      <w:r w:rsidRPr="00BE2C1D">
        <w:rPr>
          <w:rFonts w:cstheme="minorHAnsi"/>
        </w:rPr>
        <w:t xml:space="preserve">Moreover, a turn to resistance also means a shift from the panoptic class (whereby TAs are seen as power-ful enacting the disciplinary gaze and the young people as power-less, subject to the disciplinary gaze) to the synoptic class (Landhal 2013), whereby the young people return the gaze back to the TAs or how the panoptical gaze is counteracted by the synoptical gaze. The notion of the synoptic, as discussed by Mathiesen (1997), is a reversal of the panopticon: while the panopticon assumes that the few see the many (e.g. the guardians watch the prisoners in the Panopticon), the synopticon assumes that the many see the few. Landhal (2013) applies the idea of the synopticon in </w:t>
      </w:r>
      <w:r w:rsidRPr="00BE2C1D">
        <w:rPr>
          <w:rFonts w:cstheme="minorHAnsi"/>
        </w:rPr>
        <w:lastRenderedPageBreak/>
        <w:t xml:space="preserve">the classroom context, where the teachers are also highly visible and exposed to the students’ gaze. This reversal of the gaze, Landhal argues, is what opens space for resistance.  </w:t>
      </w:r>
    </w:p>
    <w:p w14:paraId="66D31748" w14:textId="77777777" w:rsidR="00BE2C1D" w:rsidRPr="00BE2C1D" w:rsidRDefault="00BE2C1D" w:rsidP="00BE2C1D">
      <w:pPr>
        <w:spacing w:line="360" w:lineRule="auto"/>
        <w:jc w:val="both"/>
        <w:rPr>
          <w:rFonts w:cstheme="minorHAnsi"/>
        </w:rPr>
      </w:pPr>
      <w:r w:rsidRPr="00BE2C1D">
        <w:rPr>
          <w:rFonts w:cstheme="minorHAnsi"/>
        </w:rPr>
        <w:t>Remaining critically reflexive and open into what I identify as resistance in the young people’s stories, I now turn to what the young people shared.  In the following section I refer to stories that have not been quoted so far as well as to stories that have been quoted before, but certain sentences were intentionally omitted, which I identify as a resisting practice (I use bold letters to signify that).</w:t>
      </w:r>
    </w:p>
    <w:p w14:paraId="4B310DAE" w14:textId="77777777" w:rsidR="00BE2C1D" w:rsidRPr="00BE2C1D" w:rsidRDefault="00BE2C1D" w:rsidP="00BE2C1D">
      <w:pPr>
        <w:keepNext/>
        <w:keepLines/>
        <w:spacing w:before="40" w:after="0" w:line="360" w:lineRule="auto"/>
        <w:outlineLvl w:val="2"/>
        <w:rPr>
          <w:rFonts w:asciiTheme="majorHAnsi" w:eastAsiaTheme="majorEastAsia" w:hAnsiTheme="majorHAnsi" w:cstheme="majorBidi"/>
          <w:color w:val="1F3763" w:themeColor="accent1" w:themeShade="7F"/>
          <w:sz w:val="24"/>
          <w:szCs w:val="24"/>
          <w:lang w:eastAsia="zh-CN"/>
        </w:rPr>
      </w:pPr>
      <w:bookmarkStart w:id="130" w:name="_Toc39585261"/>
      <w:r w:rsidRPr="00BE2C1D">
        <w:rPr>
          <w:rFonts w:asciiTheme="majorHAnsi" w:eastAsiaTheme="majorEastAsia" w:hAnsiTheme="majorHAnsi" w:cstheme="majorBidi"/>
          <w:color w:val="1F3763" w:themeColor="accent1" w:themeShade="7F"/>
          <w:sz w:val="24"/>
          <w:szCs w:val="24"/>
          <w:lang w:eastAsia="zh-CN"/>
        </w:rPr>
        <w:t>Returning the Gaze</w:t>
      </w:r>
      <w:bookmarkEnd w:id="130"/>
      <w:r w:rsidRPr="00BE2C1D">
        <w:rPr>
          <w:rFonts w:asciiTheme="majorHAnsi" w:eastAsiaTheme="majorEastAsia" w:hAnsiTheme="majorHAnsi" w:cstheme="majorBidi"/>
          <w:color w:val="1F3763" w:themeColor="accent1" w:themeShade="7F"/>
          <w:sz w:val="24"/>
          <w:szCs w:val="24"/>
          <w:lang w:eastAsia="zh-CN"/>
        </w:rPr>
        <w:t xml:space="preserve">    </w:t>
      </w:r>
    </w:p>
    <w:p w14:paraId="33E6B4F6" w14:textId="77777777" w:rsidR="00BE2C1D" w:rsidRPr="00BE2C1D" w:rsidRDefault="00BE2C1D" w:rsidP="00BE2C1D">
      <w:pPr>
        <w:spacing w:line="360" w:lineRule="auto"/>
        <w:jc w:val="both"/>
        <w:rPr>
          <w:rFonts w:cstheme="minorHAnsi"/>
        </w:rPr>
      </w:pPr>
      <w:r w:rsidRPr="00BE2C1D">
        <w:t xml:space="preserve">The young people were not passive towards the surveillance and governance of their bodies and their subjectification, but, on the contrary, they developed nuanced modes of resistance to them. </w:t>
      </w:r>
      <w:r w:rsidRPr="00BE2C1D">
        <w:rPr>
          <w:rFonts w:cstheme="minorHAnsi"/>
        </w:rPr>
        <w:t xml:space="preserve">Rania and Lynn were among the most outspoken young people in regards to resistance and, hence, many of the stories following below are theirs. This resistant attitude could be partly attributed to the background of their families, who are active members of the organisations that I have worked with. Moreover, these two were interviewed together, so their stories were complimenting each other. </w:t>
      </w:r>
    </w:p>
    <w:p w14:paraId="34B918A9" w14:textId="77777777" w:rsidR="00BE2C1D" w:rsidRPr="00BE2C1D" w:rsidRDefault="00BE2C1D" w:rsidP="00BE2C1D">
      <w:pPr>
        <w:spacing w:line="360" w:lineRule="auto"/>
        <w:jc w:val="both"/>
        <w:rPr>
          <w:rFonts w:cstheme="minorHAnsi"/>
        </w:rPr>
      </w:pPr>
      <w:r w:rsidRPr="00BE2C1D">
        <w:rPr>
          <w:rFonts w:cstheme="minorHAnsi"/>
        </w:rPr>
        <w:t xml:space="preserve">As argued earlier, the purpose of surveillance was the production of docile, self-governed bodies (Foucault, 1977), which was in line with the institutional role of TAs (Blatchford et al. 2009, 2011). Both Rania and Lynn shared stories whereby they acted as indocile bodies against their TAs’ surveillance: </w:t>
      </w:r>
    </w:p>
    <w:p w14:paraId="3BF3D653" w14:textId="77777777" w:rsidR="00BE2C1D" w:rsidRPr="00BE2C1D" w:rsidRDefault="00BE2C1D" w:rsidP="00BE2C1D">
      <w:pPr>
        <w:spacing w:line="360" w:lineRule="auto"/>
        <w:ind w:left="720"/>
        <w:jc w:val="both"/>
        <w:rPr>
          <w:rFonts w:cstheme="minorHAnsi"/>
          <w:sz w:val="20"/>
          <w:szCs w:val="20"/>
        </w:rPr>
      </w:pPr>
      <w:r w:rsidRPr="00BE2C1D">
        <w:rPr>
          <w:rFonts w:cstheme="minorHAnsi"/>
          <w:sz w:val="20"/>
          <w:szCs w:val="20"/>
        </w:rPr>
        <w:t>Rania: Whenever I was just like working and say if I was like, as a student, as you do, if you were sat next to somebody you were getting on with and had a chat with him and then, they will always say, and then they will always ‘Oh, what are you doing? Oh, ok. Oh, are you alright with that question? Are you alright with this, are you alright with that</w:t>
      </w:r>
      <w:r w:rsidRPr="00BE2C1D">
        <w:rPr>
          <w:rFonts w:cstheme="minorHAnsi"/>
          <w:b/>
          <w:sz w:val="20"/>
          <w:szCs w:val="20"/>
        </w:rPr>
        <w:t>?’ I am like: ‘Fine.’</w:t>
      </w:r>
      <w:r w:rsidRPr="00BE2C1D">
        <w:rPr>
          <w:rFonts w:cstheme="minorHAnsi"/>
          <w:sz w:val="20"/>
          <w:szCs w:val="20"/>
        </w:rPr>
        <w:t xml:space="preserve">  ‘Oh, come on, just get on’, like, ‘let’s get on with your work then</w:t>
      </w:r>
      <w:r w:rsidRPr="00BE2C1D">
        <w:rPr>
          <w:rFonts w:cstheme="minorHAnsi"/>
          <w:b/>
          <w:sz w:val="20"/>
          <w:szCs w:val="20"/>
        </w:rPr>
        <w:t>.’ It’s like: ‘I am doing, please just leave me alone, I am fine.’</w:t>
      </w:r>
      <w:r w:rsidRPr="00BE2C1D">
        <w:rPr>
          <w:rFonts w:cstheme="minorHAnsi"/>
          <w:sz w:val="20"/>
          <w:szCs w:val="20"/>
        </w:rPr>
        <w:t xml:space="preserve"> (bold added).</w:t>
      </w:r>
    </w:p>
    <w:p w14:paraId="1471FA35" w14:textId="77777777" w:rsidR="00BE2C1D" w:rsidRPr="00BE2C1D" w:rsidRDefault="00BE2C1D" w:rsidP="00BE2C1D">
      <w:pPr>
        <w:spacing w:line="360" w:lineRule="auto"/>
        <w:ind w:left="720"/>
        <w:jc w:val="both"/>
        <w:rPr>
          <w:rFonts w:cstheme="minorHAnsi"/>
          <w:sz w:val="20"/>
          <w:szCs w:val="20"/>
        </w:rPr>
      </w:pPr>
      <w:r w:rsidRPr="00BE2C1D">
        <w:rPr>
          <w:rFonts w:cstheme="minorHAnsi"/>
          <w:sz w:val="20"/>
          <w:szCs w:val="20"/>
        </w:rPr>
        <w:t>Lynn: Yeah, it is annoying. Like I was talking inside about the same: ‘Oh, you need to pick four tea spoons of sugar’ and she goes: “Shush, Lynn, Lynn is just talking” and I am like ‘</w:t>
      </w:r>
      <w:r w:rsidRPr="00BE2C1D">
        <w:rPr>
          <w:rFonts w:cstheme="minorHAnsi"/>
          <w:b/>
          <w:sz w:val="20"/>
          <w:szCs w:val="20"/>
        </w:rPr>
        <w:t xml:space="preserve">Yeah, she’s talking to that group, not my group or to anyone.’ </w:t>
      </w:r>
      <w:r w:rsidRPr="00BE2C1D">
        <w:rPr>
          <w:rFonts w:cstheme="minorHAnsi"/>
          <w:sz w:val="20"/>
          <w:szCs w:val="20"/>
        </w:rPr>
        <w:t xml:space="preserve">She goes like “Do your work”. I am like </w:t>
      </w:r>
      <w:r w:rsidRPr="00BE2C1D">
        <w:rPr>
          <w:rFonts w:cstheme="minorHAnsi"/>
          <w:b/>
          <w:sz w:val="20"/>
          <w:szCs w:val="20"/>
        </w:rPr>
        <w:t xml:space="preserve">“I was, but you stopped me”. </w:t>
      </w:r>
      <w:r w:rsidRPr="00BE2C1D">
        <w:rPr>
          <w:rFonts w:cstheme="minorHAnsi"/>
          <w:sz w:val="20"/>
          <w:szCs w:val="20"/>
        </w:rPr>
        <w:t>(Rania: Yeah). And then, like two minutes later, “Lynn, pack up, we’re going</w:t>
      </w:r>
      <w:r w:rsidRPr="00BE2C1D">
        <w:rPr>
          <w:rFonts w:cstheme="minorHAnsi"/>
          <w:b/>
          <w:sz w:val="20"/>
          <w:szCs w:val="20"/>
        </w:rPr>
        <w:t xml:space="preserve">”. I am like “Seriously? And I was having fun.” She makes me stop lessons, like miss the good things (Rania: Yeah), cause she talks to me. Like I only did two minutes of that and I am supposed to do like five. ‘You made me miss three minutes of that, so that’s not nice or fun.’ </w:t>
      </w:r>
      <w:r w:rsidRPr="00BE2C1D">
        <w:rPr>
          <w:rFonts w:cstheme="minorHAnsi"/>
          <w:bCs/>
          <w:sz w:val="20"/>
          <w:szCs w:val="20"/>
        </w:rPr>
        <w:t>(bold added).</w:t>
      </w:r>
    </w:p>
    <w:p w14:paraId="739884BD" w14:textId="77777777" w:rsidR="00BE2C1D" w:rsidRPr="00BE2C1D" w:rsidRDefault="00BE2C1D" w:rsidP="00BE2C1D">
      <w:pPr>
        <w:spacing w:line="360" w:lineRule="auto"/>
        <w:jc w:val="both"/>
        <w:rPr>
          <w:rFonts w:cstheme="minorHAnsi"/>
        </w:rPr>
      </w:pPr>
      <w:r w:rsidRPr="00BE2C1D">
        <w:rPr>
          <w:rFonts w:cstheme="minorHAnsi"/>
        </w:rPr>
        <w:t xml:space="preserve">Instead of complying with the TAs’ orders, Rania and Lynn talked back to them and resisted being governed. This resistance can be seen as part of what Slater (2015) refers to as the ‘non-normativity’ of youth (or what Rania acknowledges as what students do), in terms of acting rebelliously. However, in the case of disabled young people, not only must this non-normativity be governed, but it also </w:t>
      </w:r>
      <w:r w:rsidRPr="00BE2C1D">
        <w:rPr>
          <w:rFonts w:cstheme="minorHAnsi"/>
        </w:rPr>
        <w:lastRenderedPageBreak/>
        <w:t xml:space="preserve">positioned them in more precarious positions. For instance, Lynn was removed from the class - what could be seen as punishment from a Foucauldian perspective - for speaking out. Allan (2008) also discussed how disabled students who engaged in resisting practices ended up finding themselves under more severe surveillance and/or were further pathologised for ‘misbehaving’. </w:t>
      </w:r>
    </w:p>
    <w:p w14:paraId="3D293D6C" w14:textId="77777777" w:rsidR="00BE2C1D" w:rsidRPr="00BE2C1D" w:rsidRDefault="00BE2C1D" w:rsidP="00BE2C1D">
      <w:pPr>
        <w:spacing w:line="360" w:lineRule="auto"/>
        <w:jc w:val="both"/>
        <w:rPr>
          <w:rFonts w:cstheme="minorHAnsi"/>
        </w:rPr>
      </w:pPr>
      <w:r w:rsidRPr="00BE2C1D">
        <w:rPr>
          <w:rFonts w:cstheme="minorHAnsi"/>
        </w:rPr>
        <w:t xml:space="preserve">Whilst Lynn’s TA drew on the power assigned to her as a staff member to punish her, some young people also used the existent hierarchical power relations, which distinguished between the class teacher and TAs, as a means of resistance: </w:t>
      </w:r>
    </w:p>
    <w:p w14:paraId="72262E53" w14:textId="77777777" w:rsidR="00BE2C1D" w:rsidRPr="00BE2C1D" w:rsidRDefault="00BE2C1D" w:rsidP="00BE2C1D">
      <w:pPr>
        <w:spacing w:line="360" w:lineRule="auto"/>
        <w:ind w:left="720"/>
        <w:jc w:val="both"/>
        <w:rPr>
          <w:rFonts w:cstheme="minorHAnsi"/>
          <w:bCs/>
          <w:sz w:val="20"/>
          <w:szCs w:val="20"/>
        </w:rPr>
      </w:pPr>
      <w:r w:rsidRPr="00BE2C1D">
        <w:rPr>
          <w:rFonts w:cstheme="minorHAnsi"/>
          <w:sz w:val="20"/>
          <w:szCs w:val="20"/>
        </w:rPr>
        <w:t>Rania: And like it’s like you’ve got a second teacher just on your case. And it’s like, if teachers say that I am chatting with my friend, we are chatting about French, she or we chat about languages, she’s French. I am asking her about how do you learn a second language when you are in a German class. And I am like, you know, I am trying to get on with my German, just chatting about languages. And it’s like: ‘Stop with that, get on with your work.’</w:t>
      </w:r>
      <w:r w:rsidRPr="00BE2C1D">
        <w:rPr>
          <w:rFonts w:cstheme="minorHAnsi"/>
          <w:b/>
          <w:sz w:val="20"/>
          <w:szCs w:val="20"/>
        </w:rPr>
        <w:t xml:space="preserve"> And I am like, ‘You’re not, you aren’t the teacher, and you’re not here to help me with my learning. You are just here to help me, to support me if I got a problem with my back or with my legs or anything like that </w:t>
      </w:r>
      <w:r w:rsidRPr="00BE2C1D">
        <w:rPr>
          <w:rFonts w:cstheme="minorHAnsi"/>
          <w:bCs/>
          <w:sz w:val="20"/>
          <w:szCs w:val="20"/>
        </w:rPr>
        <w:t>(bold added).</w:t>
      </w:r>
    </w:p>
    <w:p w14:paraId="3DCC1B0A" w14:textId="77777777" w:rsidR="00BE2C1D" w:rsidRPr="00BE2C1D" w:rsidRDefault="00BE2C1D" w:rsidP="00BE2C1D">
      <w:pPr>
        <w:spacing w:line="360" w:lineRule="auto"/>
        <w:jc w:val="both"/>
        <w:rPr>
          <w:rFonts w:cstheme="minorHAnsi"/>
        </w:rPr>
      </w:pPr>
      <w:r w:rsidRPr="00BE2C1D">
        <w:rPr>
          <w:rFonts w:cstheme="minorHAnsi"/>
        </w:rPr>
        <w:t>In this story, Rania first demonstrated her awareness and irritation for being under the TA’s constant surveillance, describing them</w:t>
      </w:r>
      <w:r w:rsidRPr="00BE2C1D">
        <w:rPr>
          <w:rFonts w:cstheme="minorHAnsi"/>
          <w:vertAlign w:val="superscript"/>
        </w:rPr>
        <w:footnoteReference w:id="115"/>
      </w:r>
      <w:r w:rsidRPr="00BE2C1D">
        <w:rPr>
          <w:rFonts w:cstheme="minorHAnsi"/>
        </w:rPr>
        <w:t xml:space="preserve"> as a ‘second teacher’. Nevertheless, in her attempt to resist to the governance of her conduct by her TA, she made it clear to them that their responsibilities differed from the ones of a class teacher, with the latter being responsible for her learning and the former for physical support. As various studies have shown, young people were cognisant of the different roles between TAs and class teachers and their status in schools (Eyres et al. 2004; Fraser and Meadows 2008; Hancock and Eyres 2004). Moreover, in line with my Foucauldian analysis, this story indicated the circular structure of power, meaning that power was not one’s possession, but all individuals were caught up in hierarchical power relations.   </w:t>
      </w:r>
    </w:p>
    <w:p w14:paraId="5A363642" w14:textId="7F44684C" w:rsidR="00BE2C1D" w:rsidRPr="008F4D34" w:rsidRDefault="00BE2C1D" w:rsidP="00BE2C1D">
      <w:pPr>
        <w:spacing w:line="360" w:lineRule="auto"/>
        <w:jc w:val="both"/>
        <w:rPr>
          <w:bCs/>
        </w:rPr>
      </w:pPr>
      <w:r w:rsidRPr="008F4D34">
        <w:rPr>
          <w:bCs/>
        </w:rPr>
        <w:t xml:space="preserve">Mary also shared a story </w:t>
      </w:r>
      <w:r w:rsidR="00527A07" w:rsidRPr="008F4D34">
        <w:rPr>
          <w:bCs/>
        </w:rPr>
        <w:t xml:space="preserve">regarding her mother’s involvement </w:t>
      </w:r>
      <w:r w:rsidR="00CE2A86" w:rsidRPr="008F4D34">
        <w:rPr>
          <w:bCs/>
        </w:rPr>
        <w:t>as a means to cease the repercussions of support</w:t>
      </w:r>
      <w:r w:rsidRPr="008F4D34">
        <w:rPr>
          <w:bCs/>
        </w:rPr>
        <w:t xml:space="preserve">:  </w:t>
      </w:r>
    </w:p>
    <w:p w14:paraId="6CCC63D5" w14:textId="5C4B29E7" w:rsidR="00BE2C1D" w:rsidRPr="008F4D34" w:rsidRDefault="00BE2C1D" w:rsidP="00BE2C1D">
      <w:pPr>
        <w:spacing w:line="360" w:lineRule="auto"/>
        <w:ind w:left="720"/>
        <w:jc w:val="both"/>
        <w:rPr>
          <w:sz w:val="20"/>
          <w:szCs w:val="20"/>
        </w:rPr>
      </w:pPr>
      <w:r w:rsidRPr="00BE2C1D">
        <w:rPr>
          <w:sz w:val="20"/>
          <w:szCs w:val="20"/>
        </w:rPr>
        <w:t>Mary: In Y</w:t>
      </w:r>
      <w:r w:rsidR="008A6F4D">
        <w:rPr>
          <w:sz w:val="20"/>
          <w:szCs w:val="20"/>
        </w:rPr>
        <w:t xml:space="preserve">ear </w:t>
      </w:r>
      <w:r w:rsidRPr="00BE2C1D">
        <w:rPr>
          <w:sz w:val="20"/>
          <w:szCs w:val="20"/>
        </w:rPr>
        <w:t xml:space="preserve">7 I had this teaching assistant and she treated me like I was like mentally incapable of doing everything </w:t>
      </w:r>
      <w:r w:rsidRPr="008F4D34">
        <w:rPr>
          <w:sz w:val="20"/>
          <w:szCs w:val="20"/>
        </w:rPr>
        <w:t>and I didn’t like it. So, then I told my mum. Then she sorted that out and, since then, I had no TAs or anything (bold added).</w:t>
      </w:r>
    </w:p>
    <w:p w14:paraId="4F6F3359" w14:textId="35579F3D" w:rsidR="00BE2C1D" w:rsidRPr="00BE2C1D" w:rsidRDefault="00BE2C1D" w:rsidP="00BE2C1D">
      <w:pPr>
        <w:spacing w:line="360" w:lineRule="auto"/>
        <w:jc w:val="both"/>
        <w:rPr>
          <w:bCs/>
        </w:rPr>
      </w:pPr>
      <w:r w:rsidRPr="008F4D34">
        <w:t xml:space="preserve">Mary expressed </w:t>
      </w:r>
      <w:r w:rsidR="00ED5033" w:rsidRPr="008F4D34">
        <w:t>her</w:t>
      </w:r>
      <w:r w:rsidRPr="008F4D34">
        <w:t xml:space="preserve"> discomfort of having </w:t>
      </w:r>
      <w:r w:rsidR="00ED5033" w:rsidRPr="008F4D34">
        <w:t>a</w:t>
      </w:r>
      <w:r w:rsidRPr="008F4D34">
        <w:t xml:space="preserve"> TA interfering with </w:t>
      </w:r>
      <w:r w:rsidR="00527A07" w:rsidRPr="008F4D34">
        <w:t>her</w:t>
      </w:r>
      <w:r w:rsidRPr="008F4D34">
        <w:t xml:space="preserve"> learning and </w:t>
      </w:r>
      <w:r w:rsidR="00527A07" w:rsidRPr="008F4D34">
        <w:t>she</w:t>
      </w:r>
      <w:r w:rsidRPr="008F4D34">
        <w:t xml:space="preserve"> decided to do something about it, </w:t>
      </w:r>
      <w:r w:rsidR="00C64E2B" w:rsidRPr="008F4D34">
        <w:t>that is,</w:t>
      </w:r>
      <w:r w:rsidRPr="008F4D34">
        <w:t xml:space="preserve"> have </w:t>
      </w:r>
      <w:r w:rsidR="00527A07" w:rsidRPr="008F4D34">
        <w:t>her</w:t>
      </w:r>
      <w:r w:rsidRPr="008F4D34">
        <w:t xml:space="preserve"> mother addressing this issue with the school.</w:t>
      </w:r>
      <w:r w:rsidRPr="00BE2C1D">
        <w:rPr>
          <w:bCs/>
        </w:rPr>
        <w:t xml:space="preserve"> What </w:t>
      </w:r>
      <w:r w:rsidR="00527A07">
        <w:rPr>
          <w:bCs/>
        </w:rPr>
        <w:t>is</w:t>
      </w:r>
      <w:r w:rsidRPr="00BE2C1D">
        <w:rPr>
          <w:bCs/>
        </w:rPr>
        <w:t xml:space="preserve"> nuanced about th</w:t>
      </w:r>
      <w:r w:rsidR="00527A07">
        <w:rPr>
          <w:bCs/>
        </w:rPr>
        <w:t>is</w:t>
      </w:r>
      <w:r w:rsidRPr="00BE2C1D">
        <w:rPr>
          <w:bCs/>
        </w:rPr>
        <w:t xml:space="preserve"> stor</w:t>
      </w:r>
      <w:r w:rsidR="00527A07">
        <w:rPr>
          <w:bCs/>
        </w:rPr>
        <w:t>y</w:t>
      </w:r>
      <w:r w:rsidRPr="00BE2C1D">
        <w:rPr>
          <w:bCs/>
        </w:rPr>
        <w:t xml:space="preserve"> </w:t>
      </w:r>
      <w:r w:rsidR="00527A07">
        <w:rPr>
          <w:bCs/>
        </w:rPr>
        <w:t>is</w:t>
      </w:r>
      <w:r w:rsidRPr="00BE2C1D">
        <w:rPr>
          <w:bCs/>
        </w:rPr>
        <w:t xml:space="preserve"> that</w:t>
      </w:r>
      <w:r w:rsidR="00527A07">
        <w:rPr>
          <w:bCs/>
        </w:rPr>
        <w:t xml:space="preserve"> it</w:t>
      </w:r>
      <w:r w:rsidRPr="00BE2C1D">
        <w:rPr>
          <w:bCs/>
        </w:rPr>
        <w:t xml:space="preserve"> invite</w:t>
      </w:r>
      <w:r w:rsidR="00527A07">
        <w:rPr>
          <w:bCs/>
        </w:rPr>
        <w:t>s</w:t>
      </w:r>
      <w:r w:rsidRPr="00BE2C1D">
        <w:rPr>
          <w:bCs/>
        </w:rPr>
        <w:t xml:space="preserve"> for a relational understanding of resistance rather than an </w:t>
      </w:r>
      <w:r w:rsidRPr="00BE2C1D">
        <w:rPr>
          <w:bCs/>
        </w:rPr>
        <w:lastRenderedPageBreak/>
        <w:t xml:space="preserve">individualistic one, meaning that resistance is not reduced down to an individual, but it takes place through various actors/actresses (Wilhoit and Kisselburgh 2017).  </w:t>
      </w:r>
    </w:p>
    <w:p w14:paraId="7811B452" w14:textId="77777777" w:rsidR="00BE2C1D" w:rsidRPr="00BE2C1D" w:rsidRDefault="00BE2C1D" w:rsidP="00BE2C1D">
      <w:pPr>
        <w:spacing w:line="360" w:lineRule="auto"/>
        <w:jc w:val="both"/>
        <w:rPr>
          <w:rFonts w:cstheme="minorHAnsi"/>
        </w:rPr>
      </w:pPr>
      <w:r w:rsidRPr="00BE2C1D">
        <w:rPr>
          <w:rFonts w:cstheme="minorHAnsi"/>
        </w:rPr>
        <w:t>Furthermore, the resistance in the above stories was against the subjectification of the young people based on fixed notions about their impairment (Davis and Watson 2002). Such resistance was also raised in Rania’s following story:</w:t>
      </w:r>
    </w:p>
    <w:p w14:paraId="5A3FA992" w14:textId="77777777" w:rsidR="00BE2C1D" w:rsidRPr="00BE2C1D" w:rsidRDefault="00BE2C1D" w:rsidP="00BE2C1D">
      <w:pPr>
        <w:spacing w:line="360" w:lineRule="auto"/>
        <w:ind w:left="720"/>
        <w:jc w:val="both"/>
        <w:rPr>
          <w:rFonts w:cstheme="minorHAnsi"/>
          <w:b/>
          <w:sz w:val="20"/>
          <w:szCs w:val="20"/>
        </w:rPr>
      </w:pPr>
      <w:r w:rsidRPr="00BE2C1D">
        <w:rPr>
          <w:rFonts w:cstheme="minorHAnsi"/>
          <w:sz w:val="20"/>
          <w:szCs w:val="20"/>
        </w:rPr>
        <w:t xml:space="preserve">Rania: And then, often I think, because you’re small, there’s always with lots of people, and this is gonna sound quite generalizing, but to be fair, it is with older people, which in my case my TA, the TAs that were shared were, they were generally older, near retiring age, there’s always this like patronizing nature, cause they see like you’re small, they ‘ll always see like, oh, like, like you got a younger mind. </w:t>
      </w:r>
      <w:r w:rsidRPr="00BE2C1D">
        <w:rPr>
          <w:rFonts w:cstheme="minorHAnsi"/>
          <w:b/>
          <w:sz w:val="20"/>
          <w:szCs w:val="20"/>
        </w:rPr>
        <w:t xml:space="preserve">When actually with that definitely isn’t the case with me (assertive tone). I am 17, at the age of 11 I passed a test to get to a grammar school. I was in the top 5% of my area, I am very capable. I am like, I am intelligent and I am fair and I am capable like looking after myself and doing my work, which a lot of them didn’t like see and it was annoying. So, when you got like a TA to help you with your bags or make sure you are ok with your back, I don’t want them to try to help me with my work, I am very fine with my work, thanks </w:t>
      </w:r>
      <w:r w:rsidRPr="00BE2C1D">
        <w:rPr>
          <w:rFonts w:cstheme="minorHAnsi"/>
          <w:bCs/>
          <w:sz w:val="20"/>
          <w:szCs w:val="20"/>
        </w:rPr>
        <w:t xml:space="preserve">(bold added). </w:t>
      </w:r>
      <w:r w:rsidRPr="00BE2C1D">
        <w:rPr>
          <w:rFonts w:cstheme="minorHAnsi"/>
          <w:b/>
          <w:sz w:val="20"/>
          <w:szCs w:val="20"/>
        </w:rPr>
        <w:t xml:space="preserve"> </w:t>
      </w:r>
    </w:p>
    <w:p w14:paraId="57592293" w14:textId="77777777" w:rsidR="00BE2C1D" w:rsidRPr="00BE2C1D" w:rsidRDefault="00BE2C1D" w:rsidP="00BE2C1D">
      <w:pPr>
        <w:spacing w:line="360" w:lineRule="auto"/>
        <w:jc w:val="both"/>
        <w:rPr>
          <w:rFonts w:ascii="Calibri" w:hAnsi="Calibri" w:cs="Calibri"/>
        </w:rPr>
      </w:pPr>
      <w:r w:rsidRPr="00BE2C1D">
        <w:rPr>
          <w:rFonts w:ascii="Calibri" w:hAnsi="Calibri" w:cs="Calibri"/>
        </w:rPr>
        <w:t xml:space="preserve">Rania started her story with an ageist comment (a fact that she was aware of) about how it was mostly older TAs that tended to infantilise her and interfere with her learning. Against her subjectification, Rania framed her resistance drawing on the ableist register, meaning that her claims of capability build on discourses of able-mindness (Kafer 2013) that are valued in schools, such as performing well in exams and achieving high scores that rank you among the top students. While her resistance spoke back to her subjectification as less intelligent, at the same time it perpetuated a hierarchy of impairments (Deal 2003) through the dissociation of the learning disabled Other.  </w:t>
      </w:r>
    </w:p>
    <w:p w14:paraId="119047C2" w14:textId="77777777" w:rsidR="00BE2C1D" w:rsidRPr="00BE2C1D" w:rsidRDefault="00BE2C1D" w:rsidP="00BE2C1D">
      <w:pPr>
        <w:keepNext/>
        <w:keepLines/>
        <w:spacing w:before="40" w:after="0" w:line="360" w:lineRule="auto"/>
        <w:jc w:val="both"/>
        <w:outlineLvl w:val="1"/>
        <w:rPr>
          <w:rFonts w:asciiTheme="majorHAnsi" w:eastAsiaTheme="majorEastAsia" w:hAnsiTheme="majorHAnsi" w:cstheme="majorBidi"/>
          <w:color w:val="2F5496" w:themeColor="accent1" w:themeShade="BF"/>
          <w:sz w:val="26"/>
          <w:szCs w:val="26"/>
          <w:lang w:eastAsia="zh-CN"/>
        </w:rPr>
      </w:pPr>
      <w:bookmarkStart w:id="131" w:name="_Toc39585262"/>
      <w:r w:rsidRPr="00BE2C1D">
        <w:rPr>
          <w:rFonts w:asciiTheme="majorHAnsi" w:eastAsiaTheme="majorEastAsia" w:hAnsiTheme="majorHAnsi" w:cstheme="majorBidi"/>
          <w:color w:val="2F5496" w:themeColor="accent1" w:themeShade="BF"/>
          <w:sz w:val="26"/>
          <w:szCs w:val="26"/>
          <w:lang w:eastAsia="zh-CN"/>
        </w:rPr>
        <w:t>Conclusions</w:t>
      </w:r>
      <w:bookmarkEnd w:id="131"/>
      <w:r w:rsidRPr="00BE2C1D">
        <w:rPr>
          <w:rFonts w:asciiTheme="majorHAnsi" w:eastAsiaTheme="majorEastAsia" w:hAnsiTheme="majorHAnsi" w:cstheme="majorBidi"/>
          <w:color w:val="2F5496" w:themeColor="accent1" w:themeShade="BF"/>
          <w:sz w:val="26"/>
          <w:szCs w:val="26"/>
          <w:lang w:eastAsia="zh-CN"/>
        </w:rPr>
        <w:t xml:space="preserve"> </w:t>
      </w:r>
    </w:p>
    <w:p w14:paraId="671D9599" w14:textId="77777777" w:rsidR="00BE2C1D" w:rsidRPr="00BE2C1D" w:rsidRDefault="00BE2C1D" w:rsidP="00BE2C1D">
      <w:pPr>
        <w:spacing w:line="360" w:lineRule="auto"/>
        <w:jc w:val="both"/>
      </w:pPr>
      <w:bookmarkStart w:id="132" w:name="_Hlk38892132"/>
      <w:r w:rsidRPr="00BE2C1D">
        <w:t xml:space="preserve">TAs are central figures in the educational experiences of disabled students, considering the time they spend with each other (Webster et al. 2010). This was also evident in the young people’s stories, with TAs providing various forms of support to them. However, participants’ stories illustrated how such support could function as a ‘double-edged sword’. On the one hand, TAs enabled the young people to navigate inaccessible environments and supported them with any impairment effects. Hence, TAs were effective in removing ‘barriers to doing’ (Thomas 1999). However, the stigma attached to having a TA as well as the assumptions that TAs made about the young people based on fixed notions of impairment (Davis and Watson 2002; Whitburn 2013) were experienced as ‘barriers to being’ (Mortier et al. 2010). To fight back these barriers, some young people drew on an ableist register e.g. able-minded discourses (Kafer 2013) by dissociating themselves from the (learning) disabled Other. Nevertheless, as proposed by McLaughlin and Coleman-Fountain (2018), these narratives </w:t>
      </w:r>
      <w:r w:rsidRPr="00BE2C1D">
        <w:lastRenderedPageBreak/>
        <w:t xml:space="preserve">demonstrated the knowledge the young people had of the bio-politics of schooling, that is, the hierarchicalisation and classification of body/minds based on their proximity or distance from the norm, and how they used this knowledge to resist the inscription of certain identities on them.    </w:t>
      </w:r>
    </w:p>
    <w:p w14:paraId="7500EA4B" w14:textId="77777777" w:rsidR="00BE2C1D" w:rsidRPr="00BE2C1D" w:rsidRDefault="00BE2C1D" w:rsidP="00BE2C1D">
      <w:pPr>
        <w:spacing w:line="360" w:lineRule="auto"/>
        <w:jc w:val="both"/>
      </w:pPr>
      <w:r w:rsidRPr="00BE2C1D">
        <w:t>Moreover, TAs acted as panopticons in terms of having participants under their constant surveillance. While the surveillance of disabled students in mainstream schools has been discussed in other studies too (Allan 2008; Holt 2004), what was nuanced in the discussion of these stories of surveillance was the reference to the multi-sensory nature of surveillance, meaning that attention was paid both to panoptic and panaural forms of surveillance.</w:t>
      </w:r>
      <w:r w:rsidRPr="00BE2C1D">
        <w:rPr>
          <w:color w:val="FF0000"/>
        </w:rPr>
        <w:t xml:space="preserve"> </w:t>
      </w:r>
      <w:r w:rsidRPr="00BE2C1D">
        <w:t xml:space="preserve">The repercussions of surveillance were also considered, such as the impact it had on peer relationships, observed in other studies too (Broer et al. 2005; Whitburn 2013). </w:t>
      </w:r>
    </w:p>
    <w:p w14:paraId="3F2925AC" w14:textId="77777777" w:rsidR="00BE2C1D" w:rsidRPr="00BE2C1D" w:rsidRDefault="00BE2C1D" w:rsidP="00BE2C1D">
      <w:pPr>
        <w:spacing w:line="360" w:lineRule="auto"/>
        <w:jc w:val="both"/>
      </w:pPr>
      <w:r w:rsidRPr="00BE2C1D">
        <w:t xml:space="preserve">Furthermore, the young people referred to the various ways they resisted to the surveillance and governance of their bodies. What was significant in these stories was the knowledge they had about the hierarchical power relations in schools e.g. the difference in ‘status’ between TAs and teachers, and how they used it to make their resistance more effective. Nevertheless, these stories also illustrated how the young people’s resistance was either dismissed or resulted in their punishment as a means of discipline.   </w:t>
      </w:r>
    </w:p>
    <w:p w14:paraId="28971D04" w14:textId="77777777" w:rsidR="00BE2C1D" w:rsidRPr="00BE2C1D" w:rsidRDefault="00BE2C1D" w:rsidP="00BE2C1D">
      <w:pPr>
        <w:spacing w:line="360" w:lineRule="auto"/>
        <w:jc w:val="both"/>
      </w:pPr>
      <w:r w:rsidRPr="00BE2C1D">
        <w:t xml:space="preserve">Findings like the stigma of having a TA,  </w:t>
      </w:r>
      <w:r w:rsidRPr="00BE2C1D">
        <w:rPr>
          <w:rFonts w:cstheme="minorHAnsi"/>
        </w:rPr>
        <w:t>the repercussions of support to independency and the dismissal of disabled young people’s input concerning the support they would like to receive have already been addressed for a long time (since the late 1990s) and in different locations (Sweden, Iceland,  Belgium) (</w:t>
      </w:r>
      <w:r w:rsidRPr="00BE2C1D">
        <w:rPr>
          <w:rFonts w:ascii="Calibri" w:hAnsi="Calibri" w:cs="Calibri"/>
        </w:rPr>
        <w:t>Egilson and Traustadottir 2009; Hemmingson et al. 2003; Mortier et al. 2011).</w:t>
      </w:r>
      <w:r w:rsidRPr="00BE2C1D">
        <w:t xml:space="preserve"> </w:t>
      </w:r>
      <w:r w:rsidRPr="00BE2C1D">
        <w:rPr>
          <w:rFonts w:cstheme="minorHAnsi"/>
        </w:rPr>
        <w:t xml:space="preserve">Nevertheless, as the stories of this chapter indicated, not much has changed, despite the promises that have been made to end the bias towards inclusive education (Runswick-Cole 2011).  Moreover, what was nuanced in the above stories was the knowledge that the disabled young people had in relation to how things worked out e.g. why they had a TA, what the TA did versus what they should be doing, and the hidden labour (Scully 2010) they had to put to avoid the side-effects of the support. </w:t>
      </w:r>
    </w:p>
    <w:p w14:paraId="4840DAA6" w14:textId="77777777" w:rsidR="00BE2C1D" w:rsidRPr="00BE2C1D" w:rsidRDefault="00BE2C1D" w:rsidP="00BE2C1D">
      <w:pPr>
        <w:spacing w:line="360" w:lineRule="auto"/>
        <w:jc w:val="both"/>
      </w:pPr>
      <w:r w:rsidRPr="00BE2C1D">
        <w:t>On the whole, this chapter illustrated how disability appeared as a problem to be disciplined, managed and solved by TAs. It is worth clarifying here and before closing this chapter that, whilst TAs’ presence did conceal the structures that disable certain bodies, I am not proposing that TAs should not have a place in schools. The economic cuts on disabled children (Hunter et al. 2019) has already widened the inequalities experienced between disabled and non-disabled children. What I am suggesting, though, is that disabled young people’s input on what support they need should be taken into a more thorough consideration rather than certain forms of support being imposed on them. As McLaughlin (2019: 14-15) argued about support,</w:t>
      </w:r>
    </w:p>
    <w:p w14:paraId="7B10F4FB" w14:textId="77777777" w:rsidR="00BE2C1D" w:rsidRPr="00BE2C1D" w:rsidRDefault="00BE2C1D" w:rsidP="00BE2C1D">
      <w:pPr>
        <w:spacing w:line="360" w:lineRule="auto"/>
        <w:ind w:left="720"/>
        <w:jc w:val="both"/>
        <w:rPr>
          <w:sz w:val="20"/>
          <w:szCs w:val="20"/>
        </w:rPr>
      </w:pPr>
      <w:r w:rsidRPr="00BE2C1D">
        <w:rPr>
          <w:sz w:val="20"/>
          <w:szCs w:val="20"/>
        </w:rPr>
        <w:lastRenderedPageBreak/>
        <w:t xml:space="preserve">(1) it should not reduce the agency of disabled people to have a vital say in what they receive; (2) support is more likely to be caring in its responsiveness when those receiving and providing it are recognised as actors of value. </w:t>
      </w:r>
    </w:p>
    <w:p w14:paraId="549349DA" w14:textId="77777777" w:rsidR="00BE2C1D" w:rsidRPr="00BE2C1D" w:rsidRDefault="00BE2C1D" w:rsidP="00BE2C1D">
      <w:pPr>
        <w:spacing w:line="360" w:lineRule="auto"/>
        <w:jc w:val="both"/>
      </w:pPr>
      <w:r w:rsidRPr="00BE2C1D">
        <w:t xml:space="preserve">Following the chapter about the experiences the young people had with their TAs is a chapter looking into the experiences they had with their class teachers. </w:t>
      </w:r>
      <w:bookmarkEnd w:id="132"/>
    </w:p>
    <w:p w14:paraId="31851606" w14:textId="77777777" w:rsidR="00BE2C1D" w:rsidRPr="00BE2C1D" w:rsidRDefault="00BE2C1D" w:rsidP="00BE2C1D">
      <w:pPr>
        <w:spacing w:line="360" w:lineRule="auto"/>
        <w:jc w:val="both"/>
      </w:pPr>
    </w:p>
    <w:p w14:paraId="59AAB83F" w14:textId="77777777" w:rsidR="00BE2C1D" w:rsidRPr="00BE2C1D" w:rsidRDefault="00BE2C1D" w:rsidP="00BE2C1D">
      <w:pPr>
        <w:spacing w:line="360" w:lineRule="auto"/>
        <w:jc w:val="both"/>
      </w:pPr>
    </w:p>
    <w:p w14:paraId="056B4173" w14:textId="77777777" w:rsidR="00BE2C1D" w:rsidRPr="00BE2C1D" w:rsidRDefault="00BE2C1D" w:rsidP="00BE2C1D">
      <w:pPr>
        <w:spacing w:line="360" w:lineRule="auto"/>
        <w:jc w:val="both"/>
      </w:pPr>
    </w:p>
    <w:p w14:paraId="7EBA9637" w14:textId="77777777" w:rsidR="00BE2C1D" w:rsidRPr="00BE2C1D" w:rsidRDefault="00BE2C1D" w:rsidP="00BE2C1D">
      <w:pPr>
        <w:spacing w:line="360" w:lineRule="auto"/>
        <w:jc w:val="both"/>
      </w:pPr>
    </w:p>
    <w:p w14:paraId="5721BA15" w14:textId="7EDA1C59" w:rsidR="00BE2C1D" w:rsidRDefault="00BE2C1D" w:rsidP="00BE2C1D">
      <w:pPr>
        <w:spacing w:line="360" w:lineRule="auto"/>
        <w:jc w:val="both"/>
      </w:pPr>
    </w:p>
    <w:p w14:paraId="107E8622" w14:textId="60EC8D4F" w:rsidR="008F4D34" w:rsidRDefault="008F4D34" w:rsidP="00BE2C1D">
      <w:pPr>
        <w:spacing w:line="360" w:lineRule="auto"/>
        <w:jc w:val="both"/>
      </w:pPr>
    </w:p>
    <w:p w14:paraId="6DF5EA0F" w14:textId="2645AC96" w:rsidR="008F4D34" w:rsidRDefault="008F4D34" w:rsidP="00BE2C1D">
      <w:pPr>
        <w:spacing w:line="360" w:lineRule="auto"/>
        <w:jc w:val="both"/>
      </w:pPr>
    </w:p>
    <w:p w14:paraId="59FACBD6" w14:textId="7701E917" w:rsidR="008F4D34" w:rsidRDefault="008F4D34" w:rsidP="00BE2C1D">
      <w:pPr>
        <w:spacing w:line="360" w:lineRule="auto"/>
        <w:jc w:val="both"/>
      </w:pPr>
    </w:p>
    <w:p w14:paraId="1F581CF4" w14:textId="3FE761E2" w:rsidR="008F4D34" w:rsidRDefault="008F4D34" w:rsidP="00BE2C1D">
      <w:pPr>
        <w:spacing w:line="360" w:lineRule="auto"/>
        <w:jc w:val="both"/>
      </w:pPr>
    </w:p>
    <w:p w14:paraId="2AA2F637" w14:textId="616C9FC1" w:rsidR="008F4D34" w:rsidRDefault="008F4D34" w:rsidP="00BE2C1D">
      <w:pPr>
        <w:spacing w:line="360" w:lineRule="auto"/>
        <w:jc w:val="both"/>
      </w:pPr>
    </w:p>
    <w:p w14:paraId="1F398BBA" w14:textId="306F2005" w:rsidR="008F4D34" w:rsidRDefault="008F4D34" w:rsidP="00BE2C1D">
      <w:pPr>
        <w:spacing w:line="360" w:lineRule="auto"/>
        <w:jc w:val="both"/>
      </w:pPr>
    </w:p>
    <w:p w14:paraId="322C2A4C" w14:textId="1F716251" w:rsidR="008F4D34" w:rsidRDefault="008F4D34" w:rsidP="00BE2C1D">
      <w:pPr>
        <w:spacing w:line="360" w:lineRule="auto"/>
        <w:jc w:val="both"/>
      </w:pPr>
    </w:p>
    <w:p w14:paraId="5BD58235" w14:textId="3DCE46F4" w:rsidR="008F4D34" w:rsidRDefault="008F4D34" w:rsidP="00BE2C1D">
      <w:pPr>
        <w:spacing w:line="360" w:lineRule="auto"/>
        <w:jc w:val="both"/>
      </w:pPr>
    </w:p>
    <w:p w14:paraId="2D84C287" w14:textId="6DEEC297" w:rsidR="008F4D34" w:rsidRDefault="008F4D34" w:rsidP="00BE2C1D">
      <w:pPr>
        <w:spacing w:line="360" w:lineRule="auto"/>
        <w:jc w:val="both"/>
      </w:pPr>
    </w:p>
    <w:p w14:paraId="7BAC08FF" w14:textId="78C2ADAD" w:rsidR="008F4D34" w:rsidRDefault="008F4D34" w:rsidP="00BE2C1D">
      <w:pPr>
        <w:spacing w:line="360" w:lineRule="auto"/>
        <w:jc w:val="both"/>
      </w:pPr>
    </w:p>
    <w:p w14:paraId="5F8DB950" w14:textId="77777777" w:rsidR="008F4D34" w:rsidRPr="00BE2C1D" w:rsidRDefault="008F4D34" w:rsidP="00BE2C1D">
      <w:pPr>
        <w:spacing w:line="360" w:lineRule="auto"/>
        <w:jc w:val="both"/>
      </w:pPr>
    </w:p>
    <w:p w14:paraId="4A5F85C9" w14:textId="77777777" w:rsidR="008F4D34" w:rsidRDefault="008F4D34" w:rsidP="00BE2C1D">
      <w:pPr>
        <w:keepNext/>
        <w:keepLines/>
        <w:spacing w:before="240" w:after="0"/>
        <w:outlineLvl w:val="0"/>
        <w:rPr>
          <w:rFonts w:asciiTheme="majorHAnsi" w:eastAsiaTheme="majorEastAsia" w:hAnsiTheme="majorHAnsi" w:cstheme="majorBidi"/>
          <w:color w:val="2F5496" w:themeColor="accent1" w:themeShade="BF"/>
          <w:sz w:val="32"/>
          <w:szCs w:val="32"/>
          <w:lang w:eastAsia="zh-CN"/>
        </w:rPr>
      </w:pPr>
      <w:bookmarkStart w:id="133" w:name="_Toc39585263"/>
    </w:p>
    <w:p w14:paraId="27A7A66F" w14:textId="10BFF111" w:rsidR="008F4D34" w:rsidRDefault="008F4D34" w:rsidP="00BE2C1D">
      <w:pPr>
        <w:keepNext/>
        <w:keepLines/>
        <w:spacing w:before="240" w:after="0"/>
        <w:outlineLvl w:val="0"/>
        <w:rPr>
          <w:rFonts w:asciiTheme="majorHAnsi" w:eastAsiaTheme="majorEastAsia" w:hAnsiTheme="majorHAnsi" w:cstheme="majorBidi"/>
          <w:color w:val="2F5496" w:themeColor="accent1" w:themeShade="BF"/>
          <w:sz w:val="32"/>
          <w:szCs w:val="32"/>
          <w:lang w:eastAsia="zh-CN"/>
        </w:rPr>
      </w:pPr>
    </w:p>
    <w:p w14:paraId="1F705862" w14:textId="77777777" w:rsidR="008F4D34" w:rsidRDefault="008F4D34" w:rsidP="00BE2C1D">
      <w:pPr>
        <w:keepNext/>
        <w:keepLines/>
        <w:spacing w:before="240" w:after="0"/>
        <w:outlineLvl w:val="0"/>
        <w:rPr>
          <w:rFonts w:asciiTheme="majorHAnsi" w:eastAsiaTheme="majorEastAsia" w:hAnsiTheme="majorHAnsi" w:cstheme="majorBidi"/>
          <w:color w:val="2F5496" w:themeColor="accent1" w:themeShade="BF"/>
          <w:sz w:val="32"/>
          <w:szCs w:val="32"/>
          <w:lang w:eastAsia="zh-CN"/>
        </w:rPr>
      </w:pPr>
    </w:p>
    <w:p w14:paraId="4F5D235B" w14:textId="77777777" w:rsidR="008F4D34" w:rsidRDefault="008F4D34" w:rsidP="008F4D34">
      <w:pPr>
        <w:rPr>
          <w:lang w:eastAsia="zh-CN"/>
        </w:rPr>
      </w:pPr>
    </w:p>
    <w:p w14:paraId="43ECAC71" w14:textId="0FFBA2A3" w:rsidR="00BE2C1D" w:rsidRPr="00BE2C1D" w:rsidRDefault="00BE2C1D" w:rsidP="008F4D34">
      <w:pPr>
        <w:pStyle w:val="Heading1"/>
        <w:rPr>
          <w:lang w:eastAsia="zh-CN"/>
        </w:rPr>
      </w:pPr>
      <w:r w:rsidRPr="00BE2C1D">
        <w:rPr>
          <w:lang w:eastAsia="zh-CN"/>
        </w:rPr>
        <w:lastRenderedPageBreak/>
        <w:t xml:space="preserve">Chapter 6: Stories of Dys-Appearance: The experiences of </w:t>
      </w:r>
      <w:r w:rsidR="00606298">
        <w:rPr>
          <w:lang w:eastAsia="zh-CN"/>
        </w:rPr>
        <w:t>Y</w:t>
      </w:r>
      <w:r w:rsidRPr="00BE2C1D">
        <w:rPr>
          <w:lang w:eastAsia="zh-CN"/>
        </w:rPr>
        <w:t xml:space="preserve">oung </w:t>
      </w:r>
      <w:r w:rsidR="00606298">
        <w:rPr>
          <w:lang w:eastAsia="zh-CN"/>
        </w:rPr>
        <w:t>P</w:t>
      </w:r>
      <w:r w:rsidRPr="00BE2C1D">
        <w:rPr>
          <w:lang w:eastAsia="zh-CN"/>
        </w:rPr>
        <w:t>eople with Restricted Growth with Teachers</w:t>
      </w:r>
      <w:bookmarkEnd w:id="133"/>
      <w:r w:rsidRPr="00BE2C1D">
        <w:rPr>
          <w:lang w:eastAsia="zh-CN"/>
        </w:rPr>
        <w:t xml:space="preserve"> </w:t>
      </w:r>
    </w:p>
    <w:p w14:paraId="69A04BB5" w14:textId="77777777" w:rsidR="00BE2C1D" w:rsidRPr="00BE2C1D" w:rsidRDefault="00BE2C1D" w:rsidP="00BE2C1D"/>
    <w:p w14:paraId="458544BB" w14:textId="77777777" w:rsidR="00BE2C1D" w:rsidRPr="00BE2C1D" w:rsidRDefault="00BE2C1D" w:rsidP="00BE2C1D">
      <w:pPr>
        <w:keepNext/>
        <w:keepLines/>
        <w:spacing w:before="40" w:after="0" w:line="360" w:lineRule="auto"/>
        <w:outlineLvl w:val="1"/>
        <w:rPr>
          <w:rFonts w:asciiTheme="majorHAnsi" w:eastAsiaTheme="majorEastAsia" w:hAnsiTheme="majorHAnsi" w:cstheme="majorBidi"/>
          <w:color w:val="2F5496" w:themeColor="accent1" w:themeShade="BF"/>
          <w:sz w:val="26"/>
          <w:szCs w:val="26"/>
          <w:lang w:eastAsia="zh-CN"/>
        </w:rPr>
      </w:pPr>
      <w:bookmarkStart w:id="134" w:name="_Toc39585264"/>
      <w:r w:rsidRPr="00BE2C1D">
        <w:rPr>
          <w:rFonts w:asciiTheme="majorHAnsi" w:eastAsiaTheme="majorEastAsia" w:hAnsiTheme="majorHAnsi" w:cstheme="majorBidi"/>
          <w:color w:val="2F5496" w:themeColor="accent1" w:themeShade="BF"/>
          <w:sz w:val="26"/>
          <w:szCs w:val="26"/>
          <w:lang w:eastAsia="zh-CN"/>
        </w:rPr>
        <w:t>Introduction</w:t>
      </w:r>
      <w:bookmarkEnd w:id="134"/>
      <w:r w:rsidRPr="00BE2C1D">
        <w:rPr>
          <w:rFonts w:asciiTheme="majorHAnsi" w:eastAsiaTheme="majorEastAsia" w:hAnsiTheme="majorHAnsi" w:cstheme="majorBidi"/>
          <w:color w:val="2F5496" w:themeColor="accent1" w:themeShade="BF"/>
          <w:sz w:val="26"/>
          <w:szCs w:val="26"/>
          <w:lang w:eastAsia="zh-CN"/>
        </w:rPr>
        <w:t xml:space="preserve"> </w:t>
      </w:r>
    </w:p>
    <w:p w14:paraId="24AA9BF1" w14:textId="77777777" w:rsidR="00BE2C1D" w:rsidRPr="00BE2C1D" w:rsidRDefault="00BE2C1D" w:rsidP="00BE2C1D">
      <w:pPr>
        <w:spacing w:line="360" w:lineRule="auto"/>
        <w:ind w:left="720"/>
        <w:jc w:val="both"/>
        <w:rPr>
          <w:sz w:val="20"/>
          <w:szCs w:val="20"/>
        </w:rPr>
      </w:pPr>
      <w:r w:rsidRPr="00BE2C1D">
        <w:rPr>
          <w:sz w:val="20"/>
          <w:szCs w:val="20"/>
        </w:rPr>
        <w:t xml:space="preserve">Paul: They (referring to teachers) talked to me simply at first like I wouldn’t have understood what was going on at the time. Even though I had good academic success in primary school, they were quite blinkered at the time saying what specialist support I could have with learning and what others have achieved in my position, meaning with a similar automatically presumed ‘learning difficulty’. It took quite a fight from my mum and other teachers to get past it. It was only when I was in the classroom and managing to keep up with the other pupils that it showed the SENCO I hadn’t got a learning difficulty. </w:t>
      </w:r>
      <w:bookmarkStart w:id="135" w:name="_Hlk37934671"/>
      <w:r w:rsidRPr="00BE2C1D">
        <w:rPr>
          <w:sz w:val="20"/>
          <w:szCs w:val="20"/>
        </w:rPr>
        <w:t>Think they long kept the assumption afterwards, it was really hard to shake off.</w:t>
      </w:r>
    </w:p>
    <w:p w14:paraId="402D3681" w14:textId="77777777" w:rsidR="00BE2C1D" w:rsidRPr="00BE2C1D" w:rsidRDefault="00BE2C1D" w:rsidP="00BE2C1D">
      <w:pPr>
        <w:spacing w:line="360" w:lineRule="auto"/>
        <w:ind w:left="720"/>
        <w:jc w:val="both"/>
        <w:rPr>
          <w:sz w:val="20"/>
          <w:szCs w:val="20"/>
        </w:rPr>
      </w:pPr>
      <w:r w:rsidRPr="00BE2C1D">
        <w:rPr>
          <w:sz w:val="20"/>
          <w:szCs w:val="20"/>
        </w:rPr>
        <w:t>Rachael: I remember, so, obviously my torso is of average size, so I sit up at the same height like everyone else. I remember almost every teacher would come -and people still do that, like hairdresser or something, they see me walk in and then they get like cushions or something. And I am like: ‘No, guys, I am gonna be too high, I am gonna be too tall’. And they never believe you. So, I remember quite a lot of times, there was one time that they wanted to do it, obviously they want you not to be blocking the kid in front of you, but you can still see the same sight of the whole class, and they would always try and sit me on something. And every time I will have to be like: ‘No, I am the same height, I just wanna sit down, it’s gonna be fine’. And they never, they never believe you. It has always been embarrassing. So, they’d make you sit on something and then look and be like: ‘Oh yeah, now you are too tall, take it away again.’</w:t>
      </w:r>
    </w:p>
    <w:bookmarkEnd w:id="135"/>
    <w:p w14:paraId="2190D76B" w14:textId="77777777" w:rsidR="00BE2C1D" w:rsidRPr="00BE2C1D" w:rsidRDefault="00BE2C1D" w:rsidP="00BE2C1D">
      <w:pPr>
        <w:spacing w:line="360" w:lineRule="auto"/>
        <w:jc w:val="both"/>
        <w:rPr>
          <w:color w:val="FF0000"/>
        </w:rPr>
      </w:pPr>
      <w:r w:rsidRPr="00BE2C1D">
        <w:t>Following the chapter on the young people’s experiences with their TAs, this chapter focuses on their experiences with their teachers.</w:t>
      </w:r>
      <w:r w:rsidRPr="00BE2C1D">
        <w:rPr>
          <w:color w:val="FF0000"/>
        </w:rPr>
        <w:t xml:space="preserve"> </w:t>
      </w:r>
      <w:r w:rsidRPr="00BE2C1D">
        <w:t>While there are some recurring themes between the two chapters, such as having one’s academic skills interrogated and the encounters with psycho-emotional disablism, as illustrated in Paul’s and Rachael’s accounts, there are also major differences between the two chapters. Firstly, all participants had teachers during their schooling, but not all of them had TAs, as reported in the previous chapter. Therefore, the stories discussed in this chapter are inclusive of more voices. Secondly, teachers’ roles at schools differ from that of the TAs, with the main difference being that the former is responsible for the whole class and the latter for groups of students or specific students (Webster et al. 2010). This difference in the roles triggers a shift in the modes that power is claimed by teachers and TAs, particularly when it comes to surveillance</w:t>
      </w:r>
      <w:r w:rsidRPr="00BE2C1D">
        <w:rPr>
          <w:vertAlign w:val="superscript"/>
        </w:rPr>
        <w:footnoteReference w:id="116"/>
      </w:r>
      <w:r w:rsidRPr="00BE2C1D">
        <w:t xml:space="preserve">. While the interactions with TAs could take place in various places, for example the classroom and the playground, the interactions with teachers described in the stories took place mostly in classrooms. </w:t>
      </w:r>
      <w:r w:rsidRPr="00BE2C1D">
        <w:lastRenderedPageBreak/>
        <w:t>Moreover, teachers are considered to have a higher status and more authority compared to the TAs (Mansaray 2006), with the former occupying a higher position in the hierarchy of schooling, a fact that is also known to the students (</w:t>
      </w:r>
      <w:r w:rsidRPr="00BE2C1D">
        <w:rPr>
          <w:rFonts w:cstheme="minorHAnsi"/>
        </w:rPr>
        <w:t>Eyres et al. 2004; Hancock and Eyres 2004; Fraser and Meadows 2008</w:t>
      </w:r>
      <w:r w:rsidRPr="00BE2C1D">
        <w:t>). This difference in status also changed the way that power was appropriated both by teachers and the young people.</w:t>
      </w:r>
    </w:p>
    <w:p w14:paraId="4CA4F492" w14:textId="77777777" w:rsidR="00BE2C1D" w:rsidRPr="00BE2C1D" w:rsidRDefault="00BE2C1D" w:rsidP="00BE2C1D">
      <w:pPr>
        <w:spacing w:line="360" w:lineRule="auto"/>
        <w:jc w:val="both"/>
      </w:pPr>
      <w:r w:rsidRPr="00BE2C1D">
        <w:t xml:space="preserve">These differences led me to search for a theoretical framework that could do justice to these nuances, a framework that could capture and respond to what hooks (1994: 136-137) had proposed:  </w:t>
      </w:r>
    </w:p>
    <w:p w14:paraId="6F475090" w14:textId="77777777" w:rsidR="00BE2C1D" w:rsidRPr="00BE2C1D" w:rsidRDefault="00BE2C1D" w:rsidP="00BE2C1D">
      <w:pPr>
        <w:spacing w:line="360" w:lineRule="auto"/>
        <w:ind w:left="720"/>
        <w:rPr>
          <w:sz w:val="20"/>
          <w:szCs w:val="20"/>
        </w:rPr>
      </w:pPr>
      <w:r w:rsidRPr="00BE2C1D">
        <w:rPr>
          <w:sz w:val="20"/>
          <w:szCs w:val="20"/>
        </w:rPr>
        <w:t>Once we start talking in the classroom about the body and about how we live in our bodies, we’re automatically challenging the way power has orchestrated itself in that particular institutionalized space.</w:t>
      </w:r>
    </w:p>
    <w:p w14:paraId="1DEAA81D" w14:textId="77777777" w:rsidR="00BE2C1D" w:rsidRPr="00BE2C1D" w:rsidRDefault="00BE2C1D" w:rsidP="00BE2C1D">
      <w:pPr>
        <w:spacing w:line="360" w:lineRule="auto"/>
        <w:jc w:val="both"/>
      </w:pPr>
      <w:r w:rsidRPr="00BE2C1D">
        <w:t xml:space="preserve">This is why I turned to Leder’s (1990) phenomenology and, in particular, his concept of dys-appearance, which considers when the body appears a problem. This chapter explores stories of dys-appearance in terms of which bodies were valued for their ‘capacity’ to fade in the background (or to disappear) and which bodies were dismissed for their ‘excessive’ presence and, therefore, dys-appear (Michalko 2009; Warren 2005). In particular, this chapter looks into: </w:t>
      </w:r>
    </w:p>
    <w:p w14:paraId="4E40277E" w14:textId="77777777" w:rsidR="00BE2C1D" w:rsidRPr="00BE2C1D" w:rsidRDefault="00BE2C1D" w:rsidP="00BE2C1D">
      <w:pPr>
        <w:numPr>
          <w:ilvl w:val="0"/>
          <w:numId w:val="4"/>
        </w:numPr>
        <w:spacing w:after="0" w:line="360" w:lineRule="auto"/>
        <w:contextualSpacing/>
        <w:jc w:val="both"/>
        <w:rPr>
          <w:rFonts w:ascii="Calibri" w:eastAsiaTheme="minorEastAsia" w:hAnsi="Calibri" w:cs="Calibri"/>
          <w:lang w:eastAsia="zh-CN"/>
        </w:rPr>
      </w:pPr>
      <w:r w:rsidRPr="00BE2C1D">
        <w:rPr>
          <w:rFonts w:ascii="Calibri" w:eastAsiaTheme="minorEastAsia" w:hAnsi="Calibri" w:cs="Calibri"/>
          <w:lang w:eastAsia="zh-CN"/>
        </w:rPr>
        <w:t>How, when, and where the disabled young people’s bodies dys-appeared by their teachers.</w:t>
      </w:r>
    </w:p>
    <w:p w14:paraId="0E37E724" w14:textId="77777777" w:rsidR="00BE2C1D" w:rsidRPr="00BE2C1D" w:rsidRDefault="00BE2C1D" w:rsidP="00BE2C1D">
      <w:pPr>
        <w:numPr>
          <w:ilvl w:val="0"/>
          <w:numId w:val="4"/>
        </w:numPr>
        <w:spacing w:after="0" w:line="360" w:lineRule="auto"/>
        <w:contextualSpacing/>
        <w:jc w:val="both"/>
        <w:rPr>
          <w:rFonts w:ascii="Calibri" w:eastAsiaTheme="minorEastAsia" w:hAnsi="Calibri" w:cs="Calibri"/>
          <w:lang w:eastAsia="zh-CN"/>
        </w:rPr>
      </w:pPr>
      <w:r w:rsidRPr="00BE2C1D">
        <w:rPr>
          <w:rFonts w:ascii="Calibri" w:eastAsiaTheme="minorEastAsia" w:hAnsi="Calibri" w:cs="Calibri"/>
          <w:lang w:eastAsia="zh-CN"/>
        </w:rPr>
        <w:t>How the young people responded to their bodies’ dys-appearance, with a focus on the hidden labour and resistance.</w:t>
      </w:r>
    </w:p>
    <w:p w14:paraId="11AB05CE" w14:textId="77777777" w:rsidR="00BE2C1D" w:rsidRPr="00BE2C1D" w:rsidRDefault="00BE2C1D" w:rsidP="00BE2C1D">
      <w:pPr>
        <w:numPr>
          <w:ilvl w:val="0"/>
          <w:numId w:val="4"/>
        </w:numPr>
        <w:spacing w:after="0" w:line="360" w:lineRule="auto"/>
        <w:contextualSpacing/>
        <w:jc w:val="both"/>
        <w:rPr>
          <w:rFonts w:ascii="Calibri" w:eastAsiaTheme="minorEastAsia" w:hAnsi="Calibri" w:cs="Calibri"/>
          <w:lang w:eastAsia="zh-CN"/>
        </w:rPr>
      </w:pPr>
      <w:r w:rsidRPr="00BE2C1D">
        <w:rPr>
          <w:rFonts w:ascii="Calibri" w:eastAsiaTheme="minorEastAsia" w:hAnsi="Calibri" w:cs="Calibri"/>
          <w:lang w:eastAsia="zh-CN"/>
        </w:rPr>
        <w:t>The psycho-emotional toll of the dys-appearing body.</w:t>
      </w:r>
    </w:p>
    <w:p w14:paraId="690A6C60" w14:textId="77777777" w:rsidR="00BE2C1D" w:rsidRPr="00BE2C1D" w:rsidRDefault="00BE2C1D" w:rsidP="00BE2C1D">
      <w:pPr>
        <w:numPr>
          <w:ilvl w:val="0"/>
          <w:numId w:val="4"/>
        </w:numPr>
        <w:spacing w:after="0" w:line="360" w:lineRule="auto"/>
        <w:contextualSpacing/>
        <w:jc w:val="both"/>
        <w:rPr>
          <w:rFonts w:ascii="Calibri" w:eastAsiaTheme="minorEastAsia" w:hAnsi="Calibri" w:cs="Calibri"/>
          <w:lang w:eastAsia="zh-CN"/>
        </w:rPr>
      </w:pPr>
      <w:r w:rsidRPr="00BE2C1D">
        <w:rPr>
          <w:rFonts w:ascii="Calibri" w:eastAsiaTheme="minorEastAsia" w:hAnsi="Calibri" w:cs="Calibri"/>
          <w:lang w:eastAsia="zh-CN"/>
        </w:rPr>
        <w:t>The intersectionality of dys-appearance, with a particular focus on gender and disability.</w:t>
      </w:r>
    </w:p>
    <w:p w14:paraId="4246A375" w14:textId="017EF2D7" w:rsidR="00BE2C1D" w:rsidRPr="00CB0FF8" w:rsidRDefault="00BE2C1D" w:rsidP="00CB0FF8">
      <w:pPr>
        <w:spacing w:after="0" w:line="360" w:lineRule="auto"/>
        <w:jc w:val="both"/>
        <w:rPr>
          <w:rFonts w:ascii="Calibri" w:hAnsi="Calibri" w:cs="Calibri"/>
          <w:color w:val="FF0000"/>
        </w:rPr>
      </w:pPr>
      <w:r w:rsidRPr="00BE2C1D">
        <w:rPr>
          <w:rFonts w:ascii="Calibri" w:hAnsi="Calibri" w:cs="Calibri"/>
        </w:rPr>
        <w:t>Concerning the structure of the chapter, I firstly provide a brief summary of Leder’s work and his adaption by Disability Studies scholars and then consider its further development by feminist scholars and how it has been applied to education studies. The following three sections engage with the participants’ stories. The first one explores how the participants’ bodies (dys)appeared as ‘out of time’ and ‘out of place’. In the second section, I look at how teachers reinforced participants’ dys-appearance through questioning their capabilities to carry out everyday tasks by themselves. The third section examines stories of dys-appearance in Physical Education. Finally, I provide a summary of the findings.</w:t>
      </w:r>
    </w:p>
    <w:p w14:paraId="2AF994B3" w14:textId="77777777" w:rsidR="00BE2C1D" w:rsidRPr="00BE2C1D" w:rsidRDefault="00BE2C1D" w:rsidP="00BE2C1D">
      <w:pPr>
        <w:keepNext/>
        <w:keepLines/>
        <w:spacing w:before="40" w:after="0" w:line="360" w:lineRule="auto"/>
        <w:outlineLvl w:val="1"/>
        <w:rPr>
          <w:rFonts w:asciiTheme="majorHAnsi" w:eastAsiaTheme="majorEastAsia" w:hAnsiTheme="majorHAnsi" w:cstheme="majorBidi"/>
          <w:color w:val="2F5496" w:themeColor="accent1" w:themeShade="BF"/>
          <w:sz w:val="26"/>
          <w:szCs w:val="26"/>
        </w:rPr>
      </w:pPr>
      <w:bookmarkStart w:id="136" w:name="_Toc39585265"/>
      <w:r w:rsidRPr="00BE2C1D">
        <w:rPr>
          <w:rFonts w:asciiTheme="majorHAnsi" w:eastAsiaTheme="majorEastAsia" w:hAnsiTheme="majorHAnsi" w:cstheme="majorBidi"/>
          <w:color w:val="2F5496" w:themeColor="accent1" w:themeShade="BF"/>
          <w:sz w:val="26"/>
          <w:szCs w:val="26"/>
        </w:rPr>
        <w:t>The dys-appearing body</w:t>
      </w:r>
      <w:bookmarkEnd w:id="136"/>
      <w:r w:rsidRPr="00BE2C1D">
        <w:rPr>
          <w:rFonts w:asciiTheme="majorHAnsi" w:eastAsiaTheme="majorEastAsia" w:hAnsiTheme="majorHAnsi" w:cstheme="majorBidi"/>
          <w:color w:val="2F5496" w:themeColor="accent1" w:themeShade="BF"/>
          <w:sz w:val="26"/>
          <w:szCs w:val="26"/>
        </w:rPr>
        <w:t xml:space="preserve"> </w:t>
      </w:r>
    </w:p>
    <w:p w14:paraId="43CA5EA9" w14:textId="77777777" w:rsidR="00BE2C1D" w:rsidRPr="00BE2C1D" w:rsidRDefault="00BE2C1D" w:rsidP="00BE2C1D">
      <w:pPr>
        <w:spacing w:line="360" w:lineRule="auto"/>
        <w:jc w:val="both"/>
      </w:pPr>
      <w:r w:rsidRPr="00BE2C1D">
        <w:t xml:space="preserve">According to Leder (1990: 84), the body ‘dys-appears’ when it ‘emerges problematically into direct consciousness’ or when it is experienced as ‘that which stands in the way, an obstinate force interfering with our projects’ (ibid: 84). He distinguished between organic and social dys-appearance, with the former referring to the biological dysfunction of the body (including disability) and the latter </w:t>
      </w:r>
      <w:r w:rsidRPr="00BE2C1D">
        <w:lastRenderedPageBreak/>
        <w:t xml:space="preserve">being the outcome of the objectifying gaze of the other. However, Disability Studies scholars expressed their concerns about organic dys-appearance, proposing that the impaired body’s dys-appearance is not intracorporeal (that is positioned in the body), as implied in organic dys-appearance, but intercorporeal and intersubjective (Paterson and Hughes 1999). As Titchkosky and Michalko (2012: 135) argued, </w:t>
      </w:r>
    </w:p>
    <w:p w14:paraId="459E45BF" w14:textId="77777777" w:rsidR="00BE2C1D" w:rsidRPr="00BE2C1D" w:rsidRDefault="00BE2C1D" w:rsidP="00BE2C1D">
      <w:pPr>
        <w:spacing w:line="360" w:lineRule="auto"/>
        <w:ind w:left="720"/>
        <w:jc w:val="both"/>
        <w:rPr>
          <w:sz w:val="20"/>
          <w:szCs w:val="20"/>
        </w:rPr>
      </w:pPr>
      <w:r w:rsidRPr="00BE2C1D">
        <w:rPr>
          <w:sz w:val="20"/>
          <w:szCs w:val="20"/>
        </w:rPr>
        <w:t>Disabled people experience the ways non-disabled others experience us. We experience their experience, or better, we experience ourselves through their experiences of us. Through the contemporary frame of disability-as-problem, we experience ourselves as having a problem and we also have the 'strange experience' of being a problem to and for others.</w:t>
      </w:r>
    </w:p>
    <w:p w14:paraId="63E68DBF" w14:textId="77777777" w:rsidR="00BE2C1D" w:rsidRPr="00BE2C1D" w:rsidRDefault="00BE2C1D" w:rsidP="00BE2C1D">
      <w:pPr>
        <w:spacing w:line="360" w:lineRule="auto"/>
        <w:jc w:val="both"/>
      </w:pPr>
      <w:r w:rsidRPr="00BE2C1D">
        <w:t xml:space="preserve">This theoretical framework then enabled me to explore how participants’ bodies appeared as a problem (Michalko 2009) to their teachers or how teachers reinforced the dys-appearance of their bodies, making also participants more conscious of their bodies. As O’Neil (2019: 302) argued, Leder’s work, ‘conceptualises a phenomenology of alterity’, turning the attention ‘towards the subject’s self-perception and experience of bodily visibility’ (ibid: 315).  </w:t>
      </w:r>
    </w:p>
    <w:p w14:paraId="1ED8BEAB" w14:textId="77777777" w:rsidR="00BE2C1D" w:rsidRPr="00BE2C1D" w:rsidRDefault="00BE2C1D" w:rsidP="00BE2C1D">
      <w:pPr>
        <w:spacing w:line="360" w:lineRule="auto"/>
        <w:jc w:val="both"/>
      </w:pPr>
      <w:r w:rsidRPr="00BE2C1D">
        <w:t>Feminist scholars have also drawn on Leder’s work to look into how women’s bodies dys-appear in a range of contexts, including before and after going through cosmetic surgery (Gimlin 2006) or weight loss surgery (Groven et al. 2013) and in traditionally male-occupied spaces, such as positions in leadership (O’Neil 2019) and the police (Yates et al. 2018). What was common in these studies was that they enriched the concept of dys-appearance with feminist accounts of embodiment. For instance, Yates et al. (2018) put in dialogue Leder’s dys-appearance with Young’s (1980, 2002) and Oakley’s (2007) work, paying attention on how the female body is already dys-appearing in patriarchal contexts. Similarly, Groven et al. (2013) merged dys-appearance with Simon de Beauvoirs’, (2000), Zeiler’s (2010), and Kristeva’s (1982) scholarship to explore the relationship between dys-appearance and the abjection of the female body. One of the reasons that such synthesis of theory was viewed as necessary was raised by Yates et al. (2018: 92), who described Leder’s work as a ‘gender-neutral</w:t>
      </w:r>
      <w:r w:rsidRPr="00BE2C1D">
        <w:rPr>
          <w:vertAlign w:val="superscript"/>
        </w:rPr>
        <w:footnoteReference w:id="117"/>
      </w:r>
      <w:r w:rsidRPr="00BE2C1D">
        <w:t xml:space="preserve"> theoretical position’ and the concept of ‘bodily dys-appearance as emerging from a universal experiencing body that disregards the ‘speciﬁcity of embodiment’ (Dale, 2001, p. 65)’ (ibid: 94). Therefore, they (ibid: 93) introduced the concept of ‘gendered dys-appearance’ as ‘a lens through which to recognize gendered modes of corporeal experience as ambiguous, partial and diffuse in their embodied constitution’. By bringing Young’s (2002) work into consideration, the authors argued that </w:t>
      </w:r>
      <w:r w:rsidRPr="00BE2C1D">
        <w:lastRenderedPageBreak/>
        <w:t xml:space="preserve">attention can be paid to the ‘sociocultural context in which gendered subjects experience their bodies’ (Yates et al. 2018: 96).  </w:t>
      </w:r>
    </w:p>
    <w:p w14:paraId="7C175745" w14:textId="77777777" w:rsidR="00BE2C1D" w:rsidRPr="00BE2C1D" w:rsidRDefault="00BE2C1D" w:rsidP="00BE2C1D">
      <w:pPr>
        <w:spacing w:line="360" w:lineRule="auto"/>
        <w:jc w:val="both"/>
      </w:pPr>
      <w:r w:rsidRPr="00BE2C1D">
        <w:t>In a sharp critique, Shilling (2003: 186) also argued that Leder’s</w:t>
      </w:r>
    </w:p>
    <w:p w14:paraId="267BF844" w14:textId="77777777" w:rsidR="00BE2C1D" w:rsidRPr="00BE2C1D" w:rsidRDefault="00BE2C1D" w:rsidP="00BE2C1D">
      <w:pPr>
        <w:spacing w:line="360" w:lineRule="auto"/>
        <w:ind w:left="720"/>
        <w:jc w:val="both"/>
        <w:rPr>
          <w:sz w:val="20"/>
          <w:szCs w:val="20"/>
        </w:rPr>
      </w:pPr>
      <w:r w:rsidRPr="00BE2C1D">
        <w:rPr>
          <w:sz w:val="20"/>
          <w:szCs w:val="20"/>
        </w:rPr>
        <w:t>corporeal absence privileges the experiences of ‘healthy heterosexual males in their mid - years’, while disregarding the bodily self-consciousness, unease and alienation felt by individuals whose ‘body is regularly fore-grounded’ due to their gender, class, ‘race’/ethnicity or sexuality’ (cited in Gimlin, 2006: 702).</w:t>
      </w:r>
    </w:p>
    <w:p w14:paraId="7CF00877" w14:textId="77777777" w:rsidR="00BE2C1D" w:rsidRPr="00BE2C1D" w:rsidRDefault="00BE2C1D" w:rsidP="00BE2C1D">
      <w:pPr>
        <w:spacing w:line="360" w:lineRule="auto"/>
        <w:jc w:val="both"/>
      </w:pPr>
      <w:r w:rsidRPr="00BE2C1D">
        <w:t xml:space="preserve">Nevertheless, Gimlin (2006) proposed that Leder’s social dys-appearance in particular, while not developed comprehensively, considered how certain bodies were more ‘vulnerable’ to the objectifying gaze than others. Such vulnerability is not inherent to certain bodies, but it has to do with ‘historically and culturally specific power discrepancies linked to factors such as gender, ‘race’/ethnicity and physical capacity’ (ibid: 702). This intersectional perspective of dys-appearance then includes ‘bodies </w:t>
      </w:r>
      <w:r w:rsidRPr="00BE2C1D">
        <w:rPr>
          <w:rFonts w:cstheme="minorHAnsi"/>
        </w:rPr>
        <w:t xml:space="preserve">are seen to “not ﬁt” with the expectations of the role or position, when they seem out of place, or Other’ (O’Neil 2019: 302). </w:t>
      </w:r>
      <w:r w:rsidRPr="00BE2C1D">
        <w:t>This intersectional perspective fits well with feminist disability studies (Garland-Thomson 2005), considering how disability is considered to ‘feminise’ bodies and how the disabled female/feminised body appears as a problem (Wendell 1996). This is further explored through and in the stories of the participants.</w:t>
      </w:r>
      <w:r w:rsidRPr="00BE2C1D">
        <w:rPr>
          <w:b/>
          <w:bCs/>
        </w:rPr>
        <w:t xml:space="preserve"> </w:t>
      </w:r>
    </w:p>
    <w:p w14:paraId="1F81AD2D" w14:textId="77777777" w:rsidR="00BE2C1D" w:rsidRPr="00BE2C1D" w:rsidRDefault="00BE2C1D" w:rsidP="00BE2C1D">
      <w:pPr>
        <w:keepNext/>
        <w:keepLines/>
        <w:spacing w:before="40" w:after="0" w:line="360" w:lineRule="auto"/>
        <w:outlineLvl w:val="1"/>
        <w:rPr>
          <w:rFonts w:asciiTheme="majorHAnsi" w:eastAsiaTheme="majorEastAsia" w:hAnsiTheme="majorHAnsi" w:cstheme="majorBidi"/>
          <w:color w:val="2F5496" w:themeColor="accent1" w:themeShade="BF"/>
          <w:sz w:val="26"/>
          <w:szCs w:val="26"/>
          <w:lang w:eastAsia="zh-CN"/>
        </w:rPr>
      </w:pPr>
      <w:bookmarkStart w:id="137" w:name="_Toc39585266"/>
      <w:r w:rsidRPr="00BE2C1D">
        <w:rPr>
          <w:rFonts w:asciiTheme="majorHAnsi" w:eastAsiaTheme="majorEastAsia" w:hAnsiTheme="majorHAnsi" w:cstheme="majorBidi"/>
          <w:color w:val="2F5496" w:themeColor="accent1" w:themeShade="BF"/>
          <w:sz w:val="26"/>
          <w:szCs w:val="26"/>
          <w:lang w:eastAsia="zh-CN"/>
        </w:rPr>
        <w:t>Dys-appearance in Schools</w:t>
      </w:r>
      <w:bookmarkEnd w:id="137"/>
    </w:p>
    <w:p w14:paraId="4CDD5936" w14:textId="77777777" w:rsidR="00BE2C1D" w:rsidRPr="00BE2C1D" w:rsidRDefault="00BE2C1D" w:rsidP="00BE2C1D">
      <w:pPr>
        <w:spacing w:line="360" w:lineRule="auto"/>
        <w:jc w:val="both"/>
      </w:pPr>
      <w:r w:rsidRPr="00BE2C1D">
        <w:t xml:space="preserve">One of the scholars who applied Leder’s work to education was Warren (2005), whose work aimed to introduce a ‘methodology of engaging in education that acknowledges bodies and the political nature of their presence in our classrooms’ (Warren 1999: 259). Warren (2005: 91) maintained that </w:t>
      </w:r>
    </w:p>
    <w:p w14:paraId="62B4397E" w14:textId="77777777" w:rsidR="00BE2C1D" w:rsidRPr="00BE2C1D" w:rsidRDefault="00BE2C1D" w:rsidP="00BE2C1D">
      <w:pPr>
        <w:spacing w:after="0" w:line="360" w:lineRule="auto"/>
        <w:ind w:left="720"/>
        <w:jc w:val="both"/>
        <w:rPr>
          <w:rFonts w:ascii="Calibri" w:eastAsia="Times New Roman" w:hAnsi="Calibri" w:cs="Calibri"/>
          <w:bCs/>
          <w:sz w:val="20"/>
          <w:szCs w:val="20"/>
          <w:lang w:eastAsia="en-GB"/>
        </w:rPr>
      </w:pPr>
      <w:r w:rsidRPr="00BE2C1D">
        <w:rPr>
          <w:rFonts w:ascii="Calibri" w:eastAsia="Times New Roman" w:hAnsi="Calibri" w:cs="Calibri"/>
          <w:bCs/>
          <w:sz w:val="20"/>
          <w:szCs w:val="20"/>
          <w:lang w:eastAsia="en-GB"/>
        </w:rPr>
        <w:t xml:space="preserve">Leder's work on the phenomenological body can serve as a metaphor for understanding the physical body in the system of education. Whereas Leder discusses parts of the body (e.g., a hand or the sense of smell) recessing into a background disappearance, I am adapting his work to account for the way schooling places the entire physical body in a background disappearance, where the body is perceptually absent in an effort to centre attention on the mind. </w:t>
      </w:r>
    </w:p>
    <w:p w14:paraId="370E7E8D" w14:textId="77777777" w:rsidR="00BE2C1D" w:rsidRPr="00BE2C1D" w:rsidRDefault="00BE2C1D" w:rsidP="00BE2C1D">
      <w:pPr>
        <w:spacing w:line="360" w:lineRule="auto"/>
        <w:jc w:val="both"/>
        <w:rPr>
          <w:rFonts w:ascii="Calibri" w:eastAsia="Times New Roman" w:hAnsi="Calibri" w:cs="Calibri"/>
          <w:lang w:eastAsia="en-GB"/>
        </w:rPr>
      </w:pPr>
      <w:r w:rsidRPr="00BE2C1D">
        <w:t xml:space="preserve">Warren used Leder’s concept of disappearance as a metaphor to describe the West’s schooling desire for the ‘disappearance’ of the physical body (or its ‘absence presence’), which is regarded as disruptive to learning and to the order of schooling. The disappearance of the body relies on the Cartesian dualism, which privileges the cognitive mind over the physical body, and, therefore, reifies the cultural mistrust of the body. </w:t>
      </w:r>
      <w:r w:rsidRPr="00BE2C1D">
        <w:rPr>
          <w:rFonts w:ascii="Calibri" w:eastAsia="Times New Roman" w:hAnsi="Calibri" w:cs="Calibri"/>
          <w:lang w:eastAsia="en-GB"/>
        </w:rPr>
        <w:t xml:space="preserve">Warren (2005: 92) proposed, though, that ‘not all bodies have the capacity for easy absence. Certain bodies are more capable of eluding detection than other bodies’. This does not mean that students were to be held culpable for not being able to ‘disappear’ their body. On the </w:t>
      </w:r>
      <w:r w:rsidRPr="00BE2C1D">
        <w:rPr>
          <w:rFonts w:ascii="Calibri" w:eastAsia="Times New Roman" w:hAnsi="Calibri" w:cs="Calibri"/>
          <w:lang w:eastAsia="en-GB"/>
        </w:rPr>
        <w:lastRenderedPageBreak/>
        <w:t xml:space="preserve">contrary, it emphasised how the institution of schooling marked and violently reinscribed certain bodies as ‘present’, that is how schooling dys-appeared certain bodies. While Warren acknowledged a range of bodies that sustain regulation for not disappearing at school, such as pregnant bodies (gender), queer bodies (sexuality), large bodies (body size) and disabled bodies (dis/ability), his analysis focused predominantly on bodies of colour in the White institution of schooling. He (ibid: 99) claimed that ‘the student of colour, as a consequence, enters into the classroom with bodily excess: too much colour, too much presence’. Moreover, drawing on Douglas’ (1966) work on the social construction of purity and dirt, he discussed how bodies of colour in schools are constructed as ‘a contaminant against the performative nature of whiteness as a pure and perfect ideal’ (ibid: 98). </w:t>
      </w:r>
    </w:p>
    <w:p w14:paraId="4219B0A7" w14:textId="77777777" w:rsidR="00BE2C1D" w:rsidRPr="00BE2C1D" w:rsidRDefault="00BE2C1D" w:rsidP="00BE2C1D">
      <w:pPr>
        <w:spacing w:line="360" w:lineRule="auto"/>
        <w:jc w:val="both"/>
      </w:pPr>
      <w:r w:rsidRPr="00BE2C1D">
        <w:t xml:space="preserve">Paechter (2011) also drew on Douglas’ work (but not Leder’s) to examine how certain bodies in schools are considered ‘as inherently pathological simply by virtue of their visibility’ (ibid: 313), a visibility attributed to bodies which were constructed as ‘inappropriate to time, place or expected stage of development’ (ibid: 311). Paechter’s analysis focused particularly on gendered bodies. Similar to Warren, she described the required body for schools as ‘bounded, contained and under mental control’ (ibid: 315). Those bodies that do match the ‘required’ body are seen then as if they ‘intrude into our physical space and our senses: they assault us with their presence’ (ibid: 313). </w:t>
      </w:r>
    </w:p>
    <w:p w14:paraId="6E9AD0CE" w14:textId="77777777" w:rsidR="00BE2C1D" w:rsidRPr="00BE2C1D" w:rsidRDefault="00BE2C1D" w:rsidP="00BE2C1D">
      <w:pPr>
        <w:spacing w:after="0" w:line="360" w:lineRule="auto"/>
        <w:jc w:val="both"/>
        <w:rPr>
          <w:rFonts w:ascii="Calibri" w:eastAsia="Times New Roman" w:hAnsi="Calibri" w:cs="Calibri"/>
          <w:lang w:eastAsia="en-GB"/>
        </w:rPr>
      </w:pPr>
      <w:r w:rsidRPr="00BE2C1D">
        <w:t xml:space="preserve">Writing from an intersectional perspective, </w:t>
      </w:r>
      <w:r w:rsidRPr="00BE2C1D">
        <w:rPr>
          <w:rFonts w:ascii="Calibri" w:eastAsia="Times New Roman" w:hAnsi="Calibri" w:cs="Calibri"/>
          <w:lang w:eastAsia="en-GB"/>
        </w:rPr>
        <w:t>Erevelles (2000) considered how disabled, racialised, gendered, classed and sexual subjects are ‘oppressively constituted with educational settings’ (ibid: 27) and how ‘disabled students have historically been conceived as ‘unruly’ subjects who have consistently disrupted the ordered functioning of schooling and consistently resisted the disciplining forces that are called into play’ (ibid: 42). Disabled, gendered, classed, sexualised bodies, then, are also rendered potential threats to the purity of schools for disrupting its order, which makes them susceptible to discipline and regulation. For instance, those disabled bodies that ‘fail’ to disappear are separated and excluded in special schools (Erevelles 2000; Michalko 2009).</w:t>
      </w:r>
    </w:p>
    <w:p w14:paraId="44495C62" w14:textId="77777777" w:rsidR="00BE2C1D" w:rsidRPr="00BE2C1D" w:rsidRDefault="00BE2C1D" w:rsidP="00BE2C1D">
      <w:pPr>
        <w:spacing w:after="0" w:line="360" w:lineRule="auto"/>
        <w:jc w:val="both"/>
        <w:rPr>
          <w:rFonts w:ascii="Calibri" w:eastAsia="Times New Roman" w:hAnsi="Calibri" w:cs="Calibri"/>
          <w:lang w:eastAsia="en-GB"/>
        </w:rPr>
      </w:pPr>
    </w:p>
    <w:p w14:paraId="4D69E4A8" w14:textId="77777777" w:rsidR="00BE2C1D" w:rsidRPr="00BE2C1D" w:rsidRDefault="00BE2C1D" w:rsidP="00BE2C1D">
      <w:pPr>
        <w:spacing w:line="360" w:lineRule="auto"/>
        <w:jc w:val="both"/>
      </w:pPr>
      <w:r w:rsidRPr="00BE2C1D">
        <w:t xml:space="preserve">However, Paechter discussed the visibility (and dys-appearance) of such bodies as contextual, meaning that ‘the same body can be understood as pathological at some times and places and not at others’ (ibid: 312-313). Discussing disability, McGuire (2010: n.p.) also made a similar note, arguing that </w:t>
      </w:r>
    </w:p>
    <w:p w14:paraId="7275DEB0" w14:textId="77777777" w:rsidR="00BE2C1D" w:rsidRPr="00BE2C1D" w:rsidRDefault="00BE2C1D" w:rsidP="00BE2C1D">
      <w:pPr>
        <w:spacing w:line="360" w:lineRule="auto"/>
        <w:ind w:left="720"/>
        <w:jc w:val="both"/>
        <w:rPr>
          <w:rFonts w:cstheme="minorHAnsi"/>
          <w:color w:val="111111"/>
          <w:sz w:val="20"/>
          <w:szCs w:val="20"/>
        </w:rPr>
      </w:pPr>
      <w:r w:rsidRPr="00BE2C1D">
        <w:rPr>
          <w:rFonts w:cstheme="minorHAnsi"/>
          <w:color w:val="111111"/>
          <w:sz w:val="20"/>
          <w:szCs w:val="20"/>
        </w:rPr>
        <w:t>[D]isability marks the body in ambiguous ways - it appears and disappears, is noticed and is hidden - as we move through different physical and social spaces, and as we find ourselves in different political and historical moments.</w:t>
      </w:r>
    </w:p>
    <w:p w14:paraId="2EED0817" w14:textId="77777777" w:rsidR="00BE2C1D" w:rsidRPr="00BE2C1D" w:rsidRDefault="00BE2C1D" w:rsidP="00BE2C1D">
      <w:pPr>
        <w:spacing w:line="360" w:lineRule="auto"/>
        <w:jc w:val="both"/>
        <w:rPr>
          <w:rFonts w:cstheme="minorHAnsi"/>
          <w:color w:val="111111"/>
        </w:rPr>
      </w:pPr>
      <w:r w:rsidRPr="00BE2C1D">
        <w:rPr>
          <w:rFonts w:cstheme="minorHAnsi"/>
          <w:color w:val="111111"/>
        </w:rPr>
        <w:lastRenderedPageBreak/>
        <w:t>The following stories then explore in what contexts the participants’ bodies dys-appeared by their teachers and how their disability and gender</w:t>
      </w:r>
      <w:r w:rsidRPr="00BE2C1D">
        <w:rPr>
          <w:rFonts w:cstheme="minorHAnsi"/>
          <w:color w:val="111111"/>
          <w:vertAlign w:val="superscript"/>
        </w:rPr>
        <w:footnoteReference w:id="118"/>
      </w:r>
      <w:r w:rsidRPr="00BE2C1D">
        <w:rPr>
          <w:rFonts w:cstheme="minorHAnsi"/>
          <w:color w:val="111111"/>
        </w:rPr>
        <w:t xml:space="preserve"> played out in their dys-appearance. I also consider the repercussions of dys-appearance and how the participants dealt with them. </w:t>
      </w:r>
    </w:p>
    <w:p w14:paraId="565C2176" w14:textId="77777777" w:rsidR="00BE2C1D" w:rsidRPr="00BE2C1D" w:rsidRDefault="00BE2C1D" w:rsidP="00BE2C1D">
      <w:pPr>
        <w:keepNext/>
        <w:keepLines/>
        <w:spacing w:before="40" w:after="0" w:line="360" w:lineRule="auto"/>
        <w:outlineLvl w:val="1"/>
        <w:rPr>
          <w:rFonts w:asciiTheme="majorHAnsi" w:eastAsiaTheme="majorEastAsia" w:hAnsiTheme="majorHAnsi" w:cstheme="majorBidi"/>
          <w:color w:val="2F5496" w:themeColor="accent1" w:themeShade="BF"/>
          <w:sz w:val="26"/>
          <w:szCs w:val="26"/>
          <w:lang w:eastAsia="zh-CN"/>
        </w:rPr>
      </w:pPr>
      <w:bookmarkStart w:id="138" w:name="_Toc39585267"/>
      <w:r w:rsidRPr="00BE2C1D">
        <w:rPr>
          <w:rFonts w:asciiTheme="majorHAnsi" w:eastAsiaTheme="majorEastAsia" w:hAnsiTheme="majorHAnsi" w:cstheme="majorBidi"/>
          <w:color w:val="2F5496" w:themeColor="accent1" w:themeShade="BF"/>
          <w:sz w:val="26"/>
          <w:szCs w:val="26"/>
          <w:lang w:eastAsia="zh-CN"/>
        </w:rPr>
        <w:t>Dys-appearing in Time and Space</w:t>
      </w:r>
      <w:bookmarkEnd w:id="138"/>
      <w:r w:rsidRPr="00BE2C1D">
        <w:rPr>
          <w:rFonts w:asciiTheme="majorHAnsi" w:eastAsiaTheme="majorEastAsia" w:hAnsiTheme="majorHAnsi" w:cstheme="majorBidi"/>
          <w:color w:val="2F5496" w:themeColor="accent1" w:themeShade="BF"/>
          <w:sz w:val="26"/>
          <w:szCs w:val="26"/>
          <w:lang w:eastAsia="zh-CN"/>
        </w:rPr>
        <w:t xml:space="preserve">  </w:t>
      </w:r>
    </w:p>
    <w:p w14:paraId="277C942B" w14:textId="77777777" w:rsidR="00BE2C1D" w:rsidRPr="00BE2C1D" w:rsidRDefault="00BE2C1D" w:rsidP="00BE2C1D">
      <w:pPr>
        <w:spacing w:line="360" w:lineRule="auto"/>
        <w:jc w:val="both"/>
      </w:pPr>
      <w:r w:rsidRPr="00BE2C1D">
        <w:t xml:space="preserve">This section draws on the stories of three female, teenage participants to look at how their disabled, gendered bodies dys-appeared, that is appeared as a problem, or disappeared, meaning that their impairment (effects) was (were) overlooked, by their teachers. These stories explore how the teachers rendered the participants’ bodies as ‘out of time’ (Price 2011) and ‘out of place’ (Kitchin 1998: 345). They also illustrate how organic and social dys-appearance intertwined and were mutually reinforcing (Leder 1990). I start with two stories shared by Rania and Mary to discuss how their bodies did not conform with the normative school timeframes (Price 2011) and, hence, dys-appeared:     </w:t>
      </w:r>
    </w:p>
    <w:p w14:paraId="714D0977" w14:textId="77777777" w:rsidR="00BE2C1D" w:rsidRPr="00BE2C1D" w:rsidRDefault="00BE2C1D" w:rsidP="00BE2C1D">
      <w:pPr>
        <w:spacing w:line="360" w:lineRule="auto"/>
        <w:ind w:left="720"/>
        <w:jc w:val="both"/>
        <w:rPr>
          <w:rFonts w:cstheme="minorHAnsi"/>
          <w:b/>
          <w:sz w:val="20"/>
          <w:szCs w:val="20"/>
        </w:rPr>
      </w:pPr>
      <w:r w:rsidRPr="00BE2C1D">
        <w:rPr>
          <w:rFonts w:cstheme="minorHAnsi"/>
          <w:sz w:val="20"/>
          <w:szCs w:val="20"/>
        </w:rPr>
        <w:t>Rania: I had a lesson myself trying to get to in the campus that was absolutely massive, so like walking across, walking, I actually measured it out. It was from, erm, where the survey was, which was at the end of the beaches through the end of the college, to my apartment, it was 0.4 miles, so just under half mile in college walking. Eh, so that was like, so then I get in trouble in lessons. ‘Why were you late? Everyone is here on time. You ‘ve all been to the same lesson.’ ‘</w:t>
      </w:r>
      <w:r w:rsidRPr="00BE2C1D">
        <w:rPr>
          <w:rFonts w:cstheme="minorHAnsi"/>
          <w:b/>
          <w:sz w:val="20"/>
          <w:szCs w:val="20"/>
        </w:rPr>
        <w:t xml:space="preserve">Yes, I was in the same lesson conducted in the beaches by residential. I’ve just had to walk from there.’ ‘Oh, okay. Sorry. Go sit down.’ ‘Yeah, thank you very much. I will do.’ </w:t>
      </w:r>
      <w:r w:rsidRPr="00BE2C1D">
        <w:rPr>
          <w:rFonts w:cstheme="minorHAnsi"/>
          <w:bCs/>
          <w:sz w:val="20"/>
          <w:szCs w:val="20"/>
        </w:rPr>
        <w:t>(bold added)</w:t>
      </w:r>
      <w:r w:rsidRPr="00BE2C1D">
        <w:rPr>
          <w:rFonts w:cstheme="minorHAnsi"/>
          <w:b/>
          <w:sz w:val="20"/>
          <w:szCs w:val="20"/>
          <w:vertAlign w:val="superscript"/>
        </w:rPr>
        <w:footnoteReference w:id="119"/>
      </w:r>
    </w:p>
    <w:p w14:paraId="3370FDE3" w14:textId="77777777" w:rsidR="00BE2C1D" w:rsidRPr="00BE2C1D" w:rsidRDefault="00BE2C1D" w:rsidP="00BE2C1D">
      <w:pPr>
        <w:spacing w:line="360" w:lineRule="auto"/>
        <w:ind w:left="720"/>
        <w:jc w:val="both"/>
        <w:rPr>
          <w:rFonts w:cstheme="minorHAnsi"/>
          <w:sz w:val="20"/>
          <w:szCs w:val="20"/>
          <w:lang w:val="en-US"/>
        </w:rPr>
      </w:pPr>
      <w:r w:rsidRPr="00BE2C1D">
        <w:rPr>
          <w:rFonts w:cstheme="minorHAnsi"/>
          <w:sz w:val="20"/>
          <w:szCs w:val="20"/>
          <w:lang w:val="en-US"/>
        </w:rPr>
        <w:t>Mary’s Mother</w:t>
      </w:r>
      <w:r w:rsidRPr="00BE2C1D">
        <w:rPr>
          <w:rFonts w:cstheme="minorHAnsi"/>
          <w:sz w:val="20"/>
          <w:szCs w:val="20"/>
          <w:vertAlign w:val="superscript"/>
          <w:lang w:val="en-US"/>
        </w:rPr>
        <w:footnoteReference w:id="120"/>
      </w:r>
      <w:r w:rsidRPr="00BE2C1D">
        <w:rPr>
          <w:rFonts w:cstheme="minorHAnsi"/>
          <w:sz w:val="20"/>
          <w:szCs w:val="20"/>
          <w:lang w:val="en-US"/>
        </w:rPr>
        <w:t>: And there’s a kind of an understand when you first started that you might be a little bit late   to classes, wasn’t there?</w:t>
      </w:r>
    </w:p>
    <w:p w14:paraId="10C8B76C" w14:textId="77777777" w:rsidR="00BE2C1D" w:rsidRPr="00BE2C1D" w:rsidRDefault="00BE2C1D" w:rsidP="00BE2C1D">
      <w:pPr>
        <w:spacing w:line="360" w:lineRule="auto"/>
        <w:jc w:val="both"/>
        <w:rPr>
          <w:rFonts w:cstheme="minorHAnsi"/>
          <w:sz w:val="20"/>
          <w:szCs w:val="20"/>
          <w:lang w:val="en-US"/>
        </w:rPr>
      </w:pPr>
      <w:r w:rsidRPr="00BE2C1D">
        <w:rPr>
          <w:rFonts w:cstheme="minorHAnsi"/>
          <w:sz w:val="20"/>
          <w:szCs w:val="20"/>
          <w:lang w:val="en-US"/>
        </w:rPr>
        <w:t xml:space="preserve"> </w:t>
      </w:r>
      <w:r w:rsidRPr="00BE2C1D">
        <w:rPr>
          <w:rFonts w:cstheme="minorHAnsi"/>
          <w:sz w:val="20"/>
          <w:szCs w:val="20"/>
          <w:lang w:val="en-US"/>
        </w:rPr>
        <w:tab/>
        <w:t>Mary: Yeah.</w:t>
      </w:r>
    </w:p>
    <w:p w14:paraId="7F31686C" w14:textId="77777777" w:rsidR="00BE2C1D" w:rsidRPr="00BE2C1D" w:rsidRDefault="00BE2C1D" w:rsidP="00BE2C1D">
      <w:pPr>
        <w:spacing w:line="360" w:lineRule="auto"/>
        <w:jc w:val="both"/>
        <w:rPr>
          <w:rFonts w:cstheme="minorHAnsi"/>
          <w:sz w:val="20"/>
          <w:szCs w:val="20"/>
          <w:lang w:val="en-US"/>
        </w:rPr>
      </w:pPr>
      <w:r w:rsidRPr="00BE2C1D">
        <w:rPr>
          <w:rFonts w:cstheme="minorHAnsi"/>
          <w:sz w:val="20"/>
          <w:szCs w:val="20"/>
          <w:lang w:val="en-US"/>
        </w:rPr>
        <w:t xml:space="preserve"> </w:t>
      </w:r>
      <w:r w:rsidRPr="00BE2C1D">
        <w:rPr>
          <w:rFonts w:cstheme="minorHAnsi"/>
          <w:sz w:val="20"/>
          <w:szCs w:val="20"/>
          <w:lang w:val="en-US"/>
        </w:rPr>
        <w:tab/>
        <w:t>Mary’s Mother: in case you felt you needed to hang back of it</w:t>
      </w:r>
      <w:r w:rsidRPr="00BE2C1D">
        <w:rPr>
          <w:rFonts w:cstheme="minorHAnsi"/>
          <w:sz w:val="20"/>
          <w:szCs w:val="20"/>
          <w:vertAlign w:val="superscript"/>
          <w:lang w:val="en-US"/>
        </w:rPr>
        <w:footnoteReference w:id="121"/>
      </w:r>
      <w:r w:rsidRPr="00BE2C1D">
        <w:rPr>
          <w:rFonts w:cstheme="minorHAnsi"/>
          <w:sz w:val="20"/>
          <w:szCs w:val="20"/>
          <w:lang w:val="en-US"/>
        </w:rPr>
        <w:t>.</w:t>
      </w:r>
    </w:p>
    <w:p w14:paraId="257FEE4C" w14:textId="77777777" w:rsidR="00BE2C1D" w:rsidRPr="00BE2C1D" w:rsidRDefault="00BE2C1D" w:rsidP="00BE2C1D">
      <w:pPr>
        <w:spacing w:line="360" w:lineRule="auto"/>
        <w:jc w:val="both"/>
        <w:rPr>
          <w:rFonts w:cstheme="minorHAnsi"/>
          <w:sz w:val="20"/>
          <w:szCs w:val="20"/>
          <w:lang w:val="en-US"/>
        </w:rPr>
      </w:pPr>
      <w:r w:rsidRPr="00BE2C1D">
        <w:rPr>
          <w:rFonts w:cstheme="minorHAnsi"/>
          <w:sz w:val="20"/>
          <w:szCs w:val="20"/>
          <w:lang w:val="en-US"/>
        </w:rPr>
        <w:t xml:space="preserve"> </w:t>
      </w:r>
      <w:r w:rsidRPr="00BE2C1D">
        <w:rPr>
          <w:rFonts w:cstheme="minorHAnsi"/>
          <w:sz w:val="20"/>
          <w:szCs w:val="20"/>
          <w:lang w:val="en-US"/>
        </w:rPr>
        <w:tab/>
        <w:t>Mary: Yeah.</w:t>
      </w:r>
    </w:p>
    <w:p w14:paraId="37E5A536" w14:textId="77777777" w:rsidR="00BE2C1D" w:rsidRPr="00BE2C1D" w:rsidRDefault="00BE2C1D" w:rsidP="00BE2C1D">
      <w:pPr>
        <w:spacing w:line="360" w:lineRule="auto"/>
        <w:jc w:val="both"/>
        <w:rPr>
          <w:rFonts w:cstheme="minorHAnsi"/>
          <w:sz w:val="20"/>
          <w:szCs w:val="20"/>
          <w:lang w:val="en-US"/>
        </w:rPr>
      </w:pPr>
      <w:r w:rsidRPr="00BE2C1D">
        <w:rPr>
          <w:rFonts w:cstheme="minorHAnsi"/>
          <w:sz w:val="20"/>
          <w:szCs w:val="20"/>
          <w:lang w:val="en-US"/>
        </w:rPr>
        <w:t xml:space="preserve"> </w:t>
      </w:r>
      <w:r w:rsidRPr="00BE2C1D">
        <w:rPr>
          <w:rFonts w:cstheme="minorHAnsi"/>
          <w:sz w:val="20"/>
          <w:szCs w:val="20"/>
          <w:lang w:val="en-US"/>
        </w:rPr>
        <w:tab/>
        <w:t>Mary’s Mother: Is that still around?</w:t>
      </w:r>
    </w:p>
    <w:p w14:paraId="7FFFED04" w14:textId="77777777" w:rsidR="00BE2C1D" w:rsidRPr="00BE2C1D" w:rsidRDefault="00BE2C1D" w:rsidP="00BE2C1D">
      <w:pPr>
        <w:spacing w:line="360" w:lineRule="auto"/>
        <w:jc w:val="both"/>
        <w:rPr>
          <w:rFonts w:cstheme="minorHAnsi"/>
          <w:sz w:val="20"/>
          <w:szCs w:val="20"/>
          <w:lang w:val="en-US"/>
        </w:rPr>
      </w:pPr>
      <w:r w:rsidRPr="00BE2C1D">
        <w:rPr>
          <w:rFonts w:cstheme="minorHAnsi"/>
          <w:sz w:val="20"/>
          <w:szCs w:val="20"/>
          <w:lang w:val="en-US"/>
        </w:rPr>
        <w:t xml:space="preserve"> </w:t>
      </w:r>
      <w:r w:rsidRPr="00BE2C1D">
        <w:rPr>
          <w:rFonts w:cstheme="minorHAnsi"/>
          <w:sz w:val="20"/>
          <w:szCs w:val="20"/>
          <w:lang w:val="en-US"/>
        </w:rPr>
        <w:tab/>
        <w:t>Mary: No, I get in trouble if I ’m late.</w:t>
      </w:r>
    </w:p>
    <w:p w14:paraId="1834C1F2" w14:textId="77777777" w:rsidR="00BE2C1D" w:rsidRPr="00BE2C1D" w:rsidRDefault="00BE2C1D" w:rsidP="00BE2C1D">
      <w:pPr>
        <w:spacing w:line="360" w:lineRule="auto"/>
        <w:jc w:val="both"/>
        <w:rPr>
          <w:rFonts w:cstheme="minorHAnsi"/>
          <w:sz w:val="20"/>
          <w:szCs w:val="20"/>
          <w:lang w:val="en-US"/>
        </w:rPr>
      </w:pPr>
      <w:r w:rsidRPr="00BE2C1D">
        <w:rPr>
          <w:rFonts w:cstheme="minorHAnsi"/>
          <w:sz w:val="20"/>
          <w:szCs w:val="20"/>
          <w:lang w:val="en-US"/>
        </w:rPr>
        <w:t xml:space="preserve"> </w:t>
      </w:r>
      <w:r w:rsidRPr="00BE2C1D">
        <w:rPr>
          <w:rFonts w:cstheme="minorHAnsi"/>
          <w:sz w:val="20"/>
          <w:szCs w:val="20"/>
          <w:lang w:val="en-US"/>
        </w:rPr>
        <w:tab/>
        <w:t>Mayr’s Mother: You get in trouble if you are late.</w:t>
      </w:r>
    </w:p>
    <w:p w14:paraId="3B010E65" w14:textId="77777777" w:rsidR="00BE2C1D" w:rsidRPr="00BE2C1D" w:rsidRDefault="00BE2C1D" w:rsidP="00BE2C1D">
      <w:pPr>
        <w:spacing w:line="360" w:lineRule="auto"/>
        <w:jc w:val="both"/>
        <w:rPr>
          <w:rFonts w:cstheme="minorHAnsi"/>
          <w:sz w:val="20"/>
          <w:szCs w:val="20"/>
          <w:lang w:val="en-US"/>
        </w:rPr>
      </w:pPr>
      <w:r w:rsidRPr="00BE2C1D">
        <w:rPr>
          <w:rFonts w:cstheme="minorHAnsi"/>
          <w:sz w:val="20"/>
          <w:szCs w:val="20"/>
          <w:lang w:val="en-US"/>
        </w:rPr>
        <w:t xml:space="preserve"> </w:t>
      </w:r>
      <w:r w:rsidRPr="00BE2C1D">
        <w:rPr>
          <w:rFonts w:cstheme="minorHAnsi"/>
          <w:sz w:val="20"/>
          <w:szCs w:val="20"/>
          <w:lang w:val="en-US"/>
        </w:rPr>
        <w:tab/>
        <w:t>Mary: Yeah.</w:t>
      </w:r>
    </w:p>
    <w:p w14:paraId="32921C59" w14:textId="77777777" w:rsidR="00BE2C1D" w:rsidRPr="00BE2C1D" w:rsidRDefault="00BE2C1D" w:rsidP="00BE2C1D">
      <w:pPr>
        <w:spacing w:line="360" w:lineRule="auto"/>
        <w:jc w:val="both"/>
        <w:rPr>
          <w:rFonts w:cstheme="minorHAnsi"/>
          <w:sz w:val="20"/>
          <w:szCs w:val="20"/>
          <w:lang w:val="en-US"/>
        </w:rPr>
      </w:pPr>
      <w:r w:rsidRPr="00BE2C1D">
        <w:rPr>
          <w:rFonts w:cstheme="minorHAnsi"/>
          <w:sz w:val="20"/>
          <w:szCs w:val="20"/>
          <w:lang w:val="en-US"/>
        </w:rPr>
        <w:lastRenderedPageBreak/>
        <w:t xml:space="preserve"> </w:t>
      </w:r>
      <w:r w:rsidRPr="00BE2C1D">
        <w:rPr>
          <w:rFonts w:cstheme="minorHAnsi"/>
          <w:sz w:val="20"/>
          <w:szCs w:val="20"/>
          <w:lang w:val="en-US"/>
        </w:rPr>
        <w:tab/>
        <w:t>Me: And how does the teacher react when you enter the class a little bit late?</w:t>
      </w:r>
    </w:p>
    <w:p w14:paraId="2A564C23" w14:textId="77777777" w:rsidR="00BE2C1D" w:rsidRPr="00BE2C1D" w:rsidRDefault="00BE2C1D" w:rsidP="00BE2C1D">
      <w:pPr>
        <w:spacing w:line="360" w:lineRule="auto"/>
        <w:ind w:left="720"/>
        <w:jc w:val="both"/>
        <w:rPr>
          <w:rFonts w:cstheme="minorHAnsi"/>
          <w:sz w:val="20"/>
          <w:szCs w:val="20"/>
          <w:lang w:val="en-US"/>
        </w:rPr>
      </w:pPr>
      <w:r w:rsidRPr="00BE2C1D">
        <w:rPr>
          <w:rFonts w:cstheme="minorHAnsi"/>
          <w:sz w:val="20"/>
          <w:szCs w:val="20"/>
          <w:lang w:val="en-US"/>
        </w:rPr>
        <w:t>Mary: Well, they are like: ‘Why were you late?’ And I’d say: ‘I had to get my back rest or something like that.’ And then they go: “You should’ve done it before or you should have done something different, so you arrive to my lesson on time.’</w:t>
      </w:r>
    </w:p>
    <w:p w14:paraId="4BB3B155" w14:textId="77777777" w:rsidR="00BE2C1D" w:rsidRPr="00BE2C1D" w:rsidRDefault="00BE2C1D" w:rsidP="00BE2C1D">
      <w:pPr>
        <w:spacing w:line="360" w:lineRule="auto"/>
        <w:jc w:val="both"/>
        <w:rPr>
          <w:rFonts w:cstheme="minorHAnsi"/>
        </w:rPr>
      </w:pPr>
      <w:r w:rsidRPr="00BE2C1D">
        <w:rPr>
          <w:rFonts w:cstheme="minorHAnsi"/>
        </w:rPr>
        <w:t xml:space="preserve">Rania was late to her class because of the distance she had to walk, while Mary was late due to the stool she had to carry from one class to another. Initially, they both got interrogated for being late (Why were you late?) and had to justify themselves in front of the whole classroom. This interrogation resembled Foucault’s (1978) concept of confession, where the participants had to confess their ‘sin’ in front of an audience (their teacher and their peers) and admit they had done something wrong. Not only did this dys-appearance of their bodies make their disability ‘public’ and to be understood (by others) and experienced (by them) as a problem, but a confession was forced on them. This notion of confession has also been used by Fat Studies scholars (Murray 2012; Rail 2012; Rail and Lafrance 2009) to describe the encounter between the ‘fat’ patient and their doctor, an encounter during which the former needs to confess their sins and take responsibility and action for them. As Murray (2012: 82) proposed, ‘the act of ‘confession’ has become key to the operation of knowledge/power’ and </w:t>
      </w:r>
    </w:p>
    <w:p w14:paraId="47A6E2D2" w14:textId="77777777" w:rsidR="00BE2C1D" w:rsidRPr="00BE2C1D" w:rsidRDefault="00BE2C1D" w:rsidP="00BE2C1D">
      <w:pPr>
        <w:spacing w:line="360" w:lineRule="auto"/>
        <w:ind w:left="720"/>
        <w:jc w:val="both"/>
        <w:rPr>
          <w:rFonts w:cstheme="minorHAnsi"/>
          <w:sz w:val="20"/>
          <w:szCs w:val="20"/>
        </w:rPr>
      </w:pPr>
      <w:r w:rsidRPr="00BE2C1D">
        <w:rPr>
          <w:rFonts w:cstheme="minorHAnsi"/>
          <w:sz w:val="20"/>
          <w:szCs w:val="20"/>
        </w:rPr>
        <w:t xml:space="preserve">a confession is not a self-realisation or a revelation to the one who hears the confession;  rather it is a structured moment of confirmation of the tacit knowledges that form the perceptual background to the power relations operating between the confessor and the confessee (ibid: 84).   </w:t>
      </w:r>
    </w:p>
    <w:p w14:paraId="68585D11" w14:textId="77777777" w:rsidR="00BE2C1D" w:rsidRPr="00BE2C1D" w:rsidRDefault="00BE2C1D" w:rsidP="00BE2C1D">
      <w:pPr>
        <w:spacing w:after="0" w:line="360" w:lineRule="auto"/>
        <w:jc w:val="both"/>
        <w:rPr>
          <w:rFonts w:cstheme="minorHAnsi"/>
        </w:rPr>
      </w:pPr>
      <w:r w:rsidRPr="00BE2C1D">
        <w:rPr>
          <w:rFonts w:cstheme="minorHAnsi"/>
        </w:rPr>
        <w:t>Rania’s confession started with her being blamed for running late before she was even able to explain her late arrival. The teacher’s argument relied on the ‘disappearance’ of her body, that is overlooking her impairment effects and the distance she had to walk, comparing her to her peers (‘Everyone is here on time. You’ve all been to the same lesson’). As Leder (1990: 97) suggested, ‘social dys-appearance occurs when our bodies do not look and act “just like everyone else’s”. Michalko (2009: 69) also discussed disability as ‘excessive’ when it appears as preventing someone from being ‘like everyone else’.</w:t>
      </w:r>
    </w:p>
    <w:p w14:paraId="20F739A8" w14:textId="77777777" w:rsidR="00BE2C1D" w:rsidRPr="00BE2C1D" w:rsidRDefault="00BE2C1D" w:rsidP="00BE2C1D">
      <w:pPr>
        <w:spacing w:after="0" w:line="360" w:lineRule="auto"/>
        <w:jc w:val="both"/>
        <w:rPr>
          <w:rFonts w:cstheme="minorHAnsi"/>
        </w:rPr>
      </w:pPr>
    </w:p>
    <w:p w14:paraId="476BABC3" w14:textId="77777777" w:rsidR="00BE2C1D" w:rsidRPr="00BE2C1D" w:rsidRDefault="00BE2C1D" w:rsidP="00BE2C1D">
      <w:pPr>
        <w:spacing w:after="0" w:line="360" w:lineRule="auto"/>
        <w:jc w:val="both"/>
        <w:rPr>
          <w:rFonts w:ascii="Calibri" w:hAnsi="Calibri" w:cs="Calibri"/>
        </w:rPr>
      </w:pPr>
      <w:r w:rsidRPr="00BE2C1D">
        <w:rPr>
          <w:rFonts w:cstheme="minorHAnsi"/>
        </w:rPr>
        <w:t xml:space="preserve">In response to her body’s dys-appearance Rania addressed explicitly the injustice of being expected to arrive at the same time with her peers. While her teacher seemed to be apologetic in the first instance (‘Oh, okay. I am sorry’), the very next moment they exercised the governmental power by ordering Rania to sit down. Rania’s response then consisted of two parts: first, thanking the teacher for apologising, a response which could be read as sarcastic to an extent (based on the tone of her voice), and then by complying with the teacher’s order (I will do).  Mary also had to confess the reasons for being late. The teacher was dismissive of Mary’s response, arguing that, no matter what, she had to be in class on time and it was up to her to figure out a way to do so. Similar to Rania’s case, the </w:t>
      </w:r>
      <w:r w:rsidRPr="00BE2C1D">
        <w:rPr>
          <w:rFonts w:cstheme="minorHAnsi"/>
        </w:rPr>
        <w:lastRenderedPageBreak/>
        <w:t>teacher overlooked Mary’s impairment effects and the lack of physical support (Mary had to move the equipment by herself). In this case the teacher’s governance relied on Mary’s responsibilisation (Kelly 2001), that is Mary was accountable for coming up with a solution to be in class ‘on time’.  Mary was expected to ‘fix’ the ‘bad performance’ (Leder 1990: 87) that dys-appeared her body. Rania and Mary were then pathologized for being late and were expected to fit in the normative school timeframes (Price 2011). This pathologisation, though, did not result from the teachers’ acknowledgement of impairment as a problem per se, but from the teachers’ deliberate disappearance of the impairment effects. As Reeve (2012: 87) puts it, ‘</w:t>
      </w:r>
      <w:r w:rsidRPr="00BE2C1D">
        <w:rPr>
          <w:rFonts w:ascii="Calibri" w:hAnsi="Calibri" w:cs="Calibri"/>
        </w:rPr>
        <w:t>the body is behaving according to cultural norms of able-bodiedness rather than being free to adopt any mode of behaviour and movement that is 'normal for them'.</w:t>
      </w:r>
    </w:p>
    <w:p w14:paraId="08A9277E" w14:textId="77777777" w:rsidR="00BE2C1D" w:rsidRPr="00BE2C1D" w:rsidRDefault="00BE2C1D" w:rsidP="00BE2C1D">
      <w:pPr>
        <w:spacing w:after="0" w:line="360" w:lineRule="auto"/>
        <w:jc w:val="both"/>
        <w:rPr>
          <w:rFonts w:cstheme="minorHAnsi"/>
        </w:rPr>
      </w:pPr>
      <w:r w:rsidRPr="00BE2C1D">
        <w:rPr>
          <w:rFonts w:ascii="Calibri" w:hAnsi="Calibri" w:cs="Calibri"/>
        </w:rPr>
        <w:t xml:space="preserve"> </w:t>
      </w:r>
    </w:p>
    <w:p w14:paraId="5C5CC378" w14:textId="77777777" w:rsidR="00BE2C1D" w:rsidRPr="00BE2C1D" w:rsidRDefault="00BE2C1D" w:rsidP="00BE2C1D">
      <w:pPr>
        <w:spacing w:line="360" w:lineRule="auto"/>
        <w:jc w:val="both"/>
        <w:rPr>
          <w:rFonts w:cstheme="minorHAnsi"/>
        </w:rPr>
      </w:pPr>
      <w:r w:rsidRPr="00BE2C1D">
        <w:rPr>
          <w:rFonts w:cstheme="minorHAnsi"/>
        </w:rPr>
        <w:t xml:space="preserve">Compton-Lilly (2016: 576) maintained that ‘time is generally treated as a backdrop to experience and rarely contemplated as a significant contextual dimension that contributes to how people make sense of themselves, their experiences, and their worlds’. Similarly, Thomas and Whitburn (2019: 161) argued that ‘there are unexamined temporal assumptions, grounded in power disparities, which must be challenged.’ </w:t>
      </w:r>
      <w:r w:rsidRPr="00BE2C1D">
        <w:rPr>
          <w:rFonts w:cstheme="minorHAnsi"/>
          <w:lang w:val="en-US"/>
        </w:rPr>
        <w:t>Schools’ timetables perpetuate what Michalko (2010) has referred to as the ‘cultural standard time’, that is ‘the time we are all expected to adhere to, the time of the normates, the ideals, the ‘ordinary man’ (Slater, 2012: 202). Slater (2012: 202) argued that ‘[C]lassrooms are a stark example of unquestioning (and largely unquestioned), normative timeframes, which add to the educational exclusion of disabled children’. However, these stories of being late in class bring up the notion of ‘crip time’ (Kafer 2013; Price 2011</w:t>
      </w:r>
      <w:r w:rsidRPr="00BE2C1D">
        <w:rPr>
          <w:rFonts w:cstheme="minorHAnsi"/>
          <w:vertAlign w:val="superscript"/>
          <w:lang w:val="en-US"/>
        </w:rPr>
        <w:footnoteReference w:id="122"/>
      </w:r>
      <w:r w:rsidRPr="00BE2C1D">
        <w:rPr>
          <w:rFonts w:cstheme="minorHAnsi"/>
          <w:lang w:val="en-US"/>
        </w:rPr>
        <w:t xml:space="preserve">), which questions normative and ableist time frames (Abrams et al. 2020; Ljuslinder et al. 2020; Slater 2012). As Kafer (2013: 27) explains, drawing on Price, crip time is ‘flex time’, that is not only it allows for ‘extra’ time, but it is a re-orientation to time, a critique of the clock which privileges certain bodies and pathologizes others. Kafer (ibid) contends that ‘rather than bend disabled bodies and minds to meet the clock, crip time bends the clock to meet disabled bodies and minds’. Samuels (2017, n. p., italics in the original) described crip time as ‘broken time’, as </w:t>
      </w:r>
    </w:p>
    <w:p w14:paraId="6DC3C35C" w14:textId="77777777" w:rsidR="00BE2C1D" w:rsidRPr="00BE2C1D" w:rsidRDefault="00BE2C1D" w:rsidP="00BE2C1D">
      <w:pPr>
        <w:spacing w:line="360" w:lineRule="auto"/>
        <w:ind w:left="720"/>
        <w:jc w:val="both"/>
        <w:rPr>
          <w:rFonts w:cstheme="minorHAnsi"/>
          <w:color w:val="111111"/>
          <w:sz w:val="20"/>
          <w:szCs w:val="20"/>
          <w:shd w:val="clear" w:color="auto" w:fill="FEFEFE"/>
        </w:rPr>
      </w:pPr>
      <w:r w:rsidRPr="00BE2C1D">
        <w:rPr>
          <w:rFonts w:cstheme="minorHAnsi"/>
          <w:sz w:val="20"/>
          <w:szCs w:val="20"/>
          <w:lang w:val="en-US"/>
        </w:rPr>
        <w:t>it</w:t>
      </w:r>
      <w:r w:rsidRPr="00BE2C1D">
        <w:rPr>
          <w:rFonts w:cstheme="minorHAnsi"/>
          <w:color w:val="111111"/>
          <w:sz w:val="20"/>
          <w:szCs w:val="20"/>
          <w:shd w:val="clear" w:color="auto" w:fill="FEFEFE"/>
        </w:rPr>
        <w:t xml:space="preserve"> requires us to break in our bodies and minds to new rhythms, new patterns of thinking and feeling and moving through the world. It forces us to take breaks, even when we don't want to, even when we want to keep going, to move ahead. It insists that we listen to our bodyminds </w:t>
      </w:r>
      <w:r w:rsidRPr="00BE2C1D">
        <w:rPr>
          <w:rFonts w:cstheme="minorHAnsi"/>
          <w:i/>
          <w:iCs/>
          <w:color w:val="111111"/>
          <w:sz w:val="20"/>
          <w:szCs w:val="20"/>
          <w:shd w:val="clear" w:color="auto" w:fill="FEFEFE"/>
        </w:rPr>
        <w:t>so</w:t>
      </w:r>
      <w:r w:rsidRPr="00BE2C1D">
        <w:rPr>
          <w:rFonts w:cstheme="minorHAnsi"/>
          <w:color w:val="111111"/>
          <w:sz w:val="20"/>
          <w:szCs w:val="20"/>
          <w:shd w:val="clear" w:color="auto" w:fill="FEFEFE"/>
        </w:rPr>
        <w:t> closely, </w:t>
      </w:r>
      <w:r w:rsidRPr="00BE2C1D">
        <w:rPr>
          <w:rFonts w:cstheme="minorHAnsi"/>
          <w:i/>
          <w:iCs/>
          <w:color w:val="111111"/>
          <w:sz w:val="20"/>
          <w:szCs w:val="20"/>
          <w:shd w:val="clear" w:color="auto" w:fill="FEFEFE"/>
        </w:rPr>
        <w:t xml:space="preserve">so </w:t>
      </w:r>
      <w:r w:rsidRPr="00BE2C1D">
        <w:rPr>
          <w:rFonts w:cstheme="minorHAnsi"/>
          <w:color w:val="111111"/>
          <w:sz w:val="20"/>
          <w:szCs w:val="20"/>
          <w:shd w:val="clear" w:color="auto" w:fill="FEFEFE"/>
        </w:rPr>
        <w:t xml:space="preserve">attentively, in a culture that tells us to divide the two and push the body away from us while also pushing it beyond </w:t>
      </w:r>
      <w:r w:rsidRPr="00BE2C1D">
        <w:rPr>
          <w:rFonts w:cstheme="minorHAnsi"/>
          <w:color w:val="111111"/>
          <w:sz w:val="20"/>
          <w:szCs w:val="20"/>
          <w:shd w:val="clear" w:color="auto" w:fill="FEFEFE"/>
        </w:rPr>
        <w:lastRenderedPageBreak/>
        <w:t>its limits. Crip time means listening to the broken languages of our bodies, translating them, honouring their words.</w:t>
      </w:r>
    </w:p>
    <w:p w14:paraId="0A2A886D" w14:textId="77777777" w:rsidR="00BE2C1D" w:rsidRPr="00BE2C1D" w:rsidRDefault="00BE2C1D" w:rsidP="00BE2C1D">
      <w:pPr>
        <w:spacing w:line="360" w:lineRule="auto"/>
        <w:jc w:val="both"/>
        <w:rPr>
          <w:sz w:val="23"/>
          <w:szCs w:val="23"/>
        </w:rPr>
      </w:pPr>
      <w:r w:rsidRPr="00BE2C1D">
        <w:rPr>
          <w:rFonts w:cstheme="minorHAnsi"/>
          <w:lang w:val="en-US"/>
        </w:rPr>
        <w:t xml:space="preserve">This description of crip time resonated with Rania’s and Mary’s stories, who bodies disrupted the ableist time frames of schools. However, with teachers telling them off, Rania and Mary became aware of how their embodiment related to time and ‘its ability to include and exclude’ (Slater 2012: 203) and to discipline (Foucault, 1982).  </w:t>
      </w:r>
    </w:p>
    <w:p w14:paraId="1CC07592" w14:textId="77777777" w:rsidR="00BE2C1D" w:rsidRPr="00BE2C1D" w:rsidRDefault="00BE2C1D" w:rsidP="00BE2C1D">
      <w:pPr>
        <w:spacing w:line="360" w:lineRule="auto"/>
        <w:jc w:val="both"/>
      </w:pPr>
      <w:r w:rsidRPr="00BE2C1D">
        <w:t xml:space="preserve">The stories so far looked at how the rigid, institutional expectation to be ‘on time’ reinforced by the teachers made the young people’s bodies dys-appear or appear as ‘out of time’. Nevertheless, their bodies also dys-appeared or appeared as ‘out of place’, when they stumbled upon structural disablism (Reeve 2014): </w:t>
      </w:r>
    </w:p>
    <w:p w14:paraId="1E6B2FD1" w14:textId="77777777" w:rsidR="00BE2C1D" w:rsidRPr="00BE2C1D" w:rsidRDefault="00BE2C1D" w:rsidP="00BE2C1D">
      <w:pPr>
        <w:spacing w:line="360" w:lineRule="auto"/>
        <w:ind w:left="720"/>
        <w:jc w:val="both"/>
        <w:rPr>
          <w:rFonts w:cstheme="minorHAnsi"/>
          <w:sz w:val="20"/>
          <w:szCs w:val="20"/>
        </w:rPr>
      </w:pPr>
      <w:r w:rsidRPr="00BE2C1D">
        <w:rPr>
          <w:rFonts w:cstheme="minorHAnsi"/>
          <w:sz w:val="20"/>
          <w:szCs w:val="20"/>
        </w:rPr>
        <w:t xml:space="preserve">Rania: Or </w:t>
      </w:r>
      <w:bookmarkStart w:id="139" w:name="_Hlk511396410"/>
      <w:r w:rsidRPr="00BE2C1D">
        <w:rPr>
          <w:rFonts w:cstheme="minorHAnsi"/>
          <w:sz w:val="20"/>
          <w:szCs w:val="20"/>
        </w:rPr>
        <w:t>in science</w:t>
      </w:r>
      <w:bookmarkStart w:id="140" w:name="_Hlk509628352"/>
      <w:r w:rsidRPr="00BE2C1D">
        <w:rPr>
          <w:rFonts w:cstheme="minorHAnsi"/>
          <w:sz w:val="20"/>
          <w:szCs w:val="20"/>
        </w:rPr>
        <w:t xml:space="preserve">, we did practical, I had stools to reach the gas tag. I had a lowered gas tag in one of the science rooms. Em, so there was like two inside. It was one literally, but then there were two science rooms, so I could do practicals. So that would possibly get annoying, say if the teacher had planned, cause we had room changes, a practical in a room that just wasn’t adjusted for me. So, when I was trying to get on with it, “Oh, Rania, you can’t do this”. You can’t stand on the stool, get out because of health and safety.’ </w:t>
      </w:r>
      <w:r w:rsidRPr="00BE2C1D">
        <w:rPr>
          <w:rFonts w:cstheme="minorHAnsi"/>
          <w:b/>
          <w:bCs/>
          <w:sz w:val="20"/>
          <w:szCs w:val="20"/>
        </w:rPr>
        <w:t xml:space="preserve">‘Well, why have you got us in this room then doing it? </w:t>
      </w:r>
      <w:bookmarkEnd w:id="140"/>
      <w:r w:rsidRPr="00BE2C1D">
        <w:rPr>
          <w:rFonts w:cstheme="minorHAnsi"/>
          <w:b/>
          <w:bCs/>
          <w:sz w:val="20"/>
          <w:szCs w:val="20"/>
        </w:rPr>
        <w:t>That’s not fair on me</w:t>
      </w:r>
      <w:bookmarkEnd w:id="139"/>
      <w:r w:rsidRPr="00BE2C1D">
        <w:rPr>
          <w:rFonts w:cstheme="minorHAnsi"/>
          <w:b/>
          <w:bCs/>
          <w:sz w:val="20"/>
          <w:szCs w:val="20"/>
        </w:rPr>
        <w:t xml:space="preserve">.’ </w:t>
      </w:r>
      <w:r w:rsidRPr="00BE2C1D">
        <w:rPr>
          <w:rFonts w:cstheme="minorHAnsi"/>
          <w:sz w:val="20"/>
          <w:szCs w:val="20"/>
        </w:rPr>
        <w:t>(bold added)</w:t>
      </w:r>
    </w:p>
    <w:p w14:paraId="11162D3C" w14:textId="77777777" w:rsidR="00BE2C1D" w:rsidRPr="00BE2C1D" w:rsidRDefault="00BE2C1D" w:rsidP="00BE2C1D">
      <w:pPr>
        <w:spacing w:line="360" w:lineRule="auto"/>
        <w:jc w:val="both"/>
      </w:pPr>
      <w:r w:rsidRPr="00BE2C1D">
        <w:t>Rania’s body dys-appeared both in an organic (in its politicised meaning) and in a social mode. Her body organically dys-appeared (Paterson and Hughes 1999), as the inaccessible environment and the health and safety school policy did not allow her to be in that space, conveying to her the message that she was ‘out of place’ (Kitchin 1998: 345). This message was reinforced by her teacher, who first pathologised Rania’s body as incapable of participating in the lesson and then ordered her to leave the class, justifying her exclusion on the grounds of the relevant health and safety policy. In that case, ‘</w:t>
      </w:r>
      <w:r w:rsidRPr="00BE2C1D">
        <w:rPr>
          <w:rFonts w:ascii="Calibri" w:hAnsi="Calibri" w:cs="Calibri"/>
          <w:bCs/>
        </w:rPr>
        <w:t>The dys-appearing body was related to finding oneself 'out of place' when failing to meet the carnal norms of an ableist world’ (Reeve 2012: 86).</w:t>
      </w:r>
    </w:p>
    <w:p w14:paraId="1AD21524" w14:textId="77777777" w:rsidR="00BE2C1D" w:rsidRPr="00BE2C1D" w:rsidRDefault="00BE2C1D" w:rsidP="00BE2C1D">
      <w:pPr>
        <w:spacing w:line="360" w:lineRule="auto"/>
        <w:jc w:val="both"/>
        <w:rPr>
          <w:rFonts w:ascii="Calibri" w:hAnsi="Calibri" w:cs="Calibri"/>
        </w:rPr>
      </w:pPr>
      <w:r w:rsidRPr="00BE2C1D">
        <w:rPr>
          <w:rFonts w:ascii="Calibri" w:hAnsi="Calibri" w:cs="Calibri"/>
        </w:rPr>
        <w:t xml:space="preserve">Nevertheless, Rania called her teacher out once more, holding him accountable for unfair treatment (‘that’s not fair on me’). Her resistance was also indicative of the psycho-emotional toll that her body’s dys-appearance had on her (‘that’s not fair on me’) in terms of her having to deal with and fight against an inherently unjust system (Reeve 2012). Corker (1999) noted how disabled children were aware of the disabling nature of such rules, which were described by Kenworthy and Whittaker (2000: 220) as ‘petty regulations’, justifying the exclusion of disabled students from certain subjects and classes. Corker and Davis (2001) also referred to the story of a disabled student who held his teacher </w:t>
      </w:r>
      <w:r w:rsidRPr="00BE2C1D">
        <w:rPr>
          <w:rFonts w:ascii="Calibri" w:hAnsi="Calibri" w:cs="Calibri"/>
        </w:rPr>
        <w:lastRenderedPageBreak/>
        <w:t xml:space="preserve">accountable for his discriminatory attitude (removing him from the class) through the use of the school policy. </w:t>
      </w:r>
    </w:p>
    <w:p w14:paraId="0881BE5A" w14:textId="77777777" w:rsidR="00BE2C1D" w:rsidRPr="00BE2C1D" w:rsidRDefault="00BE2C1D" w:rsidP="00BE2C1D">
      <w:pPr>
        <w:spacing w:line="360" w:lineRule="auto"/>
        <w:jc w:val="both"/>
        <w:rPr>
          <w:rFonts w:ascii="Calibri" w:hAnsi="Calibri" w:cs="Calibri"/>
        </w:rPr>
      </w:pPr>
      <w:r w:rsidRPr="00BE2C1D">
        <w:rPr>
          <w:rFonts w:ascii="Calibri" w:hAnsi="Calibri" w:cs="Calibri"/>
        </w:rPr>
        <w:t>This message that they were ‘out of place’ was not conveyed only through inaccessible structures, but it was also reproduced through the technology of staring (Garland-Thompson 2009):</w:t>
      </w:r>
    </w:p>
    <w:p w14:paraId="747045FA" w14:textId="77777777" w:rsidR="00BE2C1D" w:rsidRPr="00BE2C1D" w:rsidRDefault="00BE2C1D" w:rsidP="00BE2C1D">
      <w:pPr>
        <w:spacing w:line="360" w:lineRule="auto"/>
        <w:ind w:left="720"/>
        <w:jc w:val="both"/>
        <w:rPr>
          <w:rFonts w:ascii="Calibri" w:hAnsi="Calibri" w:cs="Calibri"/>
          <w:bCs/>
          <w:sz w:val="20"/>
          <w:szCs w:val="20"/>
        </w:rPr>
      </w:pPr>
      <w:r w:rsidRPr="00BE2C1D">
        <w:rPr>
          <w:rFonts w:ascii="Calibri" w:hAnsi="Calibri" w:cs="Calibri"/>
          <w:sz w:val="20"/>
          <w:szCs w:val="20"/>
        </w:rPr>
        <w:t xml:space="preserve">Lynn: I’ve got, like this teacher I had on (pause of couple of seconds) Thursday (?), Thursday. She seemed, she‘s like really grumpy and all. She saw me and she was like, eh, she looked at me, like kept on looking down on me at my legs and she was like: ‘Why is she here? Why?’ (the teacher asked). I was like </w:t>
      </w:r>
      <w:r w:rsidRPr="00BE2C1D">
        <w:rPr>
          <w:rFonts w:ascii="Calibri" w:hAnsi="Calibri" w:cs="Calibri"/>
          <w:b/>
          <w:sz w:val="20"/>
          <w:szCs w:val="20"/>
        </w:rPr>
        <w:t xml:space="preserve">‘Really?’ She was like really annoying me in class, but I had to deal with it </w:t>
      </w:r>
      <w:r w:rsidRPr="00BE2C1D">
        <w:rPr>
          <w:rFonts w:ascii="Calibri" w:hAnsi="Calibri" w:cs="Calibri"/>
          <w:bCs/>
          <w:sz w:val="20"/>
          <w:szCs w:val="20"/>
        </w:rPr>
        <w:t>(bold added).</w:t>
      </w:r>
    </w:p>
    <w:p w14:paraId="12398C5F" w14:textId="77777777" w:rsidR="00BE2C1D" w:rsidRPr="00BE2C1D" w:rsidRDefault="00BE2C1D" w:rsidP="00BE2C1D">
      <w:pPr>
        <w:spacing w:line="360" w:lineRule="auto"/>
        <w:jc w:val="both"/>
        <w:rPr>
          <w:rFonts w:ascii="Calibri" w:hAnsi="Calibri" w:cs="Calibri"/>
        </w:rPr>
      </w:pPr>
      <w:r w:rsidRPr="00BE2C1D">
        <w:rPr>
          <w:rFonts w:ascii="Calibri" w:hAnsi="Calibri" w:cs="Calibri"/>
        </w:rPr>
        <w:t>Lynn’s story was a story of social dys-appearance (Leder 1990) and direct psycho-emotional disablism (Reeve 2012), as her presence in the class was questioned initially through staring and then through verbal communication. Lynn became conscious of her body ‘as unsightly in the eyes of others’ (Leder 1990: 97). Moreover, as Garland-Thompson (2009) argued, staring is commonly accompanied with questions, which call for the story of the person whose appearance challenges our expectations. And this seemed to be the case with Lynn’s teacher, who couldn’t ‘believe her eyes’</w:t>
      </w:r>
      <w:r w:rsidRPr="00BE2C1D">
        <w:rPr>
          <w:rFonts w:ascii="Calibri" w:hAnsi="Calibri" w:cs="Calibri"/>
          <w:vertAlign w:val="superscript"/>
        </w:rPr>
        <w:footnoteReference w:id="123"/>
      </w:r>
      <w:r w:rsidRPr="00BE2C1D">
        <w:rPr>
          <w:rFonts w:ascii="Calibri" w:hAnsi="Calibri" w:cs="Calibri"/>
        </w:rPr>
        <w:t xml:space="preserve">. As Paechter (2011: 313) claimed:   </w:t>
      </w:r>
    </w:p>
    <w:p w14:paraId="44CAD86D" w14:textId="77777777" w:rsidR="00BE2C1D" w:rsidRPr="00BE2C1D" w:rsidRDefault="00BE2C1D" w:rsidP="00BE2C1D">
      <w:pPr>
        <w:spacing w:line="360" w:lineRule="auto"/>
        <w:ind w:left="720"/>
        <w:jc w:val="both"/>
        <w:rPr>
          <w:rFonts w:ascii="Calibri" w:hAnsi="Calibri" w:cs="Calibri"/>
        </w:rPr>
      </w:pPr>
      <w:r w:rsidRPr="00BE2C1D">
        <w:rPr>
          <w:rFonts w:ascii="Calibri" w:hAnsi="Calibri" w:cs="Calibri"/>
          <w:sz w:val="20"/>
          <w:szCs w:val="20"/>
        </w:rPr>
        <w:t xml:space="preserve">the children’s bodies that are pathologised are those which are not as, or where, they should be, and   they therefore offend against the good order of schooling or society: their visibility is out of place in the contexts in which they appear, so that they are experienced as polluting. </w:t>
      </w:r>
    </w:p>
    <w:p w14:paraId="34DDA51D" w14:textId="77777777" w:rsidR="00BE2C1D" w:rsidRPr="00BE2C1D" w:rsidRDefault="00BE2C1D" w:rsidP="00BE2C1D">
      <w:pPr>
        <w:spacing w:line="360" w:lineRule="auto"/>
        <w:jc w:val="both"/>
        <w:rPr>
          <w:rFonts w:ascii="Calibri" w:hAnsi="Calibri" w:cs="Calibri"/>
        </w:rPr>
      </w:pPr>
      <w:r w:rsidRPr="00BE2C1D">
        <w:rPr>
          <w:rFonts w:ascii="Calibri" w:hAnsi="Calibri" w:cs="Calibri"/>
        </w:rPr>
        <w:t xml:space="preserve">Lynn’s social dys-appearance as ‘out of place’ had to do with the intersection of height and age. Kruse (2003: 503) has argued accordingly: </w:t>
      </w:r>
    </w:p>
    <w:p w14:paraId="3614295F" w14:textId="77777777" w:rsidR="00BE2C1D" w:rsidRPr="00BE2C1D" w:rsidRDefault="00BE2C1D" w:rsidP="00BE2C1D">
      <w:pPr>
        <w:spacing w:line="360" w:lineRule="auto"/>
        <w:ind w:left="720"/>
        <w:jc w:val="both"/>
        <w:rPr>
          <w:rFonts w:ascii="Calibri" w:hAnsi="Calibri" w:cs="Calibri"/>
          <w:sz w:val="20"/>
          <w:szCs w:val="20"/>
        </w:rPr>
      </w:pPr>
      <w:r w:rsidRPr="00BE2C1D">
        <w:rPr>
          <w:rFonts w:ascii="Calibri" w:hAnsi="Calibri" w:cs="Calibri"/>
          <w:sz w:val="20"/>
          <w:szCs w:val="20"/>
        </w:rPr>
        <w:t>An unusual intersection of height and age can lead to the appearance of being 'out of place'. While age is associated with particular places and spaces, unmet expectations for height can disqualify or displace individuals who meet the age criteria, but not the norm for height (Pain et al., 2000).</w:t>
      </w:r>
    </w:p>
    <w:p w14:paraId="3E83E134" w14:textId="77777777" w:rsidR="00BE2C1D" w:rsidRPr="00BE2C1D" w:rsidRDefault="00BE2C1D" w:rsidP="00BE2C1D">
      <w:pPr>
        <w:spacing w:line="360" w:lineRule="auto"/>
        <w:jc w:val="both"/>
        <w:rPr>
          <w:rFonts w:ascii="Calibri" w:hAnsi="Calibri" w:cs="Calibri"/>
        </w:rPr>
      </w:pPr>
      <w:r w:rsidRPr="00BE2C1D">
        <w:rPr>
          <w:rFonts w:ascii="Calibri" w:hAnsi="Calibri" w:cs="Calibri"/>
        </w:rPr>
        <w:t xml:space="preserve">In a summary, this section looked into how the participants’ bodies disrupted the order of schooling by being (rendered) ‘out of time’ and/or ‘out of place’. The young people’s bodies were synchronised with crip time (Kafer 2013; Samuels 2017), which meant that they questioned the normative timeframes (or standard time) of schools (Price 2011). However, this also brought about the dys-appearance of their bodies from their teachers, meaning that the young people were expected to adapt to and comply with the able-bodied rhythm of school life. When they did not, they were forced to confess in public what had gone wrong, with the blame positioned on their bodies. Furthermore, the direct (e.g. staring) and indirect (e.g. inaccessible structures) psycho-emotional disablism (Reeve </w:t>
      </w:r>
      <w:r w:rsidRPr="00BE2C1D">
        <w:rPr>
          <w:rFonts w:ascii="Calibri" w:hAnsi="Calibri" w:cs="Calibri"/>
        </w:rPr>
        <w:lastRenderedPageBreak/>
        <w:t xml:space="preserve">2012) the young people sustained also led to their bodies’ dys-appearance and conveyed to them the message that they were ‘our of place’. </w:t>
      </w:r>
      <w:r w:rsidRPr="00BE2C1D">
        <w:rPr>
          <w:rFonts w:ascii="Calibri" w:hAnsi="Calibri" w:cs="Calibri"/>
          <w:lang w:val="en-US"/>
        </w:rPr>
        <w:t xml:space="preserve">The next section focuses on mundane stories of dys-appearance, which took place in various places and at different times. </w:t>
      </w:r>
    </w:p>
    <w:p w14:paraId="64634A80" w14:textId="77777777" w:rsidR="00BE2C1D" w:rsidRPr="00BE2C1D" w:rsidRDefault="00BE2C1D" w:rsidP="00BE2C1D">
      <w:pPr>
        <w:keepNext/>
        <w:keepLines/>
        <w:spacing w:before="40" w:after="0" w:line="360" w:lineRule="auto"/>
        <w:outlineLvl w:val="1"/>
        <w:rPr>
          <w:rFonts w:asciiTheme="majorHAnsi" w:eastAsiaTheme="majorEastAsia" w:hAnsiTheme="majorHAnsi" w:cstheme="majorBidi"/>
          <w:color w:val="2F5496" w:themeColor="accent1" w:themeShade="BF"/>
          <w:sz w:val="26"/>
          <w:szCs w:val="26"/>
          <w:lang w:eastAsia="zh-CN"/>
        </w:rPr>
      </w:pPr>
      <w:bookmarkStart w:id="141" w:name="_Toc39585268"/>
      <w:r w:rsidRPr="00BE2C1D">
        <w:rPr>
          <w:rFonts w:asciiTheme="majorHAnsi" w:eastAsiaTheme="majorEastAsia" w:hAnsiTheme="majorHAnsi" w:cstheme="majorBidi"/>
          <w:color w:val="2F5496" w:themeColor="accent1" w:themeShade="BF"/>
          <w:sz w:val="26"/>
          <w:szCs w:val="26"/>
          <w:lang w:eastAsia="zh-CN"/>
        </w:rPr>
        <w:t>Dys-Appearing Through Questioning</w:t>
      </w:r>
      <w:bookmarkEnd w:id="141"/>
    </w:p>
    <w:p w14:paraId="502DFCB2" w14:textId="77777777" w:rsidR="00BE2C1D" w:rsidRPr="00BE2C1D" w:rsidRDefault="00BE2C1D" w:rsidP="00BE2C1D">
      <w:pPr>
        <w:spacing w:line="360" w:lineRule="auto"/>
        <w:jc w:val="both"/>
      </w:pPr>
      <w:r w:rsidRPr="00BE2C1D">
        <w:t>This section examines stories of disabled young people’s capabilities being questioned by their teachers, which occurred in schools at various times and spaces. I start with one story from the focus group with the three teenage participants:</w:t>
      </w:r>
    </w:p>
    <w:p w14:paraId="0F441D99" w14:textId="77777777" w:rsidR="00BE2C1D" w:rsidRPr="00BE2C1D" w:rsidRDefault="00BE2C1D" w:rsidP="00BE2C1D">
      <w:pPr>
        <w:spacing w:line="360" w:lineRule="auto"/>
        <w:ind w:left="720"/>
        <w:jc w:val="both"/>
        <w:rPr>
          <w:sz w:val="20"/>
          <w:szCs w:val="20"/>
        </w:rPr>
      </w:pPr>
      <w:r w:rsidRPr="00BE2C1D">
        <w:rPr>
          <w:sz w:val="20"/>
          <w:szCs w:val="20"/>
        </w:rPr>
        <w:t xml:space="preserve">John: There would be like that </w:t>
      </w:r>
      <w:r w:rsidRPr="00BE2C1D">
        <w:rPr>
          <w:b/>
          <w:sz w:val="20"/>
          <w:szCs w:val="20"/>
        </w:rPr>
        <w:t>odd</w:t>
      </w:r>
      <w:r w:rsidRPr="00BE2C1D">
        <w:rPr>
          <w:sz w:val="20"/>
          <w:szCs w:val="20"/>
        </w:rPr>
        <w:t xml:space="preserve"> teacher that would just be a bit like ‘Oh, are you okay? Can you do this?’ and everything.</w:t>
      </w:r>
    </w:p>
    <w:p w14:paraId="43301D65" w14:textId="77777777" w:rsidR="00BE2C1D" w:rsidRPr="00BE2C1D" w:rsidRDefault="00BE2C1D" w:rsidP="00BE2C1D">
      <w:pPr>
        <w:spacing w:line="360" w:lineRule="auto"/>
        <w:jc w:val="both"/>
        <w:rPr>
          <w:sz w:val="20"/>
          <w:szCs w:val="20"/>
        </w:rPr>
      </w:pPr>
      <w:r w:rsidRPr="00BE2C1D">
        <w:rPr>
          <w:sz w:val="20"/>
          <w:szCs w:val="20"/>
        </w:rPr>
        <w:t xml:space="preserve"> </w:t>
      </w:r>
      <w:r w:rsidRPr="00BE2C1D">
        <w:rPr>
          <w:sz w:val="20"/>
          <w:szCs w:val="20"/>
        </w:rPr>
        <w:tab/>
        <w:t>Louise &amp; Mary: Yeah.</w:t>
      </w:r>
    </w:p>
    <w:p w14:paraId="27E488FB" w14:textId="77777777" w:rsidR="00BE2C1D" w:rsidRPr="00BE2C1D" w:rsidRDefault="00BE2C1D" w:rsidP="00BE2C1D">
      <w:pPr>
        <w:spacing w:line="360" w:lineRule="auto"/>
        <w:ind w:left="720"/>
        <w:jc w:val="both"/>
        <w:rPr>
          <w:sz w:val="20"/>
          <w:szCs w:val="20"/>
        </w:rPr>
      </w:pPr>
      <w:r w:rsidRPr="00BE2C1D">
        <w:rPr>
          <w:sz w:val="20"/>
          <w:szCs w:val="20"/>
        </w:rPr>
        <w:t>John: And I ‘ll be like: ‘No, I am fine.’ After a while, just a couple of lessons, they ‘d be fine with it.</w:t>
      </w:r>
    </w:p>
    <w:p w14:paraId="0567BE22" w14:textId="77777777" w:rsidR="00BE2C1D" w:rsidRPr="00BE2C1D" w:rsidRDefault="00BE2C1D" w:rsidP="00BE2C1D">
      <w:pPr>
        <w:spacing w:line="360" w:lineRule="auto"/>
        <w:ind w:left="720"/>
        <w:jc w:val="both"/>
        <w:rPr>
          <w:sz w:val="20"/>
          <w:szCs w:val="20"/>
        </w:rPr>
      </w:pPr>
      <w:r w:rsidRPr="00BE2C1D">
        <w:rPr>
          <w:sz w:val="20"/>
          <w:szCs w:val="20"/>
        </w:rPr>
        <w:t>Louise: Yeah. At the start, they just, at the start, they don’t know if you’re capable of doing everything (John: Yeah), so they specifically ask you: “Can you do this? Are you okay?”</w:t>
      </w:r>
    </w:p>
    <w:p w14:paraId="77F5D39F" w14:textId="77777777" w:rsidR="00BE2C1D" w:rsidRPr="00BE2C1D" w:rsidRDefault="00BE2C1D" w:rsidP="00BE2C1D">
      <w:pPr>
        <w:spacing w:line="360" w:lineRule="auto"/>
        <w:jc w:val="both"/>
        <w:rPr>
          <w:sz w:val="20"/>
          <w:szCs w:val="20"/>
        </w:rPr>
      </w:pPr>
      <w:r w:rsidRPr="00BE2C1D">
        <w:rPr>
          <w:sz w:val="20"/>
          <w:szCs w:val="20"/>
        </w:rPr>
        <w:t xml:space="preserve"> </w:t>
      </w:r>
      <w:r w:rsidRPr="00BE2C1D">
        <w:rPr>
          <w:sz w:val="20"/>
          <w:szCs w:val="20"/>
        </w:rPr>
        <w:tab/>
        <w:t xml:space="preserve">Mary: Yeah. </w:t>
      </w:r>
    </w:p>
    <w:p w14:paraId="2CC48096" w14:textId="77777777" w:rsidR="00BE2C1D" w:rsidRPr="00BE2C1D" w:rsidRDefault="00BE2C1D" w:rsidP="00BE2C1D">
      <w:pPr>
        <w:spacing w:line="360" w:lineRule="auto"/>
        <w:jc w:val="both"/>
        <w:rPr>
          <w:sz w:val="20"/>
          <w:szCs w:val="20"/>
        </w:rPr>
      </w:pPr>
      <w:r w:rsidRPr="00BE2C1D">
        <w:rPr>
          <w:sz w:val="20"/>
          <w:szCs w:val="20"/>
        </w:rPr>
        <w:t xml:space="preserve"> </w:t>
      </w:r>
      <w:r w:rsidRPr="00BE2C1D">
        <w:rPr>
          <w:sz w:val="20"/>
          <w:szCs w:val="20"/>
        </w:rPr>
        <w:tab/>
        <w:t>John: Yeah, that like.</w:t>
      </w:r>
    </w:p>
    <w:p w14:paraId="0985BDDB" w14:textId="77777777" w:rsidR="00BE2C1D" w:rsidRPr="00BE2C1D" w:rsidRDefault="00BE2C1D" w:rsidP="00BE2C1D">
      <w:pPr>
        <w:spacing w:line="360" w:lineRule="auto"/>
        <w:jc w:val="both"/>
        <w:rPr>
          <w:sz w:val="20"/>
          <w:szCs w:val="20"/>
        </w:rPr>
      </w:pPr>
      <w:r w:rsidRPr="00BE2C1D">
        <w:rPr>
          <w:sz w:val="20"/>
          <w:szCs w:val="20"/>
        </w:rPr>
        <w:t xml:space="preserve"> </w:t>
      </w:r>
      <w:r w:rsidRPr="00BE2C1D">
        <w:rPr>
          <w:sz w:val="20"/>
          <w:szCs w:val="20"/>
        </w:rPr>
        <w:tab/>
        <w:t>Louise: “Do you need anything?” But you don’t. (bold added)</w:t>
      </w:r>
    </w:p>
    <w:p w14:paraId="6AD13959" w14:textId="32E541C8" w:rsidR="00BE2C1D" w:rsidRPr="00BE2C1D" w:rsidRDefault="00BE2C1D" w:rsidP="00BE2C1D">
      <w:pPr>
        <w:spacing w:line="360" w:lineRule="auto"/>
        <w:jc w:val="both"/>
        <w:rPr>
          <w:rFonts w:cstheme="minorHAnsi"/>
        </w:rPr>
      </w:pPr>
      <w:r w:rsidRPr="00BE2C1D">
        <w:t>This story is similar to what these young people had shared about their TAs in relation to the issue of independence (see pp. 1</w:t>
      </w:r>
      <w:r w:rsidR="008A6F4D">
        <w:t>32</w:t>
      </w:r>
      <w:r w:rsidRPr="00BE2C1D">
        <w:t>-13</w:t>
      </w:r>
      <w:r w:rsidR="008A6F4D">
        <w:t>7</w:t>
      </w:r>
      <w:r w:rsidRPr="00BE2C1D">
        <w:t>). In both stories, the young people expressed their discomfort about the assumptions the teachers and the TAs made about their capabilities (or lack of) of doing things independently, resulting in the dys-appearance of their bodies. As Davis and Watson (2001: 684) asserted, ‘Judgements of ability are not value free because they are interlinked with the structural organisation of schools, and the beliefs and actions of different adults and children’. These judgements also emerged from and reinforced what Pr</w:t>
      </w:r>
      <w:r w:rsidRPr="00BE2C1D">
        <w:rPr>
          <w:rFonts w:ascii="Calibri" w:hAnsi="Calibri" w:cs="Calibri"/>
          <w:bCs/>
        </w:rPr>
        <w:t>iestley (1998: 214) referred to as a ‘</w:t>
      </w:r>
      <w:r w:rsidRPr="00BE2C1D">
        <w:rPr>
          <w:rFonts w:cstheme="minorHAnsi"/>
        </w:rPr>
        <w:t xml:space="preserve">pathologized construction of childhood disability’, which ‘enforces a unitary identity upon the child - as a ‘disabled child’. The implications of such an identity were raised in Angela’s story: </w:t>
      </w:r>
    </w:p>
    <w:p w14:paraId="7791ED69" w14:textId="77777777" w:rsidR="00BE2C1D" w:rsidRPr="00BE2C1D" w:rsidRDefault="00BE2C1D" w:rsidP="00BE2C1D">
      <w:pPr>
        <w:spacing w:line="360" w:lineRule="auto"/>
        <w:ind w:left="720"/>
        <w:jc w:val="both"/>
        <w:rPr>
          <w:sz w:val="20"/>
          <w:szCs w:val="20"/>
        </w:rPr>
      </w:pPr>
      <w:r w:rsidRPr="00BE2C1D">
        <w:rPr>
          <w:sz w:val="20"/>
          <w:szCs w:val="20"/>
        </w:rPr>
        <w:t xml:space="preserve">Angela. Oh yeah, that happens like a lot. Like, it was Maths, it was like my first Maths lesson. And they were all like: ‘Oh, come to the front’ and kind of separating me from my friends, cause they were like: ‘Oh, come sit to the front’. And like, when I was gonna get up and get the glue, ‘We‘ll get it, we‘ll get it’. And they were all a bit </w:t>
      </w:r>
      <w:r w:rsidRPr="00BE2C1D">
        <w:rPr>
          <w:b/>
          <w:sz w:val="20"/>
          <w:szCs w:val="20"/>
        </w:rPr>
        <w:t>odd</w:t>
      </w:r>
      <w:r w:rsidRPr="00BE2C1D">
        <w:rPr>
          <w:sz w:val="20"/>
          <w:szCs w:val="20"/>
        </w:rPr>
        <w:t xml:space="preserve"> and </w:t>
      </w:r>
      <w:r w:rsidRPr="00BE2C1D">
        <w:rPr>
          <w:b/>
          <w:bCs/>
          <w:sz w:val="20"/>
          <w:szCs w:val="20"/>
        </w:rPr>
        <w:t>shuffling.</w:t>
      </w:r>
      <w:r w:rsidRPr="00BE2C1D">
        <w:rPr>
          <w:sz w:val="20"/>
          <w:szCs w:val="20"/>
        </w:rPr>
        <w:t xml:space="preserve"> [..] It lasted for about two weeks and then they calmed down a bit and realised that I can do this stuff myself (bold added).</w:t>
      </w:r>
    </w:p>
    <w:p w14:paraId="344DCC82" w14:textId="77777777" w:rsidR="00BE2C1D" w:rsidRPr="00BE2C1D" w:rsidRDefault="00BE2C1D" w:rsidP="00BE2C1D">
      <w:pPr>
        <w:spacing w:line="360" w:lineRule="auto"/>
        <w:jc w:val="both"/>
      </w:pPr>
      <w:r w:rsidRPr="00BE2C1D">
        <w:lastRenderedPageBreak/>
        <w:t xml:space="preserve">Angela’s story illustrated how her teachers’ - potentially benevolent - initiatives to be of help came with certain side effects, such as being separated by her friends. Nevertheless, what Angela’s story and the one above also indicated was the ‘terror’ of teachers to ‘get it right’, an outcome of the institutional pressures exercised on teachers to demonstrate that they ‘know what to do’ when a young disabled person is in their class. This illustrates what Ball (2003: 216) referred to as the ‘terrors of performativity’, meaning that teachers work within a performative culture where they always need to put together and perform this ‘all-knowing’ persona. Teachers also find themselves under institutional surveillance and, hence, govern their conduct accordingly (Perryman et al. 2018).  </w:t>
      </w:r>
    </w:p>
    <w:p w14:paraId="27AB5857" w14:textId="77777777" w:rsidR="00BE2C1D" w:rsidRPr="00BE2C1D" w:rsidRDefault="00BE2C1D" w:rsidP="00BE2C1D">
      <w:pPr>
        <w:spacing w:line="360" w:lineRule="auto"/>
        <w:jc w:val="both"/>
      </w:pPr>
      <w:r w:rsidRPr="00BE2C1D">
        <w:t xml:space="preserve">Furthermore, while disabled students’ questioning of their capabilities by the teachers was identified in other studies too (Connors and Stalker 2007; Davis and Watson 2001; McArthur et al. 2007; Whitburn 2014), less attention has been paid to the hidden labour (Scully 2010), including the emotional labour (Hochschild 1979; Liddiard 2018) these students put to prove to their teachers that they are capable. Leder (1990) argued that the dys-appearing body exerts a ‘telic demand for interpretation and repair’ (ibid: 81), which involves ‘ongoing hermeneutic and pragmatic projects’ (ibid: 86), meaning that one is expected to and is responsible for ‘fixing’ their body’s dys-appearance. Yates et al. (2018: 93) proposed that </w:t>
      </w:r>
    </w:p>
    <w:p w14:paraId="7368D586" w14:textId="77777777" w:rsidR="00BE2C1D" w:rsidRPr="00BE2C1D" w:rsidRDefault="00BE2C1D" w:rsidP="00BE2C1D">
      <w:pPr>
        <w:spacing w:line="360" w:lineRule="auto"/>
        <w:ind w:left="720"/>
        <w:jc w:val="both"/>
        <w:rPr>
          <w:sz w:val="20"/>
          <w:szCs w:val="20"/>
        </w:rPr>
      </w:pPr>
      <w:r w:rsidRPr="00BE2C1D">
        <w:rPr>
          <w:sz w:val="20"/>
          <w:szCs w:val="20"/>
        </w:rPr>
        <w:t>This telic demand also requires us to (re)orientate ourselves in the context of our social world in order to make sense of the perceived bodily malfunction or unease, and subsequently constitutes an important aspect of our subjectivity.</w:t>
      </w:r>
    </w:p>
    <w:p w14:paraId="17D4604E" w14:textId="77777777" w:rsidR="00BE2C1D" w:rsidRPr="00BE2C1D" w:rsidRDefault="00BE2C1D" w:rsidP="00BE2C1D">
      <w:pPr>
        <w:spacing w:line="360" w:lineRule="auto"/>
        <w:jc w:val="both"/>
      </w:pPr>
      <w:r w:rsidRPr="00BE2C1D">
        <w:t>This telic demand can take various forms, such as resistance e.g. how the young people referred to their teachers as ‘odd’, locating the problem of dys-appearance on them, or by ‘ameliorating’ what could be perceived as a ‘bad performance’ by putting extra, hidden labour. This telic demand for extra, hidden, physical and emotional labour was evident in Melrose’s story:</w:t>
      </w:r>
    </w:p>
    <w:p w14:paraId="497F5618" w14:textId="77777777" w:rsidR="00BE2C1D" w:rsidRPr="00BE2C1D" w:rsidRDefault="00BE2C1D" w:rsidP="00BE2C1D">
      <w:pPr>
        <w:spacing w:line="360" w:lineRule="auto"/>
        <w:ind w:left="720"/>
        <w:jc w:val="both"/>
        <w:rPr>
          <w:sz w:val="20"/>
          <w:szCs w:val="20"/>
        </w:rPr>
      </w:pPr>
      <w:r w:rsidRPr="00BE2C1D">
        <w:rPr>
          <w:sz w:val="20"/>
          <w:szCs w:val="20"/>
        </w:rPr>
        <w:t xml:space="preserve">Melrose: Meeting the teachers and getting the vibes from the teachers and what, how they reacted to me and things like that. Coz I think when you first meet people, even from a young age, I could feel whether they responded well to me or not. Some people have that gaze of panic and you can feel that as well. Em, so it was a lot of me </w:t>
      </w:r>
      <w:r w:rsidRPr="00BE2C1D">
        <w:rPr>
          <w:b/>
          <w:bCs/>
          <w:sz w:val="20"/>
          <w:szCs w:val="20"/>
        </w:rPr>
        <w:t>trying to again, prove that I was capable. So that was quite hard at the beginning as well. [..]Teachers sort of being a bit wary of you again</w:t>
      </w:r>
      <w:r w:rsidRPr="00BE2C1D">
        <w:rPr>
          <w:sz w:val="20"/>
          <w:szCs w:val="20"/>
        </w:rPr>
        <w:t xml:space="preserve">, it‘s kind a bit of a cycle really when I think about it, em, but it was tough, it was very tough (bold added). </w:t>
      </w:r>
    </w:p>
    <w:p w14:paraId="3516B4AE" w14:textId="77777777" w:rsidR="00BE2C1D" w:rsidRPr="00BE2C1D" w:rsidRDefault="00BE2C1D" w:rsidP="00BE2C1D">
      <w:pPr>
        <w:spacing w:line="360" w:lineRule="auto"/>
        <w:jc w:val="both"/>
      </w:pPr>
      <w:r w:rsidRPr="00BE2C1D">
        <w:t>Besides the hidden labour to prove that she was capable, Melrose addressed explicitly the emotional labour she had to put as well: ‘it was tough, it was very tough’. She described how she was aware of her teachers’ feelings and reactions to her disabled body, which dys-appeared it, and the psycho-</w:t>
      </w:r>
      <w:r w:rsidRPr="00BE2C1D">
        <w:lastRenderedPageBreak/>
        <w:t xml:space="preserve">emotional toll such dys-apperance had on her. This resonated with Titchkosky and Michalko’s (2012: 135) argument that  </w:t>
      </w:r>
    </w:p>
    <w:p w14:paraId="431E4882" w14:textId="77777777" w:rsidR="00BE2C1D" w:rsidRPr="00BE2C1D" w:rsidRDefault="00BE2C1D" w:rsidP="00BE2C1D">
      <w:pPr>
        <w:spacing w:after="0" w:line="360" w:lineRule="auto"/>
        <w:ind w:left="720"/>
        <w:jc w:val="both"/>
        <w:rPr>
          <w:rFonts w:ascii="Calibri" w:eastAsia="Times New Roman" w:hAnsi="Calibri" w:cs="Calibri"/>
          <w:sz w:val="20"/>
          <w:szCs w:val="20"/>
          <w:lang w:eastAsia="en-GB"/>
        </w:rPr>
      </w:pPr>
      <w:bookmarkStart w:id="142" w:name="_Hlk35778232"/>
      <w:r w:rsidRPr="00BE2C1D">
        <w:rPr>
          <w:rFonts w:ascii="Calibri" w:eastAsia="Times New Roman" w:hAnsi="Calibri" w:cs="Calibri"/>
          <w:sz w:val="20"/>
          <w:szCs w:val="20"/>
          <w:lang w:eastAsia="en-GB"/>
        </w:rPr>
        <w:t xml:space="preserve">Disabled people experience the ways non-disabled others experience us. We experience their experience, or better, we experience ourselves through their experiences of us. Through the contemporary frame of disability-as-problem, we experience ourselves as having a problem and we also have the 'strange experience' of being a problem to and for others.  </w:t>
      </w:r>
    </w:p>
    <w:bookmarkEnd w:id="142"/>
    <w:p w14:paraId="7BD08022" w14:textId="77777777" w:rsidR="00BE2C1D" w:rsidRPr="00BE2C1D" w:rsidRDefault="00BE2C1D" w:rsidP="00BE2C1D">
      <w:pPr>
        <w:spacing w:after="0" w:line="360" w:lineRule="auto"/>
        <w:jc w:val="both"/>
        <w:rPr>
          <w:rFonts w:ascii="Calibri" w:eastAsia="Times New Roman" w:hAnsi="Calibri" w:cs="Calibri"/>
          <w:lang w:eastAsia="en-GB"/>
        </w:rPr>
      </w:pPr>
      <w:r w:rsidRPr="00BE2C1D">
        <w:rPr>
          <w:rFonts w:ascii="Calibri" w:eastAsia="Times New Roman" w:hAnsi="Calibri" w:cs="Calibri"/>
          <w:lang w:eastAsia="en-GB"/>
        </w:rPr>
        <w:t>Moreover, Melrose discussed how on certain occasions, no matter how much hidden labour she would put, her body continued to dys-appear:</w:t>
      </w:r>
    </w:p>
    <w:p w14:paraId="08D0A18D" w14:textId="77777777" w:rsidR="00BE2C1D" w:rsidRPr="00BE2C1D" w:rsidRDefault="00BE2C1D" w:rsidP="00BE2C1D">
      <w:pPr>
        <w:spacing w:line="360" w:lineRule="auto"/>
        <w:ind w:left="720"/>
        <w:jc w:val="both"/>
        <w:rPr>
          <w:sz w:val="20"/>
          <w:szCs w:val="20"/>
        </w:rPr>
      </w:pPr>
      <w:r w:rsidRPr="00BE2C1D">
        <w:rPr>
          <w:sz w:val="20"/>
          <w:szCs w:val="20"/>
        </w:rPr>
        <w:t xml:space="preserve">Melrose: Mum and dad went to a parents’ evening and one teacher said: ‘She just can’t really do much.’ And it was Geography. I hated Geography anyway. Who likes Geography? But I tried, I tried my best and I wasn’t far behind. You know, I just didn’t enjoy  it, and they said, mum and dad said: ‘What is she not good at? What can we do to improve?’ Cause that’s who they are, they don’t accept that I can’t do something. And he was, he didn’t know what to say, he didn’t have an answer. It was just the fact that he didn’t like the fact that he had to put a little bit more effort, em, and I just don’t think that he was very open-minded to disabled students and didn’t want to really. So, I definitely crossed some people that were just not interested and that was sort of learning to just accepting that I am not gonna change a person. </w:t>
      </w:r>
    </w:p>
    <w:p w14:paraId="46D241D0" w14:textId="77777777" w:rsidR="00BE2C1D" w:rsidRPr="00BE2C1D" w:rsidRDefault="00BE2C1D" w:rsidP="00BE2C1D">
      <w:pPr>
        <w:spacing w:line="360" w:lineRule="auto"/>
        <w:jc w:val="both"/>
      </w:pPr>
      <w:r w:rsidRPr="00BE2C1D">
        <w:t>As Melrose acknowledged, despite trying her best, her efforts were utterly dismissed by her Geography teacher (‘She just can’t really do much), who could not provide any helpful responses on how Melrose could have improved. This response reflected the teacher’s deficit understanding of Melrose’s disabled body (Goodley 2016) on the one hand, and the awkwardness experienced by Melrose due to the unwillingness of her teacher to adopt an inclusive, accessible pedagogy that would improve her academic performance (Whitburn 2014) on the other hand. Additionally, Melrose further noted that her teachers also had to put some extra labour e.g. making teaching materials accessible for her, something they reacted negatively to (‘I definitely crossed some people’). This led to the further dys-appearance of her body, which was experienced as a problem to others (Titchkosky and Michalko 2012). This was an upsetting experience, which Melrose had to put more emotional labour to learn to live with it. Discussing further the psycho-emotional toll of her body’s dys-appearance, Melrose further stated:</w:t>
      </w:r>
    </w:p>
    <w:p w14:paraId="0B33AD1F" w14:textId="77777777" w:rsidR="00BE2C1D" w:rsidRPr="00BE2C1D" w:rsidRDefault="00BE2C1D" w:rsidP="00BE2C1D">
      <w:pPr>
        <w:spacing w:line="360" w:lineRule="auto"/>
        <w:ind w:left="720"/>
        <w:jc w:val="both"/>
        <w:rPr>
          <w:sz w:val="20"/>
          <w:szCs w:val="20"/>
        </w:rPr>
      </w:pPr>
      <w:r w:rsidRPr="00BE2C1D">
        <w:rPr>
          <w:sz w:val="20"/>
          <w:szCs w:val="20"/>
        </w:rPr>
        <w:t>Melrose: So, he wasn’t a very likeable person anyway and he liked the men at the class, he didn’t really like the women. So, I wasn’t too worried, but it did in the back of my head. I was frustrated that he thought that I was weaker. It’s that weakness that I don’t like if people think I can’t do something, because I am fragile or weak or whatever.</w:t>
      </w:r>
    </w:p>
    <w:p w14:paraId="58852898" w14:textId="77777777" w:rsidR="00BE2C1D" w:rsidRPr="00BE2C1D" w:rsidRDefault="00BE2C1D" w:rsidP="00BE2C1D">
      <w:pPr>
        <w:spacing w:line="360" w:lineRule="auto"/>
        <w:jc w:val="both"/>
      </w:pPr>
      <w:r w:rsidRPr="00BE2C1D">
        <w:lastRenderedPageBreak/>
        <w:t xml:space="preserve">Melrose’s dys-appearance did not have to do only with her disability, but also with her sex. This was a story of intersectional dys-appearance, as the female, disabled body appeared as a problem, as fragile and weak (Wendell, 1996). The psycho-emotional disablism of such dys-appearance was also constant, as it kept playing out in Melrose’s head. </w:t>
      </w:r>
    </w:p>
    <w:p w14:paraId="0773411D" w14:textId="77777777" w:rsidR="00BE2C1D" w:rsidRPr="00BE2C1D" w:rsidRDefault="00BE2C1D" w:rsidP="00BE2C1D">
      <w:pPr>
        <w:spacing w:line="360" w:lineRule="auto"/>
        <w:jc w:val="both"/>
      </w:pPr>
      <w:r w:rsidRPr="00BE2C1D">
        <w:t xml:space="preserve">Rachael also shared a story illustrative of the long-lasting, psycho-emotional effects of dys-appearance: </w:t>
      </w:r>
    </w:p>
    <w:p w14:paraId="6B95AC9B" w14:textId="77777777" w:rsidR="00BE2C1D" w:rsidRPr="00BE2C1D" w:rsidRDefault="00BE2C1D" w:rsidP="00BE2C1D">
      <w:pPr>
        <w:spacing w:line="360" w:lineRule="auto"/>
        <w:ind w:left="720"/>
        <w:jc w:val="both"/>
        <w:rPr>
          <w:sz w:val="20"/>
          <w:szCs w:val="20"/>
          <w:lang w:val="en-US"/>
        </w:rPr>
      </w:pPr>
      <w:r w:rsidRPr="00BE2C1D">
        <w:rPr>
          <w:sz w:val="20"/>
          <w:szCs w:val="20"/>
          <w:lang w:val="en-US"/>
        </w:rPr>
        <w:t xml:space="preserve">Rachael: I remember one time, this is a really, this is one of my more </w:t>
      </w:r>
      <w:r w:rsidRPr="00BE2C1D">
        <w:rPr>
          <w:bCs/>
          <w:sz w:val="20"/>
          <w:szCs w:val="20"/>
          <w:lang w:val="en-US"/>
        </w:rPr>
        <w:t>traumatic s</w:t>
      </w:r>
      <w:r w:rsidRPr="00BE2C1D">
        <w:rPr>
          <w:sz w:val="20"/>
          <w:szCs w:val="20"/>
          <w:lang w:val="en-US"/>
        </w:rPr>
        <w:t>chool memories.  I was probably, I don’t know, 13 (?), something like that, and we had to have a school photo. And we were queuing up and the chair was really high, I don’t know why. And I was, like I came in a little chair, I was like: ‘How do I get on the chair?’ And I was gonna say: ‘Can you bring me another chair? And I will stand on it and I will get on the picture’. And then, this teacher, without asking me, just picked me up and put me on the chair in front of all these Sixth formers and I was just mortified. I was so embarrassed and I think, if you, if I had said anything, and I was like, I thought I was gonna cry or, even now, I am like, it’s so embarrassing. And, so my picture was really rubbish, so I just had like to fit me out. Why did you pick me up in front of everyone? And I think he was, he didn’t even think about it. He just thought ‘I am being helpful. Yeah, this is the practical way to get you onto the chair.’ But in an age that you are trying to be independent and don’t want any extra attention, it was the worst thing (giggle) he could have done. I just felt like you just made me look like a baby in front of all these big kids and I wanna be, yeah, cool and be taken seriously. And also, you don’t pick me up (giggle).</w:t>
      </w:r>
      <w:r w:rsidRPr="00BE2C1D">
        <w:rPr>
          <w:b/>
          <w:sz w:val="20"/>
          <w:szCs w:val="20"/>
          <w:lang w:val="en-US"/>
        </w:rPr>
        <w:t xml:space="preserve"> </w:t>
      </w:r>
      <w:r w:rsidRPr="00BE2C1D">
        <w:rPr>
          <w:sz w:val="20"/>
          <w:szCs w:val="20"/>
          <w:lang w:val="en-US"/>
        </w:rPr>
        <w:t xml:space="preserve">[..]It’s really weird, a weird thing to do. </w:t>
      </w:r>
      <w:r w:rsidRPr="00BE2C1D">
        <w:rPr>
          <w:b/>
          <w:sz w:val="20"/>
          <w:szCs w:val="20"/>
          <w:lang w:val="en-US"/>
        </w:rPr>
        <w:t>But he was a weird teacher</w:t>
      </w:r>
      <w:r w:rsidRPr="00BE2C1D">
        <w:rPr>
          <w:sz w:val="20"/>
          <w:szCs w:val="20"/>
          <w:lang w:val="en-US"/>
        </w:rPr>
        <w:t xml:space="preserve">. Em, so yeah, that was probably one of the most times when I was more aware and upset about being so small (bold added).  </w:t>
      </w:r>
    </w:p>
    <w:p w14:paraId="680BA38D" w14:textId="77777777" w:rsidR="00BE2C1D" w:rsidRPr="00BE2C1D" w:rsidRDefault="00BE2C1D" w:rsidP="00BE2C1D">
      <w:pPr>
        <w:spacing w:line="360" w:lineRule="auto"/>
        <w:jc w:val="both"/>
        <w:rPr>
          <w:rFonts w:ascii="Calibri" w:hAnsi="Calibri" w:cs="Calibri"/>
          <w:bCs/>
        </w:rPr>
      </w:pPr>
      <w:r w:rsidRPr="00BE2C1D">
        <w:rPr>
          <w:lang w:val="en-US"/>
        </w:rPr>
        <w:t>This story of dys-appearance raised many issues. Firstly, the psycho-emotional toll of Rachael’s dys-appearance was brought up from the very beginning of the narration (one of my more traumatic school memories) and kept coming up throughout it (I was just mortified, I was so embarrassed and I think, if you, if I had said anything, and I was like, I thought I was gonna cry or, even now I am like it’s so embarrassing).  Secondly, as Paterson and Hughes (1999: 606) contend, ‘</w:t>
      </w:r>
      <w:r w:rsidRPr="00BE2C1D">
        <w:rPr>
          <w:rFonts w:ascii="Calibri" w:hAnsi="Calibri" w:cs="Calibri"/>
          <w:bCs/>
          <w:lang w:val="en-US"/>
        </w:rPr>
        <w:t>a</w:t>
      </w:r>
      <w:r w:rsidRPr="00BE2C1D">
        <w:rPr>
          <w:rFonts w:ascii="Calibri" w:hAnsi="Calibri" w:cs="Calibri"/>
          <w:bCs/>
        </w:rPr>
        <w:t>n integral element of the `dys-appearance’ experienced by disabled people is</w:t>
      </w:r>
      <w:r w:rsidRPr="00BE2C1D">
        <w:rPr>
          <w:rFonts w:ascii="Calibri" w:hAnsi="Calibri" w:cs="Calibri"/>
        </w:rPr>
        <w:t xml:space="preserve"> </w:t>
      </w:r>
      <w:r w:rsidRPr="00BE2C1D">
        <w:rPr>
          <w:rFonts w:ascii="Calibri" w:hAnsi="Calibri" w:cs="Calibri"/>
          <w:bCs/>
        </w:rPr>
        <w:t>the everyday reality of condescension, in particular being perceived as the `eternal</w:t>
      </w:r>
      <w:r w:rsidRPr="00BE2C1D">
        <w:rPr>
          <w:rFonts w:ascii="Calibri" w:hAnsi="Calibri" w:cs="Calibri"/>
        </w:rPr>
        <w:t xml:space="preserve"> </w:t>
      </w:r>
      <w:r w:rsidRPr="00BE2C1D">
        <w:rPr>
          <w:rFonts w:ascii="Calibri" w:hAnsi="Calibri" w:cs="Calibri"/>
          <w:bCs/>
        </w:rPr>
        <w:t xml:space="preserve">child’.’ Rachael was infantilised by her teacher in front of her peers when she was picked up. This infantilising experience acted as a barrier to being (Thomas 2004) for Rachael, as it made her appear in ways that she did not like (not cool, not independent, not serious). Moreover, she was picked up by her teacher without any form of consent from her, an experience of objectification and dys-appearance which is quite common among people with RG (Shakespeare et al. 2010). Furthermore, this feeling of entitlement of non-disabled people to intrude disabled people’s personal spaces e.g. by touching them, grabbing them and so on, with the intention of ‘helping’ them, without asking them, has been discussed (Kavanagh 2018). This feeling of </w:t>
      </w:r>
      <w:r w:rsidRPr="00BE2C1D">
        <w:rPr>
          <w:rFonts w:ascii="Calibri" w:hAnsi="Calibri" w:cs="Calibri"/>
          <w:bCs/>
        </w:rPr>
        <w:lastRenderedPageBreak/>
        <w:t xml:space="preserve">entitlement, like in Rachael’s story, is also a gendered one, in terms of how (disabled) women’s bodies dys-appear and are subject to objectification in (disabling) patriarchal cultures (O’Neil, 2019). Finally, similar to other stories, Rachael resisted her body’s dys-appearance by locating the problem on the teacher, describing him as ‘weird’. </w:t>
      </w:r>
    </w:p>
    <w:p w14:paraId="218E5222" w14:textId="77777777" w:rsidR="00BE2C1D" w:rsidRPr="00BE2C1D" w:rsidRDefault="00BE2C1D" w:rsidP="00BE2C1D">
      <w:pPr>
        <w:spacing w:line="360" w:lineRule="auto"/>
        <w:jc w:val="both"/>
        <w:rPr>
          <w:rFonts w:ascii="Calibri" w:hAnsi="Calibri" w:cs="Calibri"/>
          <w:bCs/>
        </w:rPr>
      </w:pPr>
      <w:r w:rsidRPr="00BE2C1D">
        <w:rPr>
          <w:rFonts w:ascii="Calibri" w:hAnsi="Calibri" w:cs="Calibri"/>
          <w:bCs/>
        </w:rPr>
        <w:t>Harry’s body also dys-appeared when his teacher singled him out and told him off for not complying with the rules:</w:t>
      </w:r>
    </w:p>
    <w:p w14:paraId="6BF1AA21" w14:textId="77777777" w:rsidR="00BE2C1D" w:rsidRPr="00BE2C1D" w:rsidRDefault="00BE2C1D" w:rsidP="00BE2C1D">
      <w:pPr>
        <w:spacing w:line="360" w:lineRule="auto"/>
        <w:ind w:left="720"/>
        <w:jc w:val="both"/>
        <w:rPr>
          <w:sz w:val="20"/>
          <w:szCs w:val="20"/>
        </w:rPr>
      </w:pPr>
      <w:r w:rsidRPr="00BE2C1D">
        <w:rPr>
          <w:sz w:val="20"/>
          <w:szCs w:val="20"/>
        </w:rPr>
        <w:t>Harry: Like, for example, once, cause we were</w:t>
      </w:r>
      <w:r w:rsidRPr="00BE2C1D">
        <w:rPr>
          <w:rFonts w:ascii="Calibri" w:hAnsi="Calibri" w:cs="Calibri"/>
          <w:bCs/>
        </w:rPr>
        <w:t xml:space="preserve"> </w:t>
      </w:r>
      <w:r w:rsidRPr="00BE2C1D">
        <w:rPr>
          <w:sz w:val="20"/>
          <w:szCs w:val="20"/>
        </w:rPr>
        <w:t xml:space="preserve">central sites, we were crossing the road, my friends and I. It was after school, but like a teacher was there. And me and 5 friends crossed the road. And then there were no cars at all in the whole structure of road, but it was a red man (refers to the light). But there was no cars, obviously I was just gonna cross, coz I was outside the school. And then the teacher just stopped me and nobody else from my group. They were like (with an authoritative, angry voice): ‘Why are you crossing the road?’ And I was like: </w:t>
      </w:r>
      <w:r w:rsidRPr="00BE2C1D">
        <w:rPr>
          <w:b/>
          <w:sz w:val="20"/>
          <w:szCs w:val="20"/>
        </w:rPr>
        <w:t>‘We were all doing it, why aren’t we all getting told off?’</w:t>
      </w:r>
      <w:r w:rsidRPr="00BE2C1D">
        <w:rPr>
          <w:sz w:val="20"/>
          <w:szCs w:val="20"/>
        </w:rPr>
        <w:t xml:space="preserve"> But he is like: ‘No, I am speaking to you’. And then he was, he was being really, I found quite rude and, you know, I was just saying like: ‘</w:t>
      </w:r>
      <w:r w:rsidRPr="00BE2C1D">
        <w:rPr>
          <w:b/>
          <w:sz w:val="20"/>
          <w:szCs w:val="20"/>
        </w:rPr>
        <w:t xml:space="preserve">Why? I don’t mind you telling me off for it, but why just does it need to single out me?’ </w:t>
      </w:r>
      <w:r w:rsidRPr="00BE2C1D">
        <w:rPr>
          <w:sz w:val="20"/>
          <w:szCs w:val="20"/>
        </w:rPr>
        <w:t>And then he got like, it’s got into a quite big argument in the end and I was just saying how, coz I thought he was being quite like demeaning as well, like sort of patronizing, and sort of saying like: ‘No, it’s been only you’, and it sort of implies something about my height. And I was like: ‘</w:t>
      </w:r>
      <w:r w:rsidRPr="00BE2C1D">
        <w:rPr>
          <w:b/>
          <w:sz w:val="20"/>
          <w:szCs w:val="20"/>
        </w:rPr>
        <w:t>It’s a bit discriminatory</w:t>
      </w:r>
      <w:r w:rsidRPr="00BE2C1D">
        <w:rPr>
          <w:sz w:val="20"/>
          <w:szCs w:val="20"/>
        </w:rPr>
        <w:t xml:space="preserve">, em, to try and’, like it was just the stuff he was saying and the tone which he was saying stuff, which is quite bad. And then, and then I sort of spoke to him. But in the end he was like, he was very </w:t>
      </w:r>
      <w:r w:rsidRPr="00BE2C1D">
        <w:rPr>
          <w:b/>
          <w:sz w:val="20"/>
          <w:szCs w:val="20"/>
        </w:rPr>
        <w:t>immature</w:t>
      </w:r>
      <w:r w:rsidRPr="00BE2C1D">
        <w:rPr>
          <w:sz w:val="20"/>
          <w:szCs w:val="20"/>
        </w:rPr>
        <w:t xml:space="preserve"> teacher, he was like: ‘</w:t>
      </w:r>
      <w:r w:rsidRPr="00BE2C1D">
        <w:rPr>
          <w:b/>
          <w:sz w:val="20"/>
          <w:szCs w:val="20"/>
        </w:rPr>
        <w:t>Oh, you’re using your disability as an excuse or something’</w:t>
      </w:r>
      <w:r w:rsidRPr="00BE2C1D">
        <w:rPr>
          <w:sz w:val="20"/>
          <w:szCs w:val="20"/>
        </w:rPr>
        <w:t>. So, I was like, I was like: ‘</w:t>
      </w:r>
      <w:r w:rsidRPr="00BE2C1D">
        <w:rPr>
          <w:b/>
          <w:sz w:val="20"/>
          <w:szCs w:val="20"/>
        </w:rPr>
        <w:t>That’s really out of order’.</w:t>
      </w:r>
      <w:r w:rsidRPr="00BE2C1D">
        <w:rPr>
          <w:sz w:val="20"/>
          <w:szCs w:val="20"/>
        </w:rPr>
        <w:t xml:space="preserve"> Em, and then I think that time again, </w:t>
      </w:r>
      <w:r w:rsidRPr="00BE2C1D">
        <w:rPr>
          <w:b/>
          <w:sz w:val="20"/>
          <w:szCs w:val="20"/>
        </w:rPr>
        <w:t>I went to the Head and that teacher was like spoken to.</w:t>
      </w:r>
      <w:r w:rsidRPr="00BE2C1D">
        <w:rPr>
          <w:sz w:val="20"/>
          <w:szCs w:val="20"/>
        </w:rPr>
        <w:t xml:space="preserve"> I think that was the only teacher to have that (bold added). </w:t>
      </w:r>
    </w:p>
    <w:p w14:paraId="3118B4A4" w14:textId="11D8F5F9" w:rsidR="00BE2C1D" w:rsidRPr="00BE2C1D" w:rsidRDefault="00BE2C1D" w:rsidP="00BE2C1D">
      <w:pPr>
        <w:spacing w:line="360" w:lineRule="auto"/>
        <w:jc w:val="both"/>
      </w:pPr>
      <w:r w:rsidRPr="00BE2C1D">
        <w:t>Harry’s dys-appearance first took place when he was singled out from his friends by his teacher, who made an issue about him crossing the road, but let the others get away with it. When he first attempted to resist his dys-appearance by asking why he was the only one getting told off, the situation gradually escalated, with the teacher dys-appearing further Harry’s body by using his disability against him. Harry then decided to use another means of resistance (other than speaking back to the teacher), which took advantage of the power relations in schools. Specifically, Harry spoke to the head teacher and the teacher was spoken to. His resistance drew on the existent hierarchical power relations between staff members in schools - a form of resistance which was also used against the TAs’ surveillance (see p. 14</w:t>
      </w:r>
      <w:r w:rsidR="008A6F4D">
        <w:t>7</w:t>
      </w:r>
      <w:r w:rsidRPr="00BE2C1D">
        <w:t xml:space="preserve">). It is worth acknowledging here that Harry’s resistance also had to do with the access to power he had due to his gendered (male), classed (middle-class) and racialised (White) background.   </w:t>
      </w:r>
    </w:p>
    <w:p w14:paraId="1BD6CCC6" w14:textId="77777777" w:rsidR="00BE2C1D" w:rsidRPr="00BE2C1D" w:rsidRDefault="00BE2C1D" w:rsidP="00BE2C1D">
      <w:pPr>
        <w:spacing w:line="360" w:lineRule="auto"/>
        <w:jc w:val="both"/>
        <w:rPr>
          <w:lang w:val="en-US"/>
        </w:rPr>
      </w:pPr>
      <w:r w:rsidRPr="00BE2C1D">
        <w:rPr>
          <w:lang w:val="en-US"/>
        </w:rPr>
        <w:lastRenderedPageBreak/>
        <w:t xml:space="preserve">In the following section, the focus is on stories of dys-appearance in Physical Education, a subject where normative understandings of the body and ability are (re)produced (Evans et al. 2007; Fitzgerald 2006), and, therefore, the disabled body was more likely to dys-appear. </w:t>
      </w:r>
    </w:p>
    <w:p w14:paraId="1A7A8F90" w14:textId="77777777" w:rsidR="00BE2C1D" w:rsidRPr="00BE2C1D" w:rsidRDefault="00BE2C1D" w:rsidP="00BE2C1D">
      <w:pPr>
        <w:keepNext/>
        <w:keepLines/>
        <w:spacing w:before="40" w:after="0" w:line="360" w:lineRule="auto"/>
        <w:jc w:val="both"/>
        <w:outlineLvl w:val="1"/>
        <w:rPr>
          <w:rFonts w:asciiTheme="majorHAnsi" w:eastAsiaTheme="majorEastAsia" w:hAnsiTheme="majorHAnsi" w:cstheme="majorBidi"/>
          <w:color w:val="2F5496" w:themeColor="accent1" w:themeShade="BF"/>
          <w:sz w:val="26"/>
          <w:szCs w:val="26"/>
        </w:rPr>
      </w:pPr>
      <w:bookmarkStart w:id="143" w:name="_Toc39585269"/>
      <w:r w:rsidRPr="00BE2C1D">
        <w:rPr>
          <w:rFonts w:asciiTheme="majorHAnsi" w:eastAsiaTheme="majorEastAsia" w:hAnsiTheme="majorHAnsi" w:cstheme="majorBidi"/>
          <w:color w:val="2F5496" w:themeColor="accent1" w:themeShade="BF"/>
          <w:sz w:val="26"/>
          <w:szCs w:val="26"/>
        </w:rPr>
        <w:t>Dys-appearing in Physical Education</w:t>
      </w:r>
      <w:bookmarkEnd w:id="143"/>
      <w:r w:rsidRPr="00BE2C1D">
        <w:rPr>
          <w:rFonts w:asciiTheme="majorHAnsi" w:eastAsiaTheme="majorEastAsia" w:hAnsiTheme="majorHAnsi" w:cstheme="majorBidi"/>
          <w:color w:val="2F5496" w:themeColor="accent1" w:themeShade="BF"/>
          <w:sz w:val="26"/>
          <w:szCs w:val="26"/>
        </w:rPr>
        <w:t xml:space="preserve"> </w:t>
      </w:r>
    </w:p>
    <w:p w14:paraId="6AE253AA" w14:textId="77777777" w:rsidR="00BE2C1D" w:rsidRPr="00BE2C1D" w:rsidRDefault="00BE2C1D" w:rsidP="00BE2C1D">
      <w:pPr>
        <w:spacing w:line="360" w:lineRule="auto"/>
        <w:jc w:val="both"/>
        <w:rPr>
          <w:rFonts w:cstheme="minorHAnsi"/>
        </w:rPr>
      </w:pPr>
      <w:r w:rsidRPr="00BE2C1D">
        <w:rPr>
          <w:rFonts w:cstheme="minorHAnsi"/>
        </w:rPr>
        <w:t xml:space="preserve">Fitzgerald (2006) and Fitzgerald et al. (2003) noted the lack of disabled young people’s insights into how they experience (their body in) PE and the effects that such experiences have on how they come to see themselves and to be seen by others, including PE teachers and peers. Following them, this section pays close attention to the stories of participants of their experiences of PE. The first section draws on Depauw’s (1997) analytical framework, who identified three groups that disabled people find themselves in relation to sports: in the first group belong disabled people who still remain excluded from sports (the ‘invisibility of disability in sport’) (ibid: 424). The second group involves disabled people who participate in sports as ‘disabled athletes’ (the ‘visibility of disability in sport’) (ibid: 424). The final group consists of disabled people who participate in sports as ‘athletes’ (the (in)visibility of disability in sport) (ibid: 425). According to Depauw, the first group indicates the inaccessibility of sports to disabled people and their exclusion from them, and the second group shows how disabled people partake in sports through accommodations. The third group signifies a transformative space where sports have undergone a radical change in terms of re-visioning their fundamentals, such as the social construction of a sporty body.    </w:t>
      </w:r>
    </w:p>
    <w:p w14:paraId="07B07E1F" w14:textId="77777777" w:rsidR="00BE2C1D" w:rsidRPr="00BE2C1D" w:rsidRDefault="00BE2C1D" w:rsidP="00BE2C1D">
      <w:pPr>
        <w:spacing w:line="360" w:lineRule="auto"/>
        <w:jc w:val="both"/>
        <w:rPr>
          <w:rFonts w:cstheme="minorHAnsi"/>
        </w:rPr>
      </w:pPr>
      <w:r w:rsidRPr="00BE2C1D">
        <w:rPr>
          <w:rFonts w:cstheme="minorHAnsi"/>
        </w:rPr>
        <w:t xml:space="preserve">In the first section then, I look into stories of exclusion and stories of accommodation. However, in the second part, I digress from Depauw’s framework to explore stories of invalidation, focusing particularly on how PE, and particularly the dominant sports in schools, invalidated and dys-appeared the disabled, gendered bodies of two male participants.      </w:t>
      </w:r>
    </w:p>
    <w:p w14:paraId="18E32B54" w14:textId="77777777" w:rsidR="00BE2C1D" w:rsidRPr="00BE2C1D" w:rsidRDefault="00BE2C1D" w:rsidP="00BE2C1D">
      <w:pPr>
        <w:keepNext/>
        <w:keepLines/>
        <w:spacing w:before="40" w:after="0" w:line="360" w:lineRule="auto"/>
        <w:outlineLvl w:val="3"/>
        <w:rPr>
          <w:rFonts w:asciiTheme="majorHAnsi" w:eastAsiaTheme="majorEastAsia" w:hAnsiTheme="majorHAnsi" w:cstheme="majorBidi"/>
          <w:i/>
          <w:iCs/>
          <w:color w:val="2F5496" w:themeColor="accent1" w:themeShade="BF"/>
        </w:rPr>
      </w:pPr>
      <w:r w:rsidRPr="00BE2C1D">
        <w:rPr>
          <w:rFonts w:asciiTheme="majorHAnsi" w:eastAsiaTheme="majorEastAsia" w:hAnsiTheme="majorHAnsi" w:cstheme="majorBidi"/>
          <w:i/>
          <w:iCs/>
          <w:color w:val="2F5496" w:themeColor="accent1" w:themeShade="BF"/>
        </w:rPr>
        <w:t>Stories of Exclusion &amp; Accommodation in Physical Education</w:t>
      </w:r>
    </w:p>
    <w:p w14:paraId="5E01F49B" w14:textId="77777777" w:rsidR="00BE2C1D" w:rsidRPr="00BE2C1D" w:rsidRDefault="00BE2C1D" w:rsidP="00BE2C1D">
      <w:pPr>
        <w:spacing w:line="360" w:lineRule="auto"/>
        <w:jc w:val="both"/>
      </w:pPr>
      <w:r w:rsidRPr="00BE2C1D">
        <w:t xml:space="preserve">Although Fitzgerald et al. (2003) and Fitzgerald (2006) have continuously noted the push towards inclusive PE (e.g. inclusive sport activities), studies show that disabled children and young people are still excluded from sports and PE (Kristen et al. 2002; Smith and Thomas 2006; Vickerman et al. 2003; Wickman 2015). Such exclusion had to do with disabling structures, such as inaccessible premises, a lack of sport aids (Coates and Vickerman 2010) and P.E. teachers’ negative attitudes towards the inclusion of disabled people in sports (Wickman 2015). Considering the history of sports, DePauw (1997) also claimed that the sporting body has been primarily embodied by the White, heterosexual, able-bodied man from the middle and upper classes. This led to the exclusion of disabled people from sports, as they did not ‘meet the socially constructed ideals of physicality, masculinity and sexuality’ </w:t>
      </w:r>
      <w:r w:rsidRPr="00BE2C1D">
        <w:lastRenderedPageBreak/>
        <w:t xml:space="preserve">(ibid, 421). In this section, I start with considering the exclusion of some participants from PE and what they did instead during these classes.  </w:t>
      </w:r>
    </w:p>
    <w:p w14:paraId="0C11B5E7" w14:textId="77777777" w:rsidR="00BE2C1D" w:rsidRPr="00BE2C1D" w:rsidRDefault="00BE2C1D" w:rsidP="00BE2C1D">
      <w:pPr>
        <w:spacing w:line="360" w:lineRule="auto"/>
        <w:jc w:val="both"/>
      </w:pPr>
      <w:r w:rsidRPr="00BE2C1D">
        <w:t>Three participants referred to the alternative activities they engaged in when the PE lesson took place:</w:t>
      </w:r>
    </w:p>
    <w:p w14:paraId="1E7C1F5C" w14:textId="77777777" w:rsidR="00BE2C1D" w:rsidRPr="00BE2C1D" w:rsidRDefault="00BE2C1D" w:rsidP="00BE2C1D">
      <w:pPr>
        <w:spacing w:line="360" w:lineRule="auto"/>
        <w:ind w:left="720"/>
        <w:jc w:val="both"/>
        <w:rPr>
          <w:sz w:val="20"/>
          <w:szCs w:val="20"/>
        </w:rPr>
      </w:pPr>
      <w:r w:rsidRPr="00BE2C1D">
        <w:rPr>
          <w:sz w:val="20"/>
          <w:szCs w:val="20"/>
        </w:rPr>
        <w:t xml:space="preserve">Patricia: Me and my one-to-one used to go swimming together kind of thing instead of doing P.E. </w:t>
      </w:r>
    </w:p>
    <w:p w14:paraId="1ACBC7FE" w14:textId="77777777" w:rsidR="00BE2C1D" w:rsidRPr="00BE2C1D" w:rsidRDefault="00BE2C1D" w:rsidP="00BE2C1D">
      <w:pPr>
        <w:rPr>
          <w:sz w:val="20"/>
          <w:szCs w:val="20"/>
        </w:rPr>
      </w:pPr>
      <w:r w:rsidRPr="00BE2C1D">
        <w:rPr>
          <w:sz w:val="20"/>
          <w:szCs w:val="20"/>
        </w:rPr>
        <w:tab/>
        <w:t>Harry: Well, I go to, most often go to the gym, coz they do rugby and football.</w:t>
      </w:r>
    </w:p>
    <w:p w14:paraId="16C41E43" w14:textId="77777777" w:rsidR="00BE2C1D" w:rsidRPr="00BE2C1D" w:rsidRDefault="00BE2C1D" w:rsidP="00BE2C1D">
      <w:pPr>
        <w:spacing w:line="360" w:lineRule="auto"/>
        <w:ind w:left="720"/>
        <w:jc w:val="both"/>
        <w:rPr>
          <w:sz w:val="20"/>
          <w:szCs w:val="20"/>
        </w:rPr>
      </w:pPr>
      <w:r w:rsidRPr="00BE2C1D">
        <w:rPr>
          <w:sz w:val="20"/>
          <w:szCs w:val="20"/>
        </w:rPr>
        <w:t>Harry’s mother: The way to the gym, I pick him up and we go to a private gym on the sports fields.</w:t>
      </w:r>
    </w:p>
    <w:p w14:paraId="7CC9B2A6" w14:textId="77777777" w:rsidR="00BE2C1D" w:rsidRPr="00BE2C1D" w:rsidRDefault="00BE2C1D" w:rsidP="00BE2C1D">
      <w:pPr>
        <w:spacing w:line="360" w:lineRule="auto"/>
        <w:ind w:left="720"/>
        <w:jc w:val="both"/>
        <w:rPr>
          <w:bCs/>
          <w:sz w:val="20"/>
          <w:szCs w:val="20"/>
        </w:rPr>
      </w:pPr>
      <w:r w:rsidRPr="00BE2C1D">
        <w:rPr>
          <w:bCs/>
          <w:sz w:val="20"/>
          <w:szCs w:val="20"/>
        </w:rPr>
        <w:t>Christine: And in one of my PE lessons, cause I don’t do PE, I just stay in the classroom and I either do my homework or I just talk to people.</w:t>
      </w:r>
    </w:p>
    <w:p w14:paraId="60D780FD" w14:textId="77777777" w:rsidR="00BE2C1D" w:rsidRPr="00BE2C1D" w:rsidRDefault="00BE2C1D" w:rsidP="00BE2C1D">
      <w:pPr>
        <w:spacing w:line="360" w:lineRule="auto"/>
        <w:jc w:val="both"/>
        <w:rPr>
          <w:bCs/>
        </w:rPr>
      </w:pPr>
      <w:r w:rsidRPr="00BE2C1D">
        <w:rPr>
          <w:bCs/>
        </w:rPr>
        <w:t xml:space="preserve">The first thing to note in the above stories is that, although Patricia and Harry were excluded from PE, they still engaged in some form of physical activity (swimming and gym), whereas Christine did not. However, for Patricia and Harry to be able to do so, another adult - a TA and Harry’s mother -had to be involved. Regarding the reasons for such exclusion, Harry mentioned the sports - rugby and football - that were taught in PE, something that was also brought up in Paul’s story:  </w:t>
      </w:r>
    </w:p>
    <w:p w14:paraId="467C5F53" w14:textId="77777777" w:rsidR="00BE2C1D" w:rsidRPr="00BE2C1D" w:rsidRDefault="00BE2C1D" w:rsidP="00BE2C1D">
      <w:pPr>
        <w:spacing w:line="360" w:lineRule="auto"/>
        <w:ind w:left="720"/>
        <w:jc w:val="both"/>
        <w:rPr>
          <w:bCs/>
          <w:sz w:val="20"/>
          <w:szCs w:val="20"/>
        </w:rPr>
      </w:pPr>
      <w:r w:rsidRPr="00BE2C1D">
        <w:rPr>
          <w:bCs/>
          <w:sz w:val="20"/>
          <w:szCs w:val="20"/>
        </w:rPr>
        <w:t>Paul: But I remember like rugby, where it is quite physical, where people try and push you over, that was one of the things I couldn’t participate as much, because I didn’t want anyone pushing me over, you know, and hurt my back at that particular point. So, again it was a trade-off. There is a few trade-offs where I’ve learned that, you know, they help your life in the future with this trade off, but these things have an impact to fitting with the rest of the class as well, you know, why is this student not doing anything, why is he not participating by keeping up with us? All those questions in you from other students at the same time. [..]</w:t>
      </w:r>
      <w:r w:rsidRPr="00BE2C1D">
        <w:rPr>
          <w:sz w:val="20"/>
          <w:szCs w:val="20"/>
        </w:rPr>
        <w:t>So yeah, why is he being lazy? What can’t he participate in this? But, if I participate in this, my back might get damaged despite being, you know, health problems.</w:t>
      </w:r>
    </w:p>
    <w:p w14:paraId="2C61BED5" w14:textId="77777777" w:rsidR="00BE2C1D" w:rsidRPr="00BE2C1D" w:rsidRDefault="00BE2C1D" w:rsidP="00BE2C1D">
      <w:pPr>
        <w:spacing w:line="360" w:lineRule="auto"/>
        <w:jc w:val="both"/>
        <w:rPr>
          <w:bCs/>
        </w:rPr>
      </w:pPr>
      <w:r w:rsidRPr="00BE2C1D">
        <w:rPr>
          <w:bCs/>
        </w:rPr>
        <w:t xml:space="preserve">Paul described his ‘non-participation’ to PE as a trade-off: on the one hand, it protected him from not getting hurt, pointing to a positive aspect of exclusion from P.E., and, on the other hand, it had an effect on how he (and his body) was perceived by his peers. Not only did his exclusion from PE dys-appear his body, but it also demanded from him to put the extra (emotional) labour to confess the reasons for such exclusion. Paul’s story resonated with Azzarito’s (2009: 21) conceptualisation of PE as a Panopticon, where she asserted that </w:t>
      </w:r>
    </w:p>
    <w:p w14:paraId="3CE2B663" w14:textId="77777777" w:rsidR="00BE2C1D" w:rsidRPr="00BE2C1D" w:rsidRDefault="00BE2C1D" w:rsidP="00BE2C1D">
      <w:pPr>
        <w:spacing w:line="360" w:lineRule="auto"/>
        <w:ind w:left="720"/>
        <w:jc w:val="both"/>
        <w:rPr>
          <w:rFonts w:cstheme="minorHAnsi"/>
          <w:sz w:val="20"/>
          <w:szCs w:val="20"/>
        </w:rPr>
      </w:pPr>
      <w:r w:rsidRPr="00BE2C1D">
        <w:rPr>
          <w:rFonts w:cstheme="minorHAnsi"/>
          <w:sz w:val="20"/>
          <w:szCs w:val="20"/>
        </w:rPr>
        <w:t xml:space="preserve">In physical education the principle of the Panopticon takes concrete form through the school culture that may promote gendered and racialized ideal bodies. Practices that serve to discipline and normalize the body, such as the promotion of speciﬁc sports or ﬁtness practices in physical education, create ideal </w:t>
      </w:r>
      <w:r w:rsidRPr="00BE2C1D">
        <w:rPr>
          <w:rFonts w:cstheme="minorHAnsi"/>
          <w:sz w:val="20"/>
          <w:szCs w:val="20"/>
        </w:rPr>
        <w:lastRenderedPageBreak/>
        <w:t>bodies, a hierarchy of bodies (high status and low status) at the intersection of gender, race and social class.</w:t>
      </w:r>
      <w:r w:rsidRPr="00BE2C1D">
        <w:rPr>
          <w:rFonts w:cstheme="minorHAnsi"/>
          <w:sz w:val="20"/>
          <w:szCs w:val="20"/>
          <w:vertAlign w:val="superscript"/>
        </w:rPr>
        <w:footnoteReference w:id="124"/>
      </w:r>
      <w:r w:rsidRPr="00BE2C1D">
        <w:rPr>
          <w:rFonts w:cstheme="minorHAnsi"/>
          <w:sz w:val="20"/>
          <w:szCs w:val="20"/>
        </w:rPr>
        <w:t xml:space="preserve"> </w:t>
      </w:r>
    </w:p>
    <w:p w14:paraId="607BD8F7" w14:textId="77777777" w:rsidR="00BE2C1D" w:rsidRPr="00BE2C1D" w:rsidRDefault="00BE2C1D" w:rsidP="00BE2C1D">
      <w:pPr>
        <w:spacing w:line="360" w:lineRule="auto"/>
        <w:jc w:val="both"/>
        <w:rPr>
          <w:bCs/>
        </w:rPr>
      </w:pPr>
      <w:r w:rsidRPr="00BE2C1D">
        <w:rPr>
          <w:bCs/>
        </w:rPr>
        <w:t xml:space="preserve">PE is one of the main subjects through which students shape their views on what consists a ‘healthy’, able body, which also results in the alienation of the ‘unruly or undisciplined, unhealthy body’ (Petherik 2013: 712). Disabled students’ exclusion from PE and, especially from competitive sports, which are not adapted at all, results in them being perceived as lacking the ability to participate (Fitzgerald and Hay 2015). </w:t>
      </w:r>
    </w:p>
    <w:p w14:paraId="0A3F763E" w14:textId="77777777" w:rsidR="00BE2C1D" w:rsidRPr="00BE2C1D" w:rsidRDefault="00BE2C1D" w:rsidP="00BE2C1D">
      <w:pPr>
        <w:spacing w:line="360" w:lineRule="auto"/>
        <w:jc w:val="both"/>
        <w:rPr>
          <w:bCs/>
        </w:rPr>
      </w:pPr>
      <w:r w:rsidRPr="00BE2C1D">
        <w:t>While the stories so far considered how some young people were excluded from PE, some participants also referred to how their participation in PE depended on certain activities getting adapted. Following Depauw (1997), I refer to these stories as ‘stories of accommodation’, where ‘</w:t>
      </w:r>
      <w:r w:rsidRPr="00BE2C1D">
        <w:rPr>
          <w:bCs/>
        </w:rPr>
        <w:t>a</w:t>
      </w:r>
      <w:r w:rsidRPr="00BE2C1D">
        <w:t xml:space="preserve">ccommodation implies that modifications or adaptations are made to more easily integrate individuals into the existing structure of sport’ (ibid: 426). Mary and Ryan, for instance, shared the following stories: </w:t>
      </w:r>
    </w:p>
    <w:p w14:paraId="3FA7DB53" w14:textId="77777777" w:rsidR="00BE2C1D" w:rsidRPr="00BE2C1D" w:rsidRDefault="00BE2C1D" w:rsidP="00BE2C1D">
      <w:pPr>
        <w:spacing w:line="360" w:lineRule="auto"/>
        <w:ind w:left="720"/>
        <w:jc w:val="both"/>
        <w:rPr>
          <w:rFonts w:cstheme="minorHAnsi"/>
          <w:sz w:val="20"/>
          <w:szCs w:val="20"/>
          <w:lang w:val="en-US"/>
        </w:rPr>
      </w:pPr>
      <w:r w:rsidRPr="00BE2C1D">
        <w:rPr>
          <w:rFonts w:cstheme="minorHAnsi"/>
          <w:sz w:val="20"/>
          <w:szCs w:val="20"/>
          <w:lang w:val="en-US"/>
        </w:rPr>
        <w:t xml:space="preserve">Mary: With my PE teacher, if we had to do like a lot of things and, then, like running, she’d say: ‘Do you wanna do, cause you got, this huge fields that’s like - what is it called - running what is it called? Running track.  So, cause we had to do four laps for that once and I wouldn’t have been able to do that, so she said: ‘Do you want to only do two laps?’ And I said like: ‘Okay’. So, I did two laps instead of four.  Cause I wouldn’t have been able to do four. </w:t>
      </w:r>
    </w:p>
    <w:p w14:paraId="2595DED6" w14:textId="77777777" w:rsidR="00BE2C1D" w:rsidRPr="00BE2C1D" w:rsidRDefault="00BE2C1D" w:rsidP="00BE2C1D">
      <w:pPr>
        <w:spacing w:line="360" w:lineRule="auto"/>
        <w:ind w:left="720"/>
        <w:jc w:val="both"/>
        <w:rPr>
          <w:rFonts w:cstheme="minorHAnsi"/>
          <w:sz w:val="20"/>
          <w:szCs w:val="20"/>
          <w:lang w:val="en-US"/>
        </w:rPr>
      </w:pPr>
      <w:r w:rsidRPr="00BE2C1D">
        <w:rPr>
          <w:rFonts w:cstheme="minorHAnsi"/>
          <w:sz w:val="20"/>
          <w:szCs w:val="20"/>
          <w:lang w:val="en-US"/>
        </w:rPr>
        <w:t>Mother: You have an adapted programme, don’t you, for PE? Cause there are certain things that you can’t do.</w:t>
      </w:r>
    </w:p>
    <w:p w14:paraId="01928FDD" w14:textId="77777777" w:rsidR="00BE2C1D" w:rsidRPr="00BE2C1D" w:rsidRDefault="00BE2C1D" w:rsidP="00BE2C1D">
      <w:pPr>
        <w:spacing w:line="360" w:lineRule="auto"/>
        <w:jc w:val="both"/>
        <w:rPr>
          <w:rFonts w:cstheme="minorHAnsi"/>
          <w:sz w:val="20"/>
          <w:szCs w:val="20"/>
          <w:lang w:val="en-US"/>
        </w:rPr>
      </w:pPr>
      <w:r w:rsidRPr="00BE2C1D">
        <w:rPr>
          <w:rFonts w:cstheme="minorHAnsi"/>
          <w:sz w:val="20"/>
          <w:szCs w:val="20"/>
          <w:lang w:val="en-US"/>
        </w:rPr>
        <w:t xml:space="preserve"> </w:t>
      </w:r>
      <w:r w:rsidRPr="00BE2C1D">
        <w:rPr>
          <w:rFonts w:cstheme="minorHAnsi"/>
          <w:sz w:val="20"/>
          <w:szCs w:val="20"/>
          <w:lang w:val="en-US"/>
        </w:rPr>
        <w:tab/>
        <w:t>Mary: Yeah.</w:t>
      </w:r>
    </w:p>
    <w:p w14:paraId="6EA5B5C6" w14:textId="77777777" w:rsidR="00BE2C1D" w:rsidRPr="00BE2C1D" w:rsidRDefault="00BE2C1D" w:rsidP="00BE2C1D">
      <w:pPr>
        <w:spacing w:line="360" w:lineRule="auto"/>
        <w:ind w:left="720"/>
        <w:jc w:val="both"/>
        <w:rPr>
          <w:rFonts w:cstheme="minorHAnsi"/>
          <w:sz w:val="20"/>
          <w:szCs w:val="20"/>
          <w:lang w:val="en-US"/>
        </w:rPr>
      </w:pPr>
      <w:r w:rsidRPr="00BE2C1D">
        <w:rPr>
          <w:rFonts w:cs="Baskerville"/>
          <w:sz w:val="20"/>
          <w:szCs w:val="20"/>
          <w:lang w:val="en-US"/>
        </w:rPr>
        <w:t>Ryan:</w:t>
      </w:r>
      <w:r w:rsidRPr="00BE2C1D">
        <w:rPr>
          <w:rFonts w:cs="Baskerville"/>
          <w:sz w:val="20"/>
          <w:szCs w:val="20"/>
        </w:rPr>
        <w:t xml:space="preserve"> </w:t>
      </w:r>
      <w:r w:rsidRPr="00BE2C1D">
        <w:rPr>
          <w:rFonts w:cs="Baskerville"/>
          <w:color w:val="000000"/>
          <w:sz w:val="20"/>
          <w:szCs w:val="20"/>
        </w:rPr>
        <w:t>With most of the sport activities I was ok, but they tended to reduce some due to my capabilities or they found another alternative one that I could do.</w:t>
      </w:r>
    </w:p>
    <w:p w14:paraId="663B5860" w14:textId="77777777" w:rsidR="00BE2C1D" w:rsidRPr="00BE2C1D" w:rsidRDefault="00BE2C1D" w:rsidP="00BE2C1D">
      <w:pPr>
        <w:spacing w:line="360" w:lineRule="auto"/>
        <w:jc w:val="both"/>
        <w:rPr>
          <w:rFonts w:cstheme="minorHAnsi"/>
          <w:lang w:val="en-US"/>
        </w:rPr>
      </w:pPr>
      <w:r w:rsidRPr="00BE2C1D">
        <w:rPr>
          <w:rFonts w:cstheme="minorHAnsi"/>
          <w:lang w:val="en-US"/>
        </w:rPr>
        <w:t>What was common in both stories was that the reason put forward for the adaptations was the ‘incapable’ disabled body, which could not cope with the existent activities. Disability appeared (once more) as a problem and a solution - in the form of adaptations - had to be sought. This ‘double-edgedness’ of adaption was captured in Paul’s story:</w:t>
      </w:r>
    </w:p>
    <w:p w14:paraId="0DBA5264" w14:textId="77777777" w:rsidR="00BE2C1D" w:rsidRPr="00BE2C1D" w:rsidRDefault="00BE2C1D" w:rsidP="00BE2C1D">
      <w:pPr>
        <w:spacing w:line="360" w:lineRule="auto"/>
        <w:ind w:left="720"/>
        <w:jc w:val="both"/>
        <w:rPr>
          <w:bCs/>
          <w:sz w:val="20"/>
          <w:szCs w:val="20"/>
        </w:rPr>
      </w:pPr>
      <w:r w:rsidRPr="00BE2C1D">
        <w:rPr>
          <w:bCs/>
          <w:sz w:val="20"/>
          <w:szCs w:val="20"/>
        </w:rPr>
        <w:t xml:space="preserve">Paul: I think kind of it’s a bit different times. I think PE was the hardest thing that I found, because in the primary years, I was fine, I was keeping up with the other kids. But as they started to grow and I started being at the same height, that was when the difference was shown as well, because I could only run, yeah, half way the track and then get tired, you know, I couldn’t do anymore. But these kids could, you know, do four laps they were absolutely fine afterwards. You know, but the PE bit was the hardest </w:t>
      </w:r>
      <w:r w:rsidRPr="00BE2C1D">
        <w:rPr>
          <w:bCs/>
          <w:sz w:val="20"/>
          <w:szCs w:val="20"/>
        </w:rPr>
        <w:lastRenderedPageBreak/>
        <w:t>bit at the school. But the school accommodated and made sure that I wasn’t doing anything to hurt my back and try to help me out throughout it.</w:t>
      </w:r>
    </w:p>
    <w:p w14:paraId="3FF76EF1" w14:textId="77777777" w:rsidR="00BE2C1D" w:rsidRPr="00BE2C1D" w:rsidRDefault="00BE2C1D" w:rsidP="00BE2C1D">
      <w:pPr>
        <w:spacing w:line="360" w:lineRule="auto"/>
        <w:jc w:val="both"/>
        <w:rPr>
          <w:rFonts w:cstheme="minorHAnsi"/>
          <w:lang w:val="en-US"/>
        </w:rPr>
      </w:pPr>
      <w:r w:rsidRPr="00BE2C1D">
        <w:rPr>
          <w:rFonts w:cstheme="minorHAnsi"/>
          <w:lang w:val="en-US"/>
        </w:rPr>
        <w:t>Paul’s story illustrated how his difference became more visible in the context of PE, as he could not cope with the ability standards required in these lessons. However, he also acknowledged how the school ensured that his participation in PE did not have any repercussions on his health.</w:t>
      </w:r>
    </w:p>
    <w:p w14:paraId="1267D843" w14:textId="77777777" w:rsidR="00BE2C1D" w:rsidRPr="00BE2C1D" w:rsidRDefault="00BE2C1D" w:rsidP="00BE2C1D">
      <w:pPr>
        <w:spacing w:line="360" w:lineRule="auto"/>
        <w:jc w:val="both"/>
        <w:rPr>
          <w:rFonts w:cstheme="minorHAnsi"/>
          <w:lang w:val="en-US"/>
        </w:rPr>
      </w:pPr>
      <w:r w:rsidRPr="00BE2C1D">
        <w:rPr>
          <w:rFonts w:cstheme="minorHAnsi"/>
          <w:lang w:val="en-US"/>
        </w:rPr>
        <w:t xml:space="preserve">Another solution to the problem of disability was TAs’ support, as discussed in the following stories: </w:t>
      </w:r>
    </w:p>
    <w:p w14:paraId="34E04B79" w14:textId="77777777" w:rsidR="00BE2C1D" w:rsidRPr="00BE2C1D" w:rsidRDefault="00BE2C1D" w:rsidP="00BE2C1D">
      <w:pPr>
        <w:spacing w:line="360" w:lineRule="auto"/>
        <w:ind w:left="720"/>
        <w:jc w:val="both"/>
        <w:rPr>
          <w:sz w:val="20"/>
          <w:szCs w:val="20"/>
        </w:rPr>
      </w:pPr>
      <w:r w:rsidRPr="00BE2C1D">
        <w:rPr>
          <w:sz w:val="20"/>
          <w:szCs w:val="20"/>
        </w:rPr>
        <w:t>Paul: I had support staff as well, because, because I had a statement written up, just for the basics. So, how to handle me in subjects like P.E., so not to cause any damage to my back etc.</w:t>
      </w:r>
    </w:p>
    <w:p w14:paraId="1BBC1F3A" w14:textId="77777777" w:rsidR="00BE2C1D" w:rsidRPr="00BE2C1D" w:rsidRDefault="00BE2C1D" w:rsidP="00BE2C1D">
      <w:pPr>
        <w:spacing w:line="360" w:lineRule="auto"/>
        <w:ind w:left="720"/>
        <w:jc w:val="both"/>
        <w:rPr>
          <w:rFonts w:cs="Baskerville"/>
          <w:sz w:val="20"/>
          <w:szCs w:val="20"/>
        </w:rPr>
      </w:pPr>
      <w:r w:rsidRPr="00BE2C1D">
        <w:rPr>
          <w:rFonts w:cs="Baskerville"/>
          <w:sz w:val="20"/>
          <w:szCs w:val="20"/>
        </w:rPr>
        <w:t>Ryan: But I did have a TA and they were kind of there to help me too.</w:t>
      </w:r>
    </w:p>
    <w:p w14:paraId="1B06A560" w14:textId="77777777" w:rsidR="00BE2C1D" w:rsidRPr="00BE2C1D" w:rsidRDefault="00BE2C1D" w:rsidP="00BE2C1D">
      <w:pPr>
        <w:spacing w:line="360" w:lineRule="auto"/>
        <w:jc w:val="both"/>
        <w:rPr>
          <w:rFonts w:cs="Baskerville"/>
        </w:rPr>
      </w:pPr>
      <w:r w:rsidRPr="00BE2C1D">
        <w:rPr>
          <w:rFonts w:cs="Baskerville"/>
        </w:rPr>
        <w:t xml:space="preserve">Vickerman and Blundell (2012) discussed the integral role TAs can play in the inclusion of disabled young people in PE. However, they also noted the importance of collaboration between the different stakeholders - students, PE teachers, TAs, parents - and proposed a particular framework for inclusion to be successful. </w:t>
      </w:r>
    </w:p>
    <w:p w14:paraId="69031B48" w14:textId="77777777" w:rsidR="00BE2C1D" w:rsidRPr="00BE2C1D" w:rsidRDefault="00BE2C1D" w:rsidP="00BE2C1D">
      <w:pPr>
        <w:spacing w:line="360" w:lineRule="auto"/>
        <w:jc w:val="both"/>
      </w:pPr>
      <w:r w:rsidRPr="00BE2C1D">
        <w:t xml:space="preserve">What these stories of accommodation pointed was that ‘accommodation has the effect of "allowing" individuals with disabilities to participate in sport but does not significantly alter sport.’ (Depauw 1997: 426).  Accommodations fail to challenge PE’s ableism (Evans 2004; Giese and Ruin 2018), as ‘disability is still visible and considered "less than," or not equal to, able-bodied ability’ (Depauw 1997: 424), making the disabled body dys-appear. As Fitzgerald (2012: 446) has argued, </w:t>
      </w:r>
    </w:p>
    <w:p w14:paraId="373A76F8" w14:textId="77777777" w:rsidR="00BE2C1D" w:rsidRPr="00BE2C1D" w:rsidRDefault="00BE2C1D" w:rsidP="00BE2C1D">
      <w:pPr>
        <w:spacing w:line="360" w:lineRule="auto"/>
        <w:ind w:left="720"/>
        <w:jc w:val="both"/>
        <w:rPr>
          <w:rFonts w:cstheme="minorHAnsi"/>
          <w:sz w:val="20"/>
          <w:szCs w:val="20"/>
        </w:rPr>
      </w:pPr>
      <w:r w:rsidRPr="00BE2C1D">
        <w:rPr>
          <w:rFonts w:cstheme="minorHAnsi"/>
          <w:sz w:val="20"/>
          <w:szCs w:val="20"/>
        </w:rPr>
        <w:t xml:space="preserve">A critical question to ask here is: Does modifying or tinkering around with sport-based skills and the composition of the groups receiving instruction, equate to inclusive practice? With this question in mind, it could be claimed that only ‘cosmetic adjustments’ (Slee &amp; Allan, 2001) are made that ‘produce an appearance of more inclusive schools’ (Graham &amp; Slee, 2008, p. 82). Consequently, the deeply embedded normative practices of physical education are not disrupted, leaving dominant ideals to prevail (Barton, 1993; Barton, 2009). </w:t>
      </w:r>
    </w:p>
    <w:p w14:paraId="58F2CB74" w14:textId="77777777" w:rsidR="00BE2C1D" w:rsidRPr="00BE2C1D" w:rsidRDefault="00BE2C1D" w:rsidP="00BE2C1D">
      <w:pPr>
        <w:spacing w:line="360" w:lineRule="auto"/>
        <w:jc w:val="both"/>
      </w:pPr>
      <w:r w:rsidRPr="00BE2C1D">
        <w:rPr>
          <w:rFonts w:cstheme="minorHAnsi"/>
        </w:rPr>
        <w:t xml:space="preserve">In a summary, the stories of exclusion and the stories of accommodation demonstrated how the disabled body dys-appeared for not embodying and performing the physical ideals of PE (Evans et al. 2007). Even when accommodations were made, these did not cease the dys-appearance of the disabled body, as they left unquestioned the normative abilities (re)produced in PE (Fitzgerald 2006). As </w:t>
      </w:r>
      <w:r w:rsidRPr="00BE2C1D">
        <w:rPr>
          <w:rFonts w:ascii="Calibri" w:hAnsi="Calibri" w:cs="Calibri"/>
        </w:rPr>
        <w:t xml:space="preserve">Wickman (2007) suggested, sports are associated with masculinity and physical ability. </w:t>
      </w:r>
      <w:r w:rsidRPr="00BE2C1D">
        <w:t xml:space="preserve">Rowe (1998: 246) has also pointed out sports’ patriarchal nature, which ‘have been an integral element of self-sustainable forms of exclusivist male culture, lubricating a closed system of male bonding and female denigration’. Therefore, the dys-appearance of the disabled young people’s gendered bodies from PE </w:t>
      </w:r>
      <w:r w:rsidRPr="00BE2C1D">
        <w:lastRenderedPageBreak/>
        <w:t xml:space="preserve">must be understood intersectionally (Flintoff et al. 2008), that is how the disabled, female/feminised body appeared as a ‘weak’ body, which could not cope with the physical standards of PE. Adhering to an intersectional perspective of dys-appearance in PE, in the next section I discuss the stories of two male participants, one teenager and one adult, whose bodies were invalidated (Hughes 2000) and dys-appeared in PE, in spite of being sporty.  </w:t>
      </w:r>
    </w:p>
    <w:p w14:paraId="7574064A" w14:textId="77777777" w:rsidR="00BE2C1D" w:rsidRPr="00BE2C1D" w:rsidRDefault="00BE2C1D" w:rsidP="00BE2C1D">
      <w:pPr>
        <w:keepNext/>
        <w:keepLines/>
        <w:spacing w:before="40" w:after="0" w:line="360" w:lineRule="auto"/>
        <w:outlineLvl w:val="3"/>
        <w:rPr>
          <w:rFonts w:asciiTheme="majorHAnsi" w:eastAsiaTheme="majorEastAsia" w:hAnsiTheme="majorHAnsi" w:cstheme="majorBidi"/>
          <w:i/>
          <w:iCs/>
          <w:color w:val="2F5496" w:themeColor="accent1" w:themeShade="BF"/>
        </w:rPr>
      </w:pPr>
      <w:r w:rsidRPr="00BE2C1D">
        <w:rPr>
          <w:rFonts w:asciiTheme="majorHAnsi" w:eastAsiaTheme="majorEastAsia" w:hAnsiTheme="majorHAnsi" w:cstheme="majorBidi"/>
          <w:i/>
          <w:iCs/>
          <w:color w:val="2F5496" w:themeColor="accent1" w:themeShade="BF"/>
        </w:rPr>
        <w:t>Stories of Invalidation</w:t>
      </w:r>
    </w:p>
    <w:p w14:paraId="7F224D53" w14:textId="77777777" w:rsidR="00BE2C1D" w:rsidRPr="00BE2C1D" w:rsidRDefault="00BE2C1D" w:rsidP="00BE2C1D">
      <w:pPr>
        <w:spacing w:line="360" w:lineRule="auto"/>
        <w:jc w:val="both"/>
      </w:pPr>
      <w:r w:rsidRPr="00BE2C1D">
        <w:t xml:space="preserve">As Flintoff et al. (2008) have observed, disability has remained absent in intersectional approaches to PE, which tend to focus more on issues of gender, class, sexuality and race (see Azzarito 2009; Petherik 2018). Nevertheless, as Wedgwood (2014: 189) argued, </w:t>
      </w:r>
    </w:p>
    <w:p w14:paraId="61FD6083" w14:textId="77777777" w:rsidR="00BE2C1D" w:rsidRPr="00BE2C1D" w:rsidRDefault="00BE2C1D" w:rsidP="00BE2C1D">
      <w:pPr>
        <w:spacing w:after="0" w:line="360" w:lineRule="auto"/>
        <w:ind w:left="720"/>
        <w:jc w:val="both"/>
        <w:rPr>
          <w:rFonts w:ascii="Calibri" w:eastAsia="Times New Roman" w:hAnsi="Calibri" w:cs="Calibri"/>
          <w:sz w:val="20"/>
          <w:szCs w:val="20"/>
          <w:lang w:eastAsia="en-GB"/>
        </w:rPr>
      </w:pPr>
      <w:r w:rsidRPr="00BE2C1D">
        <w:rPr>
          <w:rFonts w:ascii="Calibri" w:eastAsia="Times New Roman" w:hAnsi="Calibri" w:cs="Calibri"/>
          <w:sz w:val="20"/>
          <w:szCs w:val="20"/>
          <w:lang w:eastAsia="en-GB"/>
        </w:rPr>
        <w:t>Those with impairments embody a contradiction between dominant forms of masculinity (skilful, powerful) and impairment (reduced physical abilities/power). The participation in sport by men with impairments highlights this contradiction, and thus can provide important insights into how this dilemma of disabled masculinity (Shuttleworth, Wedgwood and Wilson, 2012) is negotiated.</w:t>
      </w:r>
    </w:p>
    <w:p w14:paraId="506C6911" w14:textId="77777777" w:rsidR="00BE2C1D" w:rsidRPr="00BE2C1D" w:rsidRDefault="00BE2C1D" w:rsidP="00BE2C1D">
      <w:pPr>
        <w:spacing w:line="360" w:lineRule="auto"/>
        <w:jc w:val="both"/>
        <w:rPr>
          <w:rFonts w:cstheme="minorHAnsi"/>
        </w:rPr>
      </w:pPr>
      <w:r w:rsidRPr="00BE2C1D">
        <w:rPr>
          <w:rFonts w:cstheme="minorHAnsi"/>
        </w:rPr>
        <w:t xml:space="preserve">This dilemma of disabled masculinity is considered through the stories of two male participants, Nick and Harry, who participated in certain sports, but not the ones that were dominant in their schools. An intersectional perspective of dys-appearance is adopted here to look into how the disabled, male body did not perform hegemonic masculinity (Connell 2008) through participation in the dominant sports in schools, and, therefore, was feminised and dys-appeared. I start with Nick’s story: </w:t>
      </w:r>
    </w:p>
    <w:p w14:paraId="6A078518" w14:textId="77777777" w:rsidR="00BE2C1D" w:rsidRPr="00BE2C1D" w:rsidRDefault="00BE2C1D" w:rsidP="00BE2C1D">
      <w:pPr>
        <w:spacing w:line="360" w:lineRule="auto"/>
        <w:ind w:left="720"/>
        <w:jc w:val="both"/>
        <w:rPr>
          <w:b/>
          <w:sz w:val="20"/>
          <w:szCs w:val="20"/>
        </w:rPr>
      </w:pPr>
      <w:r w:rsidRPr="00BE2C1D">
        <w:rPr>
          <w:sz w:val="20"/>
          <w:szCs w:val="20"/>
        </w:rPr>
        <w:t xml:space="preserve">Nick: Em, part of it was that it was a very sporty school, so it was a state school, a state school, but they were really into rugby and both of the PE teachers were former rugby players and loved rugby and worshipped rugby. And I wasn’t allowed to play rugby cause dwarf spines bend, rugby is one of that things,[..]. Em, and so the school really worshiped rugby and they worshiped the kids that were good at rugby. [..]and what was really frustrating is that sports were really important, sort of especially among boys, but basketball was never really celebrated, basketball was like the kind of what the bad kids did almost, whereas the good kids liked football and rugby and this kind of traditional sports. And so, even though I played for my city and their teams and couple of times and I also played, em, for my school, even when I was 11, I was playing with 16 years old playing for my school, em, that was never really formally celebrated in any way. It was celebrated to play rugby. So I never really got any sort of, you didn’t get any recognition for that. (A. I hear you) if that makes sense. Cause you’re not the smart football player, you’re not the smart rugby player, even if you are really good at basketball, no one really cared about that. And in as of playgrounds were so much of the hierarchies dictated by sport, you know, you still get picked last for teams or that kind of thing. It wouldn’t really matter, because football and rugby were all that mattered and not basketball. (A. Mmm. So how were you) And that, and that was systematic, because the teachers were rugby players. (A. Yeah, I see). So they didn’t want to teach you that as a basketball coach, who really celebrated basketball, whereas all the other that </w:t>
      </w:r>
      <w:r w:rsidRPr="00BE2C1D">
        <w:rPr>
          <w:sz w:val="20"/>
          <w:szCs w:val="20"/>
        </w:rPr>
        <w:lastRenderedPageBreak/>
        <w:t>were rugby players and so they didn’t really care about basketball either. So your achievements wouldn’t be looked on the same light and then you lacked more credibility in the playground, because you were seen as not very good at sports. Really, you were good at sports, you just weren’t good at rugby or football.</w:t>
      </w:r>
      <w:r w:rsidRPr="00BE2C1D">
        <w:rPr>
          <w:b/>
          <w:sz w:val="20"/>
          <w:szCs w:val="20"/>
        </w:rPr>
        <w:t xml:space="preserve"> </w:t>
      </w:r>
    </w:p>
    <w:p w14:paraId="3D89D458" w14:textId="77777777" w:rsidR="00BE2C1D" w:rsidRPr="00BE2C1D" w:rsidRDefault="00BE2C1D" w:rsidP="00BE2C1D">
      <w:pPr>
        <w:spacing w:line="360" w:lineRule="auto"/>
        <w:jc w:val="both"/>
        <w:rPr>
          <w:rFonts w:cstheme="minorHAnsi"/>
        </w:rPr>
      </w:pPr>
      <w:r w:rsidRPr="00BE2C1D">
        <w:rPr>
          <w:rFonts w:cstheme="minorHAnsi"/>
        </w:rPr>
        <w:t xml:space="preserve">Nick’s story raised many important points. Firstly, this story captured the role of PE teachers in perpetuating discourses of hegemonic masculinity through the promotion of certain sports: rugby and football (Connell 2008). As Giese and Ruin (2018) proposed, PE teachers’ previous experiences of sports also affect how and what they teach as part of PE. In Nick’s story, the PE teachers were former rugby players and, therefore, this was the dominant sport in PE. Secondly, the connection between rugby in schools and gender performances, particularly hegemonic masculinity and the subordination of other masculinities, has been widely discussed (Connell 2008; Light and Kirk 2000; Parker 1996; Pringle 2008). Parker (1996: 141), for instance, noted how the dominance of a certain sport can influence the ‘hierarchical peer group position of certain individuals’. This was the case with Nick, who was not allowed to play rugby due to his spine. This had various effects on him, including being picked last when teams were formed and also not being seen as good at sports or lacking credibility (Hughes 2000). This dys-appearance of Nick’s body then resonated with Pringle’s (2008: 217) Foucauldian approach, who asserted that </w:t>
      </w:r>
    </w:p>
    <w:p w14:paraId="6BA3F9A6" w14:textId="77777777" w:rsidR="00BE2C1D" w:rsidRPr="00BE2C1D" w:rsidRDefault="00BE2C1D" w:rsidP="00BE2C1D">
      <w:pPr>
        <w:spacing w:line="360" w:lineRule="auto"/>
        <w:ind w:left="720"/>
        <w:jc w:val="both"/>
        <w:rPr>
          <w:rFonts w:cstheme="minorHAnsi"/>
          <w:sz w:val="20"/>
          <w:szCs w:val="20"/>
        </w:rPr>
      </w:pPr>
      <w:r w:rsidRPr="00BE2C1D">
        <w:rPr>
          <w:rFonts w:cstheme="minorHAnsi"/>
          <w:sz w:val="20"/>
          <w:szCs w:val="20"/>
        </w:rPr>
        <w:t>A Foucauldian examination of sport and PE practices could, accordingly, encourage analysis of individuals’ experiences in relation to the workings of discourse and power to help understand how differing identities (such as masculine and feminine), social groups (e.g., the sporty boys, tom girls, losers, drop outs) and relations of power are produced. Such a perspective allows one to understand how individuals experience sport and PE differentially and how differing subjectivities or subject positions can be produced from within similar discursive contexts.</w:t>
      </w:r>
    </w:p>
    <w:p w14:paraId="0CAD52AA" w14:textId="77777777" w:rsidR="00BE2C1D" w:rsidRPr="00BE2C1D" w:rsidRDefault="00BE2C1D" w:rsidP="00BE2C1D">
      <w:pPr>
        <w:spacing w:line="360" w:lineRule="auto"/>
        <w:jc w:val="both"/>
        <w:rPr>
          <w:rFonts w:cstheme="minorHAnsi"/>
          <w:b/>
          <w:bCs/>
        </w:rPr>
      </w:pPr>
      <w:r w:rsidRPr="00BE2C1D">
        <w:rPr>
          <w:rFonts w:cstheme="minorHAnsi"/>
        </w:rPr>
        <w:t>Despite Nick being sporty, as demonstrated through his engagement with basketball, his body was feminised and dys-appeared for not performing hegemonic masculinity through rugby (</w:t>
      </w:r>
      <w:r w:rsidRPr="00BE2C1D">
        <w:t xml:space="preserve">Evans et al. 2007). Nick’s story addressed the repercussions that (disabled) young boys face due the prevalence of rugby and its association to hegemonic masculinity (Pringle 2008). As Pringle (2008: 218) maintained, ‘although these stories exist, they tend to me muted’.   </w:t>
      </w:r>
    </w:p>
    <w:p w14:paraId="7048F2E3" w14:textId="77777777" w:rsidR="00BE2C1D" w:rsidRPr="00BE2C1D" w:rsidRDefault="00BE2C1D" w:rsidP="00BE2C1D">
      <w:pPr>
        <w:spacing w:line="360" w:lineRule="auto"/>
        <w:jc w:val="both"/>
        <w:rPr>
          <w:rFonts w:cstheme="minorHAnsi"/>
          <w:sz w:val="20"/>
          <w:szCs w:val="20"/>
        </w:rPr>
      </w:pPr>
      <w:r w:rsidRPr="00BE2C1D">
        <w:t>Similar to Nick’s story was Harry’s story, who shared the following:</w:t>
      </w:r>
    </w:p>
    <w:p w14:paraId="399AD1F8" w14:textId="77777777" w:rsidR="00BE2C1D" w:rsidRPr="00BE2C1D" w:rsidRDefault="00BE2C1D" w:rsidP="00BE2C1D">
      <w:pPr>
        <w:spacing w:line="360" w:lineRule="auto"/>
        <w:ind w:left="720"/>
        <w:jc w:val="both"/>
        <w:rPr>
          <w:sz w:val="20"/>
          <w:szCs w:val="20"/>
        </w:rPr>
      </w:pPr>
      <w:r w:rsidRPr="00BE2C1D">
        <w:rPr>
          <w:sz w:val="20"/>
          <w:szCs w:val="20"/>
        </w:rPr>
        <w:t xml:space="preserve">Harry: Em, they ‘re very rugby, rugby driven, em, so. And I also felt, coz obviously I do a lot of quite sporty things, I didn’t feel like the actual sports department that really appreciates what I’ve done so much. Just because I ‘ve been, I’ve won like international medals and then they didn’t really mention me as somebody that’s done. Like for a rugby team just played against another school and lost, if you know what I mean. It’s so rugby driven, it’s really at the top and it doesn’t really filter down to any other </w:t>
      </w:r>
      <w:r w:rsidRPr="00BE2C1D">
        <w:rPr>
          <w:sz w:val="20"/>
          <w:szCs w:val="20"/>
        </w:rPr>
        <w:lastRenderedPageBreak/>
        <w:t>school sports. [..]Yeah, but it’s just general. I don’t think even the praise, just generally like sport teachers, they don’t even in the hall like go dramatic what you did. I thought like it’s just so like rugby driven and football driven that nobody cared about other sports. And I feel if they don’t have the common care you know to just say well done, and then when you want to be announced just to be like, you know, like a little trophy for the school, I think it’s not really there and made the effort to speak to me about it, so I don’t want them to get any, you know, success from me, if you know what I mean?</w:t>
      </w:r>
    </w:p>
    <w:p w14:paraId="0375F954" w14:textId="77777777" w:rsidR="00BE2C1D" w:rsidRPr="00BE2C1D" w:rsidRDefault="00BE2C1D" w:rsidP="00BE2C1D">
      <w:pPr>
        <w:spacing w:line="360" w:lineRule="auto"/>
        <w:jc w:val="both"/>
      </w:pPr>
      <w:r w:rsidRPr="00BE2C1D">
        <w:t>Like Nick, Harry referred to rugby and football as the dominant sports at his school. This dominance also meant the subordination of any other sports and of bodies that did not take part in them. Therefore, any sport achievements not related to rugby or football were dismissed. This led Harry to feel that none of his sport achievements (e.g. winning international medals) were acknowledged or appreciated in the context of school. However, as Huang and Brittain (2006) noted, success in international disability sport can have many positive effects, including a sense of personal empowerment. Such a lack of acknowledgement both by peers and PE teachers was also noted in Wedgwood’s (2014) and Fitzgerald’s (2005) research, where the young disabled men’s involvement in disability sports, such as boccia, did not necessarily have an impact on how they were perceived by others. Eventually, since the school did not make the effort to acknowledge and celebrate Harry’s achievements, he also resisted the idea of his school getting any recognition for his sport achievements. Harry’s narrative indicated that ‘supercrip’ narratives’ (Schalk, 2016) effects are highly pertinent to the context, meaning that their effects are not always positive for disabled people, as proposed for instance by Berger (2008) and Hardin and Hardin (2004). In Harry’s case, his sport achievements that could position him as a ‘supercrip’ made no difference in how he was perceived as an athlete in the context of school. Similar to Nick, then, Harry’s body dys-appeared because of the school sport culture.</w:t>
      </w:r>
    </w:p>
    <w:p w14:paraId="5FEAC403" w14:textId="77777777" w:rsidR="00BE2C1D" w:rsidRPr="00BE2C1D" w:rsidRDefault="00BE2C1D" w:rsidP="00BE2C1D">
      <w:pPr>
        <w:spacing w:line="360" w:lineRule="auto"/>
        <w:jc w:val="both"/>
      </w:pPr>
      <w:r w:rsidRPr="00BE2C1D">
        <w:t>In a summary, while sports constituted a means for Harry and Nick to re-claim, celebrate and eu-appear</w:t>
      </w:r>
      <w:r w:rsidRPr="00BE2C1D">
        <w:rPr>
          <w:vertAlign w:val="superscript"/>
        </w:rPr>
        <w:footnoteReference w:id="125"/>
      </w:r>
      <w:r w:rsidRPr="00BE2C1D">
        <w:t xml:space="preserve"> (Zeiler 2010) their gendered, dis/abled bodies against biomedical, pathological, deficit understandings of them, the dominance of rugby and football in their schools, reinforced by their PE teachers, resulted in the exclusion and dys-appearance of their disabled, gendered bodies. The repercussions of such dys-appearance included the invalidation of their bodies (Hughes 2000), manifested for instance when they were picked last for sport teams. </w:t>
      </w:r>
    </w:p>
    <w:p w14:paraId="4C6E7F48" w14:textId="77777777" w:rsidR="00BE2C1D" w:rsidRPr="00BE2C1D" w:rsidRDefault="00BE2C1D" w:rsidP="00BE2C1D">
      <w:pPr>
        <w:keepNext/>
        <w:keepLines/>
        <w:spacing w:before="40" w:after="0" w:line="360" w:lineRule="auto"/>
        <w:jc w:val="both"/>
        <w:outlineLvl w:val="1"/>
        <w:rPr>
          <w:rFonts w:asciiTheme="majorHAnsi" w:eastAsiaTheme="majorEastAsia" w:hAnsiTheme="majorHAnsi" w:cstheme="majorBidi"/>
          <w:color w:val="2F5496" w:themeColor="accent1" w:themeShade="BF"/>
          <w:sz w:val="26"/>
          <w:szCs w:val="26"/>
          <w:lang w:eastAsia="zh-CN"/>
        </w:rPr>
      </w:pPr>
      <w:bookmarkStart w:id="144" w:name="_Toc39585270"/>
      <w:r w:rsidRPr="00BE2C1D">
        <w:rPr>
          <w:rFonts w:asciiTheme="majorHAnsi" w:eastAsiaTheme="majorEastAsia" w:hAnsiTheme="majorHAnsi" w:cstheme="majorBidi"/>
          <w:color w:val="2F5496" w:themeColor="accent1" w:themeShade="BF"/>
          <w:sz w:val="26"/>
          <w:szCs w:val="26"/>
          <w:lang w:eastAsia="zh-CN"/>
        </w:rPr>
        <w:lastRenderedPageBreak/>
        <w:t>Conclusions</w:t>
      </w:r>
      <w:bookmarkEnd w:id="144"/>
      <w:r w:rsidRPr="00BE2C1D">
        <w:rPr>
          <w:rFonts w:asciiTheme="majorHAnsi" w:eastAsiaTheme="majorEastAsia" w:hAnsiTheme="majorHAnsi" w:cstheme="majorBidi"/>
          <w:color w:val="2F5496" w:themeColor="accent1" w:themeShade="BF"/>
          <w:sz w:val="26"/>
          <w:szCs w:val="26"/>
          <w:lang w:eastAsia="zh-CN"/>
        </w:rPr>
        <w:t xml:space="preserve">  </w:t>
      </w:r>
    </w:p>
    <w:p w14:paraId="4615BEFA" w14:textId="77777777" w:rsidR="00BE2C1D" w:rsidRPr="00BE2C1D" w:rsidRDefault="00BE2C1D" w:rsidP="00BE2C1D">
      <w:pPr>
        <w:spacing w:line="360" w:lineRule="auto"/>
        <w:jc w:val="both"/>
      </w:pPr>
      <w:r w:rsidRPr="00BE2C1D">
        <w:t>The aim of this chapter was to examine the experiences of the participants with their teachers. Due to the differences in the role(s) between TAs and teachers, I chose Leder’s phenomenology and his concept of dys-appearance, especially its adaptation by feminist (O’Neil 2019; Yates et al. 2018), disability studies (Paterson and Hughes 1999; Reeve 2012) and educational theorists (Warren 2005), to analyse the participants’ stories. This framework was the most suitable to explore how disabled, gendered, young bodies appeared as a problem in the classroom by the teachers due to their ‘excessiveness’ (Michalko 2009) and how the young people managed such excessiveness.</w:t>
      </w:r>
      <w:r w:rsidRPr="00BE2C1D">
        <w:rPr>
          <w:color w:val="FF0000"/>
        </w:rPr>
        <w:t xml:space="preserve"> </w:t>
      </w:r>
    </w:p>
    <w:p w14:paraId="4B4C6425" w14:textId="77777777" w:rsidR="00BE2C1D" w:rsidRPr="00BE2C1D" w:rsidRDefault="00BE2C1D" w:rsidP="00BE2C1D">
      <w:pPr>
        <w:spacing w:line="360" w:lineRule="auto"/>
        <w:jc w:val="both"/>
      </w:pPr>
      <w:r w:rsidRPr="00BE2C1D">
        <w:t xml:space="preserve">One of the key findings was the various contexts and ways in and through which the participants’ bodies dys-appeared by their teachers. This took place, for instance, when their bodies appeared as ‘out of time’ and/or ‘out of place’, when they were objectified e.g. being picked up, or when their capabilities were questioned. In line with the politicisation of dys-appearance by Disability Studies scholars (Paterson and Hughes 1999; Reeve 2012), I proposed that the dys-appearance of the participants should be understood as a product of the ‘structural organisation of schools, and the beliefs and actions of adults’ (Davis and Watson 2001: 684), meaning that their disabled bodies appeared as a problem due to the disablism they were faced with. </w:t>
      </w:r>
    </w:p>
    <w:p w14:paraId="4CAACBCA" w14:textId="77777777" w:rsidR="00BE2C1D" w:rsidRPr="00BE2C1D" w:rsidRDefault="00BE2C1D" w:rsidP="00BE2C1D">
      <w:pPr>
        <w:spacing w:line="360" w:lineRule="auto"/>
        <w:jc w:val="both"/>
        <w:rPr>
          <w:color w:val="FF0000"/>
        </w:rPr>
      </w:pPr>
      <w:r w:rsidRPr="00BE2C1D">
        <w:t xml:space="preserve">Another key finding was the psycho-emotional toll that dys-appearance had on the participants. Furthermore, dys-appearance triggered what Leder referred to as ‘telic demand’, that is a response to cease dys-appearance and its effects. The participants responded to the dys-appearance of their bodies in two ways. Firstly, they resisted it by re-moving the problem from their bodies to either the structures e.g. inaccessible environments, or their teachers’ attitudes e.g. by describing them as ‘odd’ etc. The second way was through the extra, hidden labour (Scully 2010) they put to prove to their teachers they were capable of doing things that they (teachers) assumed they could do not. However, this extra labour was not always effective in ceasing dys-appearance. What was common in both responses (hidden labour and resistance) was the emotional labour required by the participants to perform them. </w:t>
      </w:r>
    </w:p>
    <w:p w14:paraId="4F58D0E2" w14:textId="77777777" w:rsidR="00BE2C1D" w:rsidRPr="00BE2C1D" w:rsidRDefault="00BE2C1D" w:rsidP="00BE2C1D">
      <w:pPr>
        <w:spacing w:line="360" w:lineRule="auto"/>
        <w:jc w:val="both"/>
      </w:pPr>
      <w:r w:rsidRPr="00BE2C1D">
        <w:t xml:space="preserve">Moreover, most stories in this chapter were from female participants. This was not coincidental, but it demonstrated how dys-appearance was gendered too. The female/feminised disabled body was routinely dys-appeared within a patriarchal, disabling context. Even in the cases of male participants and, particularly in their stories of PE, their disabled body was feminised and dys-appeared for being unable to participate in sports that promoted hegemonic masculinity, such as rugby and football. These stories then pointed to how an intersectional approach to dys-appearance was essential to understand the dys-appearance of disabled, gendered bodies. However, it is also worth noting that </w:t>
      </w:r>
      <w:r w:rsidRPr="00BE2C1D">
        <w:lastRenderedPageBreak/>
        <w:t xml:space="preserve">race was left out of this intersectional perspective due the marked invisibility (disappearance) of participants’ Whiteness.  </w:t>
      </w:r>
    </w:p>
    <w:p w14:paraId="1D525967" w14:textId="77777777" w:rsidR="00BE2C1D" w:rsidRPr="00BE2C1D" w:rsidRDefault="00BE2C1D" w:rsidP="00BE2C1D">
      <w:pPr>
        <w:spacing w:line="360" w:lineRule="auto"/>
        <w:jc w:val="both"/>
      </w:pPr>
      <w:r w:rsidRPr="00BE2C1D">
        <w:t xml:space="preserve">Overall, in this chapter I navigated sensitively the difficulties that Paechter (2011: 319) discussed in looking into children’s embodiment:     </w:t>
      </w:r>
    </w:p>
    <w:p w14:paraId="7B3C7C16" w14:textId="77777777" w:rsidR="00BE2C1D" w:rsidRPr="00BE2C1D" w:rsidRDefault="00BE2C1D" w:rsidP="00BE2C1D">
      <w:pPr>
        <w:spacing w:line="360" w:lineRule="auto"/>
        <w:ind w:left="720"/>
        <w:jc w:val="both"/>
        <w:rPr>
          <w:sz w:val="20"/>
          <w:szCs w:val="20"/>
        </w:rPr>
      </w:pPr>
      <w:r w:rsidRPr="00BE2C1D">
        <w:rPr>
          <w:sz w:val="20"/>
          <w:szCs w:val="20"/>
        </w:rPr>
        <w:t xml:space="preserve">Overtly researching embodiment is, as I have argued, more difficult, but it may be possible to approach it by being open with children about the nature of pathologised bodies and discussing with them why this phenomenon occurs, thus simultaneously making problematic the pathology while researching its manifestations and effects. </w:t>
      </w:r>
    </w:p>
    <w:p w14:paraId="5A71569F" w14:textId="77777777" w:rsidR="00BE2C1D" w:rsidRPr="00BE2C1D" w:rsidRDefault="00BE2C1D" w:rsidP="00BE2C1D">
      <w:pPr>
        <w:spacing w:line="360" w:lineRule="auto"/>
        <w:jc w:val="both"/>
      </w:pPr>
      <w:r w:rsidRPr="00BE2C1D">
        <w:t xml:space="preserve">In the next chapter, I review the participants’ stories regarding the different forms of violence they encountered in schools. </w:t>
      </w:r>
      <w:bookmarkStart w:id="145" w:name="_Hlk38910019"/>
    </w:p>
    <w:p w14:paraId="4914EAB4" w14:textId="77777777" w:rsidR="00BE2C1D" w:rsidRPr="00BE2C1D" w:rsidRDefault="00BE2C1D" w:rsidP="00BE2C1D">
      <w:pPr>
        <w:spacing w:line="360" w:lineRule="auto"/>
        <w:jc w:val="both"/>
      </w:pPr>
    </w:p>
    <w:p w14:paraId="427CC62B" w14:textId="77777777" w:rsidR="00BE2C1D" w:rsidRPr="00BE2C1D" w:rsidRDefault="00BE2C1D" w:rsidP="00BE2C1D">
      <w:pPr>
        <w:spacing w:line="360" w:lineRule="auto"/>
        <w:jc w:val="both"/>
      </w:pPr>
    </w:p>
    <w:p w14:paraId="47CB441A" w14:textId="77777777" w:rsidR="00BE2C1D" w:rsidRPr="00BE2C1D" w:rsidRDefault="00BE2C1D" w:rsidP="00BE2C1D">
      <w:pPr>
        <w:spacing w:line="360" w:lineRule="auto"/>
        <w:jc w:val="both"/>
      </w:pPr>
    </w:p>
    <w:p w14:paraId="5C00632C" w14:textId="77777777" w:rsidR="00BE2C1D" w:rsidRPr="00BE2C1D" w:rsidRDefault="00BE2C1D" w:rsidP="00BE2C1D">
      <w:pPr>
        <w:spacing w:line="360" w:lineRule="auto"/>
        <w:jc w:val="both"/>
      </w:pPr>
    </w:p>
    <w:p w14:paraId="15E98500" w14:textId="77777777" w:rsidR="00BE2C1D" w:rsidRPr="00BE2C1D" w:rsidRDefault="00BE2C1D" w:rsidP="00BE2C1D">
      <w:pPr>
        <w:spacing w:line="360" w:lineRule="auto"/>
        <w:jc w:val="both"/>
      </w:pPr>
    </w:p>
    <w:p w14:paraId="3AA007B3" w14:textId="77777777" w:rsidR="00BE2C1D" w:rsidRPr="00BE2C1D" w:rsidRDefault="00BE2C1D" w:rsidP="00BE2C1D">
      <w:pPr>
        <w:spacing w:line="360" w:lineRule="auto"/>
        <w:jc w:val="both"/>
      </w:pPr>
    </w:p>
    <w:p w14:paraId="2854286F" w14:textId="77777777" w:rsidR="00BE2C1D" w:rsidRPr="00BE2C1D" w:rsidRDefault="00BE2C1D" w:rsidP="00BE2C1D">
      <w:pPr>
        <w:spacing w:line="360" w:lineRule="auto"/>
        <w:jc w:val="both"/>
      </w:pPr>
    </w:p>
    <w:p w14:paraId="3F9FEBF6" w14:textId="77777777" w:rsidR="00BE2C1D" w:rsidRPr="00BE2C1D" w:rsidRDefault="00BE2C1D" w:rsidP="00BE2C1D">
      <w:pPr>
        <w:spacing w:line="360" w:lineRule="auto"/>
        <w:jc w:val="both"/>
      </w:pPr>
    </w:p>
    <w:p w14:paraId="752C1AB3" w14:textId="77777777" w:rsidR="00BE2C1D" w:rsidRPr="00BE2C1D" w:rsidRDefault="00BE2C1D" w:rsidP="00BE2C1D">
      <w:pPr>
        <w:spacing w:line="360" w:lineRule="auto"/>
        <w:jc w:val="both"/>
      </w:pPr>
    </w:p>
    <w:p w14:paraId="3809392B" w14:textId="77777777" w:rsidR="00BE2C1D" w:rsidRPr="00BE2C1D" w:rsidRDefault="00BE2C1D" w:rsidP="00BE2C1D">
      <w:pPr>
        <w:spacing w:line="360" w:lineRule="auto"/>
        <w:jc w:val="both"/>
      </w:pPr>
    </w:p>
    <w:p w14:paraId="54E2EF13" w14:textId="77777777" w:rsidR="00BE2C1D" w:rsidRPr="00BE2C1D" w:rsidRDefault="00BE2C1D" w:rsidP="00BE2C1D">
      <w:pPr>
        <w:spacing w:line="360" w:lineRule="auto"/>
        <w:jc w:val="both"/>
      </w:pPr>
    </w:p>
    <w:p w14:paraId="20FA9E8B" w14:textId="77777777" w:rsidR="00BE2C1D" w:rsidRPr="00BE2C1D" w:rsidRDefault="00BE2C1D" w:rsidP="00BE2C1D">
      <w:pPr>
        <w:spacing w:line="360" w:lineRule="auto"/>
        <w:jc w:val="both"/>
      </w:pPr>
    </w:p>
    <w:p w14:paraId="49A110E3" w14:textId="77777777" w:rsidR="00BE2C1D" w:rsidRPr="00BE2C1D" w:rsidRDefault="00BE2C1D" w:rsidP="00BE2C1D">
      <w:pPr>
        <w:spacing w:line="360" w:lineRule="auto"/>
        <w:jc w:val="both"/>
      </w:pPr>
    </w:p>
    <w:p w14:paraId="4311BEDD" w14:textId="77777777" w:rsidR="00BE2C1D" w:rsidRPr="00BE2C1D" w:rsidRDefault="00BE2C1D" w:rsidP="00BE2C1D">
      <w:pPr>
        <w:spacing w:line="360" w:lineRule="auto"/>
        <w:jc w:val="both"/>
      </w:pPr>
    </w:p>
    <w:p w14:paraId="1AD3FB6E" w14:textId="77777777" w:rsidR="00BE2C1D" w:rsidRPr="00BE2C1D" w:rsidRDefault="00BE2C1D" w:rsidP="00BE2C1D">
      <w:pPr>
        <w:keepNext/>
        <w:keepLines/>
        <w:spacing w:before="240" w:after="0"/>
        <w:outlineLvl w:val="0"/>
        <w:rPr>
          <w:rFonts w:asciiTheme="majorHAnsi" w:eastAsiaTheme="majorEastAsia" w:hAnsiTheme="majorHAnsi" w:cstheme="majorBidi"/>
          <w:color w:val="4472C4" w:themeColor="accent1"/>
          <w:sz w:val="32"/>
          <w:szCs w:val="32"/>
          <w:lang w:eastAsia="zh-CN"/>
        </w:rPr>
      </w:pPr>
      <w:bookmarkStart w:id="146" w:name="_Toc39585271"/>
      <w:r w:rsidRPr="00BE2C1D">
        <w:rPr>
          <w:rFonts w:asciiTheme="majorHAnsi" w:eastAsiaTheme="majorEastAsia" w:hAnsiTheme="majorHAnsi" w:cstheme="majorBidi"/>
          <w:color w:val="4472C4" w:themeColor="accent1"/>
          <w:sz w:val="32"/>
          <w:szCs w:val="32"/>
          <w:lang w:eastAsia="zh-CN"/>
        </w:rPr>
        <w:lastRenderedPageBreak/>
        <w:t>Chapter 7: En/Counters with School Violence: The Experiences of Bullying of Young People with RG</w:t>
      </w:r>
      <w:bookmarkEnd w:id="146"/>
      <w:r w:rsidRPr="00BE2C1D">
        <w:rPr>
          <w:rFonts w:asciiTheme="majorHAnsi" w:eastAsiaTheme="majorEastAsia" w:hAnsiTheme="majorHAnsi" w:cstheme="majorBidi"/>
          <w:color w:val="4472C4" w:themeColor="accent1"/>
          <w:sz w:val="32"/>
          <w:szCs w:val="32"/>
          <w:lang w:eastAsia="zh-CN"/>
        </w:rPr>
        <w:t xml:space="preserve">  </w:t>
      </w:r>
    </w:p>
    <w:p w14:paraId="516167F4" w14:textId="77777777" w:rsidR="00BE2C1D" w:rsidRPr="00BE2C1D" w:rsidRDefault="00BE2C1D" w:rsidP="00BE2C1D">
      <w:pPr>
        <w:keepNext/>
        <w:keepLines/>
        <w:spacing w:before="40" w:after="0" w:line="360" w:lineRule="auto"/>
        <w:outlineLvl w:val="1"/>
        <w:rPr>
          <w:rFonts w:asciiTheme="majorHAnsi" w:eastAsiaTheme="majorEastAsia" w:hAnsiTheme="majorHAnsi" w:cstheme="majorBidi"/>
          <w:color w:val="2F5496" w:themeColor="accent1" w:themeShade="BF"/>
          <w:sz w:val="26"/>
          <w:szCs w:val="26"/>
        </w:rPr>
      </w:pPr>
      <w:bookmarkStart w:id="147" w:name="_Toc39585272"/>
      <w:bookmarkEnd w:id="145"/>
      <w:r w:rsidRPr="00BE2C1D">
        <w:rPr>
          <w:rFonts w:asciiTheme="majorHAnsi" w:eastAsiaTheme="majorEastAsia" w:hAnsiTheme="majorHAnsi" w:cstheme="majorBidi"/>
          <w:color w:val="2F5496" w:themeColor="accent1" w:themeShade="BF"/>
          <w:sz w:val="26"/>
          <w:szCs w:val="26"/>
        </w:rPr>
        <w:t>Introduction</w:t>
      </w:r>
      <w:bookmarkEnd w:id="147"/>
      <w:r w:rsidRPr="00BE2C1D">
        <w:rPr>
          <w:rFonts w:asciiTheme="majorHAnsi" w:eastAsiaTheme="majorEastAsia" w:hAnsiTheme="majorHAnsi" w:cstheme="majorBidi"/>
          <w:color w:val="2F5496" w:themeColor="accent1" w:themeShade="BF"/>
          <w:sz w:val="26"/>
          <w:szCs w:val="26"/>
        </w:rPr>
        <w:t xml:space="preserve"> </w:t>
      </w:r>
    </w:p>
    <w:p w14:paraId="20DDCFF0" w14:textId="77777777" w:rsidR="00BE2C1D" w:rsidRPr="00BE2C1D" w:rsidRDefault="00BE2C1D" w:rsidP="00BE2C1D">
      <w:pPr>
        <w:spacing w:line="360" w:lineRule="auto"/>
        <w:ind w:left="720"/>
        <w:jc w:val="both"/>
        <w:rPr>
          <w:sz w:val="20"/>
          <w:szCs w:val="20"/>
        </w:rPr>
      </w:pPr>
      <w:bookmarkStart w:id="148" w:name="_Hlk38827752"/>
      <w:r w:rsidRPr="00BE2C1D">
        <w:rPr>
          <w:sz w:val="20"/>
          <w:szCs w:val="20"/>
        </w:rPr>
        <w:t>Paul: I remember at a particular point where the same person as well, I ‘d had some lunch money, you know, to buy some lunch, and I was going to the canteen to try and buy something. And to get to the canteen, there’s, outside, there is quite a few stairs. I remember him trying to push me over the stairs, trying to get my lunch money. And he grabbed it in the end and went off with it.</w:t>
      </w:r>
    </w:p>
    <w:p w14:paraId="787EEAEC" w14:textId="77777777" w:rsidR="00BE2C1D" w:rsidRPr="00BE2C1D" w:rsidRDefault="00BE2C1D" w:rsidP="00BE2C1D">
      <w:pPr>
        <w:spacing w:line="360" w:lineRule="auto"/>
        <w:ind w:left="720"/>
        <w:jc w:val="both"/>
        <w:rPr>
          <w:sz w:val="20"/>
          <w:szCs w:val="20"/>
        </w:rPr>
      </w:pPr>
      <w:r w:rsidRPr="00BE2C1D">
        <w:rPr>
          <w:sz w:val="20"/>
          <w:szCs w:val="20"/>
        </w:rPr>
        <w:t>Rania: So that was quite detrimental for my last year. And, em, very honestly and, hmm, I think I still honestly things have left some scarring problems.</w:t>
      </w:r>
    </w:p>
    <w:p w14:paraId="38075D8A" w14:textId="77777777" w:rsidR="00BE2C1D" w:rsidRPr="00BE2C1D" w:rsidRDefault="00BE2C1D" w:rsidP="00BE2C1D">
      <w:pPr>
        <w:spacing w:line="360" w:lineRule="auto"/>
        <w:jc w:val="both"/>
      </w:pPr>
      <w:r w:rsidRPr="00BE2C1D">
        <w:t>In this chapter, I choose to re-tell stories of school violence that the disabled young people experienced, stories that were tough to listen to in person</w:t>
      </w:r>
      <w:r w:rsidRPr="00BE2C1D">
        <w:rPr>
          <w:vertAlign w:val="superscript"/>
        </w:rPr>
        <w:footnoteReference w:id="126"/>
      </w:r>
      <w:r w:rsidRPr="00BE2C1D">
        <w:t>, to re-listen during transcription in the absent presence of the participants and which were hard to re-tell. This chapter is timely, considering the latest reports of the Equality and Human Rights Commission (2017, 2018), which indicated that disabled children and young people are still among those groups</w:t>
      </w:r>
      <w:r w:rsidRPr="00BE2C1D">
        <w:rPr>
          <w:vertAlign w:val="superscript"/>
        </w:rPr>
        <w:footnoteReference w:id="127"/>
      </w:r>
      <w:r w:rsidRPr="00BE2C1D">
        <w:t xml:space="preserve"> with the highest percentages regarding the occurrence of bullying during schooling. Moreover, despite the extensive research on bullying and school violence against disabled children (Chatzitheohari et al. 2016; Holt et al. 2017; Jones et al. 2012) and preventative and interventionist strategies and policies against it (Smith et al. 2008, 2012), bullying still persists and disabled young people remain a common target. It was only a few months ago (February 2020) when the video of a nine-year old boy with RG, Quaden Bayles</w:t>
      </w:r>
      <w:r w:rsidRPr="00BE2C1D">
        <w:rPr>
          <w:vertAlign w:val="superscript"/>
        </w:rPr>
        <w:footnoteReference w:id="128"/>
      </w:r>
      <w:r w:rsidRPr="00BE2C1D">
        <w:t xml:space="preserve">, recorded by his mother, depicted him in tears due to the bullying he was dealing with at school and with him stating that he wanted to commit suicide, demonstrating the very harsh effects bullying can have (also illustrated in Rania’s metaphor of ‘scarring’ problems).      </w:t>
      </w:r>
    </w:p>
    <w:p w14:paraId="0D9C5013" w14:textId="77777777" w:rsidR="00BE2C1D" w:rsidRPr="00BE2C1D" w:rsidRDefault="00BE2C1D" w:rsidP="00BE2C1D">
      <w:pPr>
        <w:spacing w:line="360" w:lineRule="auto"/>
        <w:jc w:val="both"/>
      </w:pPr>
      <w:r w:rsidRPr="00BE2C1D">
        <w:t xml:space="preserve">Furthermore, not only is this a timely topic, but it is also a ‘sensitive’ and ‘difficult’ one to research and discuss. Walton (2015) refers to narratives of bullying as ‘difficult knowledge’ and Tholander et al. (2019: 14) propose that ‘the difficult knowledge concerns both sides of the podium, the narrator as well as the audience’. Due to the nature of these narratives, I start this chapter by considering the potential dangers of re-telling these stories and justifying why I insisted on sharing them. Following </w:t>
      </w:r>
      <w:r w:rsidRPr="00BE2C1D">
        <w:lastRenderedPageBreak/>
        <w:t>the discussion of the ethical dimensions of sharing these stories, I introduce the theoretical and analytical frameworks through which they were analysed.  Stories of ‘real’ violence, stories of psycho-emotional violence and stories of systemic violence are discussed next. A separate section is devoted to stories of resistance, which looks into what strategies the participants developed to counteract the violence they experienced. Finally, a summary of what was discussed in the chapter is provided.</w:t>
      </w:r>
    </w:p>
    <w:p w14:paraId="40B8B3AE" w14:textId="77777777" w:rsidR="00BE2C1D" w:rsidRPr="00BE2C1D" w:rsidRDefault="00BE2C1D" w:rsidP="00BE2C1D">
      <w:pPr>
        <w:keepNext/>
        <w:keepLines/>
        <w:spacing w:before="40" w:after="0" w:line="360" w:lineRule="auto"/>
        <w:outlineLvl w:val="1"/>
        <w:rPr>
          <w:rFonts w:asciiTheme="majorHAnsi" w:eastAsiaTheme="majorEastAsia" w:hAnsiTheme="majorHAnsi" w:cstheme="majorBidi"/>
          <w:color w:val="2F5496" w:themeColor="accent1" w:themeShade="BF"/>
          <w:sz w:val="26"/>
          <w:szCs w:val="26"/>
        </w:rPr>
      </w:pPr>
      <w:bookmarkStart w:id="149" w:name="_Toc39585273"/>
      <w:bookmarkEnd w:id="148"/>
      <w:r w:rsidRPr="00BE2C1D">
        <w:rPr>
          <w:rFonts w:asciiTheme="majorHAnsi" w:eastAsiaTheme="majorEastAsia" w:hAnsiTheme="majorHAnsi" w:cstheme="majorBidi"/>
          <w:color w:val="2F5496" w:themeColor="accent1" w:themeShade="BF"/>
          <w:sz w:val="26"/>
          <w:szCs w:val="26"/>
        </w:rPr>
        <w:t>Ethical Considerations on Sharing Sensitive Stories</w:t>
      </w:r>
      <w:bookmarkEnd w:id="149"/>
      <w:r w:rsidRPr="00BE2C1D">
        <w:rPr>
          <w:rFonts w:asciiTheme="majorHAnsi" w:eastAsiaTheme="majorEastAsia" w:hAnsiTheme="majorHAnsi" w:cstheme="majorBidi"/>
          <w:color w:val="2F5496" w:themeColor="accent1" w:themeShade="BF"/>
          <w:sz w:val="26"/>
          <w:szCs w:val="26"/>
        </w:rPr>
        <w:t xml:space="preserve"> </w:t>
      </w:r>
    </w:p>
    <w:p w14:paraId="08D1FEB2" w14:textId="77777777" w:rsidR="00BE2C1D" w:rsidRPr="00BE2C1D" w:rsidRDefault="00BE2C1D" w:rsidP="00BE2C1D">
      <w:pPr>
        <w:spacing w:line="360" w:lineRule="auto"/>
        <w:jc w:val="both"/>
      </w:pPr>
      <w:r w:rsidRPr="00BE2C1D">
        <w:t>Reflecting on the tensions of releasing stories of violence towards disabled children and young people, Goodley and Runswick-Cole (2013: 2-3) maintained:</w:t>
      </w:r>
    </w:p>
    <w:p w14:paraId="7B249607" w14:textId="77777777" w:rsidR="00BE2C1D" w:rsidRPr="00BE2C1D" w:rsidRDefault="00BE2C1D" w:rsidP="00BE2C1D">
      <w:pPr>
        <w:spacing w:line="360" w:lineRule="auto"/>
        <w:ind w:left="720"/>
        <w:jc w:val="both"/>
        <w:rPr>
          <w:sz w:val="20"/>
          <w:szCs w:val="20"/>
        </w:rPr>
      </w:pPr>
      <w:r w:rsidRPr="00BE2C1D">
        <w:rPr>
          <w:sz w:val="20"/>
          <w:szCs w:val="20"/>
        </w:rPr>
        <w:t xml:space="preserve">Publicizing potentially traumatizing stories risks victimizing children and contributing even further to a pathological account of their lives. In the present article we continue to recognize the tensions in (re)telling difficult stories. Regardless of the fact that our research passed university ethics committee procedures, we still worry that these accounts might feed into a voyeuristic interest in the tragic stories of disability. We are, also, anxious that in writing a research article we are in danger of domesticating or objectifying very real stories of oppression. </w:t>
      </w:r>
    </w:p>
    <w:p w14:paraId="459C808E" w14:textId="77777777" w:rsidR="00BE2C1D" w:rsidRPr="00BE2C1D" w:rsidRDefault="00BE2C1D" w:rsidP="00BE2C1D">
      <w:pPr>
        <w:spacing w:line="360" w:lineRule="auto"/>
        <w:jc w:val="both"/>
      </w:pPr>
      <w:r w:rsidRPr="00BE2C1D">
        <w:t>The concerns raised by the two authors played (and still play) out constantly in my mind whilst writing this chapter. How will these stories be interpreted by the reader(s)? What views of disability and violence will they bring about? What feelings will they provoke to them? How much control (if any) do I have over how they will be read? How do I reduce the risk of commodifying ‘victimhood’? (Kleinman and Kleinman 1997). Once these stories are out there, available for public consumption, they cannot be retrieved. While these concerns and questions kept haunting me, I still made a conscious choice of re-telling these difficult stories. However, I feel the need to justify this choice.</w:t>
      </w:r>
    </w:p>
    <w:p w14:paraId="1FFCA4B9" w14:textId="77777777" w:rsidR="00BE2C1D" w:rsidRPr="00BE2C1D" w:rsidRDefault="00BE2C1D" w:rsidP="00BE2C1D">
      <w:pPr>
        <w:spacing w:line="360" w:lineRule="auto"/>
        <w:jc w:val="both"/>
      </w:pPr>
      <w:r w:rsidRPr="00BE2C1D">
        <w:t xml:space="preserve">Firstly, the participants shared these stories with the intention of them being listened to, which made me feel ethically bound to honour them (Alcoff 1991). Had I exercised my authorial power (Hoffman 2007) and had I chosen not to re-tell these stories due to the aforementioned concerns, I would potentially have reproduced violence by silencing them. Secondly, I was also interested in what these stories could do (Alcoff and Gray 1993), that is how they could shake dominant discourses around disability and violence, discourses which urgently call for a response (Goodley and Runswick-Cole 2013). Speaking of bullying, Walton (2015: 29) proposed:  </w:t>
      </w:r>
    </w:p>
    <w:p w14:paraId="3A481E94" w14:textId="77777777" w:rsidR="00BE2C1D" w:rsidRPr="00BE2C1D" w:rsidRDefault="00BE2C1D" w:rsidP="00BE2C1D">
      <w:pPr>
        <w:spacing w:line="360" w:lineRule="auto"/>
        <w:ind w:left="720"/>
        <w:jc w:val="both"/>
        <w:rPr>
          <w:sz w:val="20"/>
          <w:szCs w:val="20"/>
        </w:rPr>
      </w:pPr>
      <w:r w:rsidRPr="00BE2C1D">
        <w:rPr>
          <w:sz w:val="20"/>
          <w:szCs w:val="20"/>
        </w:rPr>
        <w:t>Bullying as a phenomenon remains misunderstood. Elsewhere, I refer to this as the “problem trap”</w:t>
      </w:r>
      <w:r w:rsidRPr="00BE2C1D">
        <w:rPr>
          <w:vertAlign w:val="superscript"/>
        </w:rPr>
        <w:footnoteReference w:id="129"/>
      </w:r>
      <w:r w:rsidRPr="00BE2C1D">
        <w:rPr>
          <w:sz w:val="20"/>
          <w:szCs w:val="20"/>
        </w:rPr>
        <w:t xml:space="preserve">, meaning that we think we know what bullying is (behavioural, interpersonal) and, like centrifugal force, </w:t>
      </w:r>
      <w:r w:rsidRPr="00BE2C1D">
        <w:rPr>
          <w:sz w:val="20"/>
          <w:szCs w:val="20"/>
        </w:rPr>
        <w:lastRenderedPageBreak/>
        <w:t xml:space="preserve">anti-bullying approaches gravitate around it. It is not the specific approaches that are necessarily faulty; rather, it is misguided collective knowledge about bullying that informs those approaches in the first place. </w:t>
      </w:r>
    </w:p>
    <w:p w14:paraId="7BC9F7A4" w14:textId="77777777" w:rsidR="00BE2C1D" w:rsidRPr="00BE2C1D" w:rsidRDefault="00BE2C1D" w:rsidP="00BE2C1D">
      <w:pPr>
        <w:spacing w:line="360" w:lineRule="auto"/>
        <w:jc w:val="both"/>
      </w:pPr>
      <w:r w:rsidRPr="00BE2C1D">
        <w:t>Similar is the situation with the dominant discourse around disability, with disability being understood and discussed strictly in medicalised, individualistic, deficit terms (Goodley 2016) as well as the relationship between violence and disability. As Goodley and Runswick-Cole (2011a) pointed out, the traditional approach still tends to pathologise the disabled subject as exhibiting violent behaviour. Moreover, although the violence experienced by disabled young people is getting gradually more and more acknowledged (Jones et al. 2012), it is still attributed to individual acts or the individual dispositions of (aggressive) individuals (</w:t>
      </w:r>
      <w:r w:rsidRPr="00BE2C1D">
        <w:rPr>
          <w:rFonts w:ascii="Calibri" w:hAnsi="Calibri" w:cs="Calibri"/>
        </w:rPr>
        <w:t>Bansel et al. 2009;</w:t>
      </w:r>
      <w:r w:rsidRPr="00BE2C1D">
        <w:t xml:space="preserve"> Goodley and Runswick-Cole, 2011a;</w:t>
      </w:r>
      <w:r w:rsidRPr="00BE2C1D">
        <w:rPr>
          <w:rFonts w:ascii="Calibri" w:hAnsi="Calibri" w:cs="Calibri"/>
        </w:rPr>
        <w:t xml:space="preserve"> Kousholt and Fisher 2015; Ryan &amp; Morgan, 2011; Walton 2005b</w:t>
      </w:r>
      <w:r w:rsidRPr="00BE2C1D">
        <w:t xml:space="preserve">) rather than to systems and structures which produce such acts and dispositions or provide the ground for them to materialise (Horton 2016a; Watts and Erevelles 2004). </w:t>
      </w:r>
    </w:p>
    <w:p w14:paraId="0E2E53A7" w14:textId="77777777" w:rsidR="00BE2C1D" w:rsidRPr="00BE2C1D" w:rsidRDefault="00BE2C1D" w:rsidP="00BE2C1D">
      <w:pPr>
        <w:spacing w:line="360" w:lineRule="auto"/>
        <w:jc w:val="both"/>
      </w:pPr>
      <w:r w:rsidRPr="00BE2C1D">
        <w:t xml:space="preserve">This chapter, then, re-tells difficult stories, with the aims of respecting participants’ desire to be listened to and of shifting the way(s) we think and speak of disability and bullying. In the next section I discuss the theoretical and analytical frameworks through which these stories are analysed and organised respectively. </w:t>
      </w:r>
    </w:p>
    <w:p w14:paraId="224BF7ED" w14:textId="77777777" w:rsidR="00BE2C1D" w:rsidRPr="00BE2C1D" w:rsidRDefault="00BE2C1D" w:rsidP="00BE2C1D">
      <w:pPr>
        <w:keepNext/>
        <w:keepLines/>
        <w:spacing w:before="40" w:after="0" w:line="360" w:lineRule="auto"/>
        <w:outlineLvl w:val="1"/>
        <w:rPr>
          <w:rFonts w:asciiTheme="majorHAnsi" w:eastAsiaTheme="majorEastAsia" w:hAnsiTheme="majorHAnsi" w:cstheme="majorBidi"/>
          <w:color w:val="2F5496" w:themeColor="accent1" w:themeShade="BF"/>
          <w:sz w:val="26"/>
          <w:szCs w:val="26"/>
        </w:rPr>
      </w:pPr>
      <w:bookmarkStart w:id="150" w:name="_Toc39585274"/>
      <w:r w:rsidRPr="00BE2C1D">
        <w:rPr>
          <w:rFonts w:asciiTheme="majorHAnsi" w:eastAsiaTheme="majorEastAsia" w:hAnsiTheme="majorHAnsi" w:cstheme="majorBidi"/>
          <w:color w:val="2F5496" w:themeColor="accent1" w:themeShade="BF"/>
          <w:sz w:val="26"/>
          <w:szCs w:val="26"/>
        </w:rPr>
        <w:t>Researching School Violence and Disability</w:t>
      </w:r>
      <w:bookmarkEnd w:id="150"/>
      <w:r w:rsidRPr="00BE2C1D">
        <w:rPr>
          <w:rFonts w:asciiTheme="majorHAnsi" w:eastAsiaTheme="majorEastAsia" w:hAnsiTheme="majorHAnsi" w:cstheme="majorBidi"/>
          <w:color w:val="2F5496" w:themeColor="accent1" w:themeShade="BF"/>
          <w:sz w:val="26"/>
          <w:szCs w:val="26"/>
        </w:rPr>
        <w:t xml:space="preserve"> </w:t>
      </w:r>
    </w:p>
    <w:p w14:paraId="5772F2CC" w14:textId="77777777" w:rsidR="00BE2C1D" w:rsidRPr="00BE2C1D" w:rsidRDefault="00BE2C1D" w:rsidP="00BE2C1D">
      <w:pPr>
        <w:spacing w:line="360" w:lineRule="auto"/>
        <w:ind w:left="720"/>
        <w:jc w:val="both"/>
        <w:rPr>
          <w:sz w:val="20"/>
          <w:szCs w:val="20"/>
        </w:rPr>
      </w:pPr>
      <w:r w:rsidRPr="00BE2C1D">
        <w:rPr>
          <w:sz w:val="20"/>
          <w:szCs w:val="20"/>
        </w:rPr>
        <w:t>In the case of bullying, more research is not better, contrary to research industry ideology. In fact, I would argue, based on my many years of adjudicating proposals on bullying for major international educational conferences, that instead of doing more research, we need to stop our industry, take a step back, look at the problem in broad contexts rather than micromoments, and go back to the drawing board. A disavowal of the bullying orthodoxy is called for. In short, we need to stop before we continue to think (Walton 2015: 30).</w:t>
      </w:r>
    </w:p>
    <w:p w14:paraId="6FD962AF" w14:textId="77777777" w:rsidR="00BE2C1D" w:rsidRPr="00BE2C1D" w:rsidRDefault="00BE2C1D" w:rsidP="00BE2C1D">
      <w:pPr>
        <w:spacing w:line="360" w:lineRule="auto"/>
        <w:jc w:val="both"/>
      </w:pPr>
      <w:r w:rsidRPr="00BE2C1D">
        <w:t>In my search for a theoretical framework through which I could ‘make sense’ of the participants’ stories, I stumbled upon the above quote: an urgent call to pause to think about bullying rather than rushing to do research on it. The above quote was from an article that had been published in a special issue of Confero</w:t>
      </w:r>
      <w:r w:rsidRPr="00BE2C1D">
        <w:rPr>
          <w:vertAlign w:val="superscript"/>
        </w:rPr>
        <w:footnoteReference w:id="130"/>
      </w:r>
      <w:r w:rsidRPr="00BE2C1D">
        <w:t>, where several researchers</w:t>
      </w:r>
      <w:r w:rsidRPr="00BE2C1D">
        <w:rPr>
          <w:vertAlign w:val="superscript"/>
        </w:rPr>
        <w:footnoteReference w:id="131"/>
      </w:r>
      <w:r w:rsidRPr="00BE2C1D">
        <w:rPr>
          <w:color w:val="FF0000"/>
        </w:rPr>
        <w:t xml:space="preserve"> </w:t>
      </w:r>
      <w:r w:rsidRPr="00BE2C1D">
        <w:t xml:space="preserve">had been invited to share their understanding(s) of bullying and how such understanding(s) had shaped their approach/study (theoretical, </w:t>
      </w:r>
      <w:r w:rsidRPr="00BE2C1D">
        <w:lastRenderedPageBreak/>
        <w:t xml:space="preserve">methodological, epistemological, ontological) to it. These contributions were required to be theoretical rather than empirically driven (Horton and Forsberg, 2015). </w:t>
      </w:r>
    </w:p>
    <w:p w14:paraId="01ABC6F8" w14:textId="77777777" w:rsidR="00BE2C1D" w:rsidRPr="00BE2C1D" w:rsidRDefault="00BE2C1D" w:rsidP="00BE2C1D">
      <w:pPr>
        <w:spacing w:line="360" w:lineRule="auto"/>
        <w:jc w:val="both"/>
      </w:pPr>
      <w:r w:rsidRPr="00BE2C1D">
        <w:t>Thornberg (2015b) referred to a ranger of approaches</w:t>
      </w:r>
      <w:r w:rsidRPr="00BE2C1D">
        <w:rPr>
          <w:vertAlign w:val="superscript"/>
        </w:rPr>
        <w:footnoteReference w:id="132"/>
      </w:r>
      <w:r w:rsidRPr="00BE2C1D">
        <w:t xml:space="preserve"> that he reviewed in his essay, concluding with the need for dialogue between different perspectives and the potential of the ‘socio-ecological’ framework to accommodate such a dialogue. This article demonstrated, on the one hand, the pluralism of theoretical approaches to bullying, and, on the other hand, the hierarchical order of such approaches. Horton and Forsberg (2015: 7) argued that ‘[t]his lack of theoretical discussion of the social, institutional, and societal factors involved in bullying is surprising when one considers that school bullying is not a particularly new phenomenon. Thornberg (2018: 144) related this lack of consideration of the above factors to the fact that ‘[</w:t>
      </w:r>
      <w:r w:rsidRPr="00BE2C1D">
        <w:rPr>
          <w:rFonts w:ascii="Calibri" w:hAnsi="Calibri" w:cs="Calibri"/>
        </w:rPr>
        <w:t>d]evelopmental and educational psychology, and therefore individual psychological perspectives have been commonly used in the mainstream school bullying literature’.</w:t>
      </w:r>
      <w:r w:rsidRPr="00BE2C1D">
        <w:rPr>
          <w:rFonts w:ascii="Calibri" w:hAnsi="Calibri" w:cs="Calibri"/>
          <w:sz w:val="20"/>
          <w:szCs w:val="20"/>
        </w:rPr>
        <w:t xml:space="preserve"> </w:t>
      </w:r>
    </w:p>
    <w:p w14:paraId="35FCC115" w14:textId="77777777" w:rsidR="00BE2C1D" w:rsidRPr="00BE2C1D" w:rsidRDefault="00BE2C1D" w:rsidP="00BE2C1D">
      <w:pPr>
        <w:spacing w:line="360" w:lineRule="auto"/>
        <w:jc w:val="both"/>
      </w:pPr>
      <w:r w:rsidRPr="00BE2C1D">
        <w:rPr>
          <w:rFonts w:ascii="Calibri" w:hAnsi="Calibri" w:cs="Calibri"/>
        </w:rPr>
        <w:t>In this chapter, a poststructuralist -predominantly Foucauldian</w:t>
      </w:r>
      <w:r w:rsidRPr="00BE2C1D">
        <w:rPr>
          <w:rFonts w:ascii="Calibri" w:hAnsi="Calibri" w:cs="Calibri"/>
          <w:vertAlign w:val="superscript"/>
        </w:rPr>
        <w:footnoteReference w:id="133"/>
      </w:r>
      <w:r w:rsidRPr="00BE2C1D">
        <w:rPr>
          <w:rFonts w:ascii="Calibri" w:hAnsi="Calibri" w:cs="Calibri"/>
        </w:rPr>
        <w:t xml:space="preserve">- theoretical framework has been developed (as an alternative) to look at the social, institutional and societal factors contributing to school violence, which is the framework I also draw on. </w:t>
      </w:r>
      <w:r w:rsidRPr="00BE2C1D">
        <w:t>Poststructuralist scholars (Kousholt and Fisker 2015: 595) suggested that a Foucauldian analysis of bullying could illuminate the connection of bullying with the constructions of normality and dysfunction, and therefore, moving the scope of research ‘beyond the understanding of bullying as the behaviour of dysfunctional children’. Moreover, such an analysis conceived bullying as ‘a construction embedded in discursive practice that arises from a network or system of institutional, historical, social, and political relations’ (Walton 2005b: 61).</w:t>
      </w:r>
    </w:p>
    <w:p w14:paraId="3C8803D2" w14:textId="77777777" w:rsidR="00BE2C1D" w:rsidRPr="00BE2C1D" w:rsidRDefault="00BE2C1D" w:rsidP="00BE2C1D">
      <w:pPr>
        <w:spacing w:line="360" w:lineRule="auto"/>
        <w:jc w:val="both"/>
      </w:pPr>
      <w:r w:rsidRPr="00BE2C1D">
        <w:t>Furthermore, a simplistic, a-theoretical understanding of power and power relation has been noted by poststructuralist scholars (Horton 2011, 2016a; Mishna 2004; Walton 2005a) in mainstream school bullying research (e.g. Olweus 1993; Rigby 2002). This was evident in how power was discussed in individualistic and psychologised terms</w:t>
      </w:r>
      <w:r w:rsidRPr="00BE2C1D">
        <w:rPr>
          <w:vertAlign w:val="superscript"/>
        </w:rPr>
        <w:footnoteReference w:id="134"/>
      </w:r>
      <w:r w:rsidRPr="00BE2C1D">
        <w:t xml:space="preserve">, as a capacity that certain individuals possessed and which they used to abuse other individuals who did not have it (Walton 2005a; Horton 2016a), as an </w:t>
      </w:r>
      <w:r w:rsidRPr="00BE2C1D">
        <w:lastRenderedPageBreak/>
        <w:t xml:space="preserve">‘individual psychological and intentional acting out of aggression from bully to the victim (Ringrose 2008: 510). If a Foucauldian stance on power is to be adopted in relation to school bullying (Bansel et al. 2009), then power relations cease to be conceived as ‘fixed and determined by differences in psychological or physical strength’, but are considered ‘unstable, shifting and thus open to contestation (Horton, 2016a: 210). The power asymmetry (or power imbalance) needs to be understood as ‘situated and relational’ and not as ‘personal and located in individuals’ (Thornberg 2018: 145). The use of power is strategic and has to do with their social positioning in relation to ‘wider societal norms regarding race, gender, sexuality, ability, size, bodily shape, social class and so on’ (Horton 2016a: 211; Horton 2011). My analysis of power relations in bullying draws on such a conceptualisation of ‘power’, which, on the one hand, considers the situatedness and relationality of power and the role of intersectionality in terms of accessing power (Erevelles, 2000) and, on the other hand, it also explores how power and resistance are inseparable (Foucault, 1981). </w:t>
      </w:r>
    </w:p>
    <w:p w14:paraId="49075AD1" w14:textId="77777777" w:rsidR="00BE2C1D" w:rsidRPr="00BE2C1D" w:rsidRDefault="00BE2C1D" w:rsidP="00BE2C1D">
      <w:pPr>
        <w:spacing w:line="360" w:lineRule="auto"/>
        <w:jc w:val="both"/>
      </w:pPr>
      <w:r w:rsidRPr="00BE2C1D">
        <w:t>The analytical framework through which the participants’ accounts are organised followed Goodley’s and Runwsick-Cole’s (2011a) distinction between the forms of violence that disabled people faced, including ‘real’, psycho-emotional, systematic and cultural violence</w:t>
      </w:r>
      <w:r w:rsidRPr="00BE2C1D">
        <w:rPr>
          <w:vertAlign w:val="superscript"/>
        </w:rPr>
        <w:footnoteReference w:id="135"/>
      </w:r>
      <w:r w:rsidRPr="00BE2C1D">
        <w:t xml:space="preserve">. The authors proposed that these forms of violence overlap with each other, reflecting disabled people’s everyday encounters with disablism. Moreover, this analytical framework is in line with the theoretical framework, as both turn the attention to the disabling structures and to a culture that reinforce such violence rather than pathologising either the individuals who proceed to such violent acts or the individuals who are considered to have provoked such violence against them. Goodley and Runswick-Cole (2011a: 604) argued accordingly:  </w:t>
      </w:r>
    </w:p>
    <w:p w14:paraId="3A33E15D" w14:textId="77777777" w:rsidR="00BE2C1D" w:rsidRPr="00BE2C1D" w:rsidRDefault="00BE2C1D" w:rsidP="00BE2C1D">
      <w:pPr>
        <w:spacing w:line="360" w:lineRule="auto"/>
        <w:ind w:left="720"/>
        <w:jc w:val="both"/>
        <w:rPr>
          <w:sz w:val="20"/>
          <w:szCs w:val="20"/>
        </w:rPr>
      </w:pPr>
      <w:r w:rsidRPr="00BE2C1D">
        <w:rPr>
          <w:sz w:val="20"/>
          <w:szCs w:val="20"/>
        </w:rPr>
        <w:t>Violence experienced by disabled children and their families says more about the dominant culture of disablism, and its effects upon the being of people, than it does the acts of a few seemingly irrational, mad, bad or mean violent individuals. Those that enact violence against disabled children should be understood in ways that recognize that the being of people is a socio-symbolic or culturally formed being (Zizek, 2008: 62). Disabled people experience violence because of contemporary society’s deeply held contradictory discourses about dis/ability.</w:t>
      </w:r>
    </w:p>
    <w:p w14:paraId="735973AA" w14:textId="77777777" w:rsidR="00BE2C1D" w:rsidRPr="00BE2C1D" w:rsidRDefault="00BE2C1D" w:rsidP="00BE2C1D">
      <w:pPr>
        <w:spacing w:line="360" w:lineRule="auto"/>
        <w:jc w:val="both"/>
      </w:pPr>
      <w:r w:rsidRPr="00BE2C1D">
        <w:t xml:space="preserve">Nevertheless, this analytical approach was critiqued by Watson (2012b: 198), who maintained: </w:t>
      </w:r>
    </w:p>
    <w:p w14:paraId="49B73A84" w14:textId="77777777" w:rsidR="00BE2C1D" w:rsidRPr="00BE2C1D" w:rsidRDefault="00BE2C1D" w:rsidP="00BE2C1D">
      <w:pPr>
        <w:spacing w:line="360" w:lineRule="auto"/>
        <w:ind w:left="720"/>
        <w:jc w:val="both"/>
        <w:rPr>
          <w:sz w:val="20"/>
          <w:szCs w:val="20"/>
        </w:rPr>
      </w:pPr>
      <w:r w:rsidRPr="00BE2C1D">
        <w:rPr>
          <w:sz w:val="20"/>
          <w:szCs w:val="20"/>
        </w:rPr>
        <w:t xml:space="preserve">In this article, much of what the children say about the violence they experience is subsumed in the  theory and their very important testimonies lose their power as the promotion of the theory behind the analysis becomes more important than the findings generated by these data. </w:t>
      </w:r>
    </w:p>
    <w:p w14:paraId="154CBA3D" w14:textId="77777777" w:rsidR="00BE2C1D" w:rsidRPr="00BE2C1D" w:rsidRDefault="00BE2C1D" w:rsidP="00BE2C1D">
      <w:pPr>
        <w:spacing w:line="360" w:lineRule="auto"/>
        <w:jc w:val="both"/>
      </w:pPr>
      <w:r w:rsidRPr="00BE2C1D">
        <w:lastRenderedPageBreak/>
        <w:t xml:space="preserve">This critique was indicative of the influence of empiricism in Disability Studies (Hughes et al. 2012), which was dismissive of the value of theory. Similarly, considering the dominance of empiricism in bullying research, Walton (2005a: 112) warned that what is lost in such approaches was the ‘political, historical, cultural, discursive, and ideological threads that, woven together, make up the construct that is now widely known as bullying.’ In response to Watson’s critique, Goodley and Runswick-Cole (2013) quoted Lather’s work on the ‘evocative power’ theory can possess:     </w:t>
      </w:r>
    </w:p>
    <w:p w14:paraId="3B91794C" w14:textId="77777777" w:rsidR="00BE2C1D" w:rsidRPr="00BE2C1D" w:rsidRDefault="00BE2C1D" w:rsidP="00BE2C1D">
      <w:pPr>
        <w:spacing w:line="360" w:lineRule="auto"/>
        <w:ind w:left="720"/>
        <w:jc w:val="both"/>
        <w:rPr>
          <w:sz w:val="20"/>
          <w:szCs w:val="20"/>
        </w:rPr>
      </w:pPr>
      <w:r w:rsidRPr="00BE2C1D">
        <w:rPr>
          <w:sz w:val="20"/>
          <w:szCs w:val="20"/>
        </w:rPr>
        <w:t>…not only must theory illuminate the lived experience of progressive social groups, it must be illuminated by their struggles. The goal of theoretically guided empirical work is to create theory that possesses ‘evocative power’…by resonating with people’s lived concerns, fears and aspirations, emancipatory theory serves an energising, catalytic role (Lather, 1986: 262-7, cited in Goodley and Runswick-Cole, 2013: 2).</w:t>
      </w:r>
    </w:p>
    <w:p w14:paraId="56E728DB" w14:textId="77777777" w:rsidR="00BE2C1D" w:rsidRPr="00BE2C1D" w:rsidRDefault="00BE2C1D" w:rsidP="00BE2C1D">
      <w:pPr>
        <w:spacing w:line="360" w:lineRule="auto"/>
        <w:jc w:val="both"/>
      </w:pPr>
      <w:r w:rsidRPr="00BE2C1D">
        <w:t xml:space="preserve">Adhering to Goodley and Runswick-Cole’s (2011a) analytical framework and in agreement with them about the value and power of theory, I start the next section with looking into the participants’ stories of ‘real’ violence. </w:t>
      </w:r>
    </w:p>
    <w:p w14:paraId="7D174800" w14:textId="77777777" w:rsidR="00BE2C1D" w:rsidRPr="00BE2C1D" w:rsidRDefault="00BE2C1D" w:rsidP="00BE2C1D">
      <w:pPr>
        <w:keepNext/>
        <w:keepLines/>
        <w:spacing w:before="40" w:after="0" w:line="360" w:lineRule="auto"/>
        <w:outlineLvl w:val="1"/>
        <w:rPr>
          <w:rFonts w:asciiTheme="majorHAnsi" w:eastAsiaTheme="majorEastAsia" w:hAnsiTheme="majorHAnsi" w:cstheme="majorBidi"/>
          <w:color w:val="2F5496" w:themeColor="accent1" w:themeShade="BF"/>
          <w:sz w:val="26"/>
          <w:szCs w:val="26"/>
        </w:rPr>
      </w:pPr>
      <w:bookmarkStart w:id="151" w:name="_Toc39585275"/>
      <w:r w:rsidRPr="00BE2C1D">
        <w:rPr>
          <w:rFonts w:asciiTheme="majorHAnsi" w:eastAsiaTheme="majorEastAsia" w:hAnsiTheme="majorHAnsi" w:cstheme="majorBidi"/>
          <w:color w:val="2F5496" w:themeColor="accent1" w:themeShade="BF"/>
          <w:sz w:val="26"/>
          <w:szCs w:val="26"/>
        </w:rPr>
        <w:t>Stories of ‘Real’ Violence: Physical and Cultural Bullying</w:t>
      </w:r>
      <w:bookmarkEnd w:id="151"/>
      <w:r w:rsidRPr="00BE2C1D">
        <w:rPr>
          <w:rFonts w:asciiTheme="majorHAnsi" w:eastAsiaTheme="majorEastAsia" w:hAnsiTheme="majorHAnsi" w:cstheme="majorBidi"/>
          <w:color w:val="2F5496" w:themeColor="accent1" w:themeShade="BF"/>
          <w:sz w:val="26"/>
          <w:szCs w:val="26"/>
        </w:rPr>
        <w:t xml:space="preserve"> </w:t>
      </w:r>
    </w:p>
    <w:p w14:paraId="01321E2B" w14:textId="77777777" w:rsidR="00BE2C1D" w:rsidRPr="00BE2C1D" w:rsidRDefault="00BE2C1D" w:rsidP="00BE2C1D">
      <w:pPr>
        <w:spacing w:line="360" w:lineRule="auto"/>
        <w:jc w:val="both"/>
      </w:pPr>
      <w:r w:rsidRPr="00BE2C1D">
        <w:t>This section explores the participants’ narratives of ‘real’ violence, focusing in particular on physical and cultural violence</w:t>
      </w:r>
      <w:r w:rsidRPr="00BE2C1D">
        <w:rPr>
          <w:vertAlign w:val="superscript"/>
        </w:rPr>
        <w:footnoteReference w:id="136"/>
      </w:r>
      <w:r w:rsidRPr="00BE2C1D">
        <w:t xml:space="preserve">. It is worth noting here that the stories of real and cultural violence are examined together, because these forms of violence overlap, meaning that the cultural representations of people with RG, which cast them as less-than-human, are very relevant to the physical and cultural violence that people with RG deal with in their everyday life (Pritchard 2017; Shakespeare et al. 2010). </w:t>
      </w:r>
      <w:r w:rsidRPr="00BE2C1D">
        <w:rPr>
          <w:rFonts w:cstheme="minorHAnsi"/>
        </w:rPr>
        <w:t>Goodley and Runswick-Cole (2011a: 606) clarified that the term ‘real’ is used in its psychoanalytic meaning (particularly in relation to Lacan’s theory), proposing that ‘the real of violence is an embodied encounter: of pain inflicted by one body on another’. This consideration of violence as an embodied encounter captures the visceral experience of bullying, that is how bullying is experienced through the body. Moreover, this embodied encounter is a relational one, as ‘the physical act of violence is felt and interpreted through our relationships with others (ibid: 606).</w:t>
      </w:r>
    </w:p>
    <w:p w14:paraId="7ABBF5F7" w14:textId="77777777" w:rsidR="00BE2C1D" w:rsidRPr="00BE2C1D" w:rsidRDefault="00BE2C1D" w:rsidP="00BE2C1D">
      <w:pPr>
        <w:spacing w:line="360" w:lineRule="auto"/>
        <w:jc w:val="both"/>
      </w:pPr>
      <w:r w:rsidRPr="00BE2C1D">
        <w:t xml:space="preserve">According to research on school bullying (Giles and Heyman, 2005; Vaillancourt et al. 2010), boys tend to deal with more direct bullying (or physical violence), whereas girls usually engage in relational bullying (cultural violence). However, as Horton (2019: 403) warned: </w:t>
      </w:r>
    </w:p>
    <w:p w14:paraId="17D7F43A" w14:textId="77777777" w:rsidR="00BE2C1D" w:rsidRPr="00BE2C1D" w:rsidRDefault="00BE2C1D" w:rsidP="00BE2C1D">
      <w:pPr>
        <w:spacing w:line="360" w:lineRule="auto"/>
        <w:ind w:left="720"/>
        <w:jc w:val="both"/>
        <w:rPr>
          <w:rFonts w:cstheme="minorHAnsi"/>
          <w:sz w:val="20"/>
          <w:szCs w:val="20"/>
        </w:rPr>
      </w:pPr>
      <w:r w:rsidRPr="00BE2C1D">
        <w:rPr>
          <w:rFonts w:cstheme="minorHAnsi"/>
          <w:sz w:val="20"/>
          <w:szCs w:val="20"/>
        </w:rPr>
        <w:t xml:space="preserve">Research into school bullying has tended to simplistically link sex differences in bullying prevalence and forms to sex roles. [..]By reducing gender to a question of sex roles, such discussions of gender fail to </w:t>
      </w:r>
      <w:r w:rsidRPr="00BE2C1D">
        <w:rPr>
          <w:rFonts w:cstheme="minorHAnsi"/>
          <w:sz w:val="20"/>
          <w:szCs w:val="20"/>
        </w:rPr>
        <w:lastRenderedPageBreak/>
        <w:t xml:space="preserve">adequately account for the power relations involved and the ways in which masculinist norms are enforced or resisted. </w:t>
      </w:r>
    </w:p>
    <w:p w14:paraId="52C11EE0" w14:textId="77777777" w:rsidR="00BE2C1D" w:rsidRPr="00BE2C1D" w:rsidRDefault="00BE2C1D" w:rsidP="00BE2C1D">
      <w:pPr>
        <w:spacing w:line="360" w:lineRule="auto"/>
        <w:jc w:val="both"/>
      </w:pPr>
      <w:r w:rsidRPr="00BE2C1D">
        <w:t xml:space="preserve">Horton (2019) drew the attention on the relationship between gender performativity and bullying rather than simply essentialising sex differences (see also Ringrose and Renold 2010). This is an important point to consider when reading the stories of the male, adult participants of physical violence. </w:t>
      </w:r>
      <w:r w:rsidRPr="00BE2C1D">
        <w:rPr>
          <w:rFonts w:cstheme="minorHAnsi"/>
        </w:rPr>
        <w:t xml:space="preserve">For instance, Bill shared that: </w:t>
      </w:r>
    </w:p>
    <w:p w14:paraId="55CA4DFE" w14:textId="77777777" w:rsidR="00BE2C1D" w:rsidRPr="00BE2C1D" w:rsidRDefault="00BE2C1D" w:rsidP="00BE2C1D">
      <w:pPr>
        <w:spacing w:line="360" w:lineRule="auto"/>
        <w:ind w:left="720"/>
        <w:jc w:val="both"/>
        <w:rPr>
          <w:rFonts w:cstheme="minorHAnsi"/>
          <w:sz w:val="20"/>
          <w:szCs w:val="20"/>
        </w:rPr>
      </w:pPr>
      <w:r w:rsidRPr="00BE2C1D">
        <w:rPr>
          <w:rFonts w:cstheme="minorHAnsi"/>
          <w:sz w:val="20"/>
          <w:szCs w:val="20"/>
        </w:rPr>
        <w:t>Bill: The physical abuse was generally pushing and shoving or being target practice for the footballers. [..] Physical bullying would consist of being picked up and ran with, pushed into lockers and rubbed on the head.</w:t>
      </w:r>
    </w:p>
    <w:p w14:paraId="4D1EE236" w14:textId="77777777" w:rsidR="00BE2C1D" w:rsidRPr="00BE2C1D" w:rsidRDefault="00BE2C1D" w:rsidP="00BE2C1D">
      <w:pPr>
        <w:spacing w:line="360" w:lineRule="auto"/>
        <w:jc w:val="both"/>
        <w:rPr>
          <w:rFonts w:cstheme="minorHAnsi"/>
        </w:rPr>
      </w:pPr>
      <w:r w:rsidRPr="00BE2C1D">
        <w:rPr>
          <w:rFonts w:cstheme="minorHAnsi"/>
        </w:rPr>
        <w:t xml:space="preserve">Bill reported various forms of physical abuse, all of which reproduced the objectification of his body (Horton 2019; Shakespeare 1994). His male peers felt entitled to use his body as a platform to perform their hegemonic masculinity through violence by subordinating Bill to a less-than-human state. This feeling of entitlement to pick up a disabled body and exercise violence on it is a by-product of a disabling culture. For instance, </w:t>
      </w:r>
      <w:r w:rsidRPr="00BE2C1D">
        <w:rPr>
          <w:rFonts w:eastAsia="Times New Roman" w:cstheme="minorHAnsi"/>
        </w:rPr>
        <w:t>in 2011, Martin Henderson, an actor with RG in the UK, was physically abused by a player of the English Rugby Team. In particular, while Martin was celebrating his 37</w:t>
      </w:r>
      <w:r w:rsidRPr="00BE2C1D">
        <w:rPr>
          <w:rFonts w:eastAsia="Times New Roman" w:cstheme="minorHAnsi"/>
          <w:vertAlign w:val="superscript"/>
        </w:rPr>
        <w:t>th</w:t>
      </w:r>
      <w:r w:rsidRPr="00BE2C1D">
        <w:rPr>
          <w:rFonts w:eastAsia="Times New Roman" w:cstheme="minorHAnsi"/>
        </w:rPr>
        <w:t xml:space="preserve"> birthday at a pub, he was picked up and thrown on the floor by this player. After further investigation, it was found out that the English Rugby Team had participated in a ‘dwarf tossing game’ in New Zealand. Martin sustained major injuries on his back, legs and arms (Tingle 2016). Such violent attitudes towards people with RG is not a ‘new’ phenomenon, but they have a long history in which people with RG were objectified in various ways, including fighting against each other or against animals for the entertainment of the viewers (Adelson 2005b).   </w:t>
      </w:r>
      <w:r w:rsidRPr="00BE2C1D">
        <w:rPr>
          <w:rFonts w:ascii="Times New Roman" w:eastAsia="Times New Roman" w:hAnsi="Times New Roman" w:cs="Times New Roman"/>
          <w:sz w:val="24"/>
          <w:szCs w:val="24"/>
        </w:rPr>
        <w:t xml:space="preserve"> </w:t>
      </w:r>
    </w:p>
    <w:p w14:paraId="34D922C3" w14:textId="77777777" w:rsidR="00BE2C1D" w:rsidRPr="00BE2C1D" w:rsidRDefault="00BE2C1D" w:rsidP="00BE2C1D">
      <w:pPr>
        <w:spacing w:line="360" w:lineRule="auto"/>
        <w:jc w:val="both"/>
        <w:rPr>
          <w:rFonts w:cstheme="minorHAnsi"/>
        </w:rPr>
      </w:pPr>
      <w:r w:rsidRPr="00BE2C1D">
        <w:rPr>
          <w:rFonts w:cstheme="minorHAnsi"/>
        </w:rPr>
        <w:t xml:space="preserve">Similar experiences of physical abuse were shared by Paul, who provided various snapshots of them: </w:t>
      </w:r>
    </w:p>
    <w:p w14:paraId="091750F6" w14:textId="77777777" w:rsidR="00BE2C1D" w:rsidRPr="00BE2C1D" w:rsidRDefault="00BE2C1D" w:rsidP="00BE2C1D">
      <w:pPr>
        <w:spacing w:line="360" w:lineRule="auto"/>
        <w:ind w:left="720"/>
        <w:jc w:val="both"/>
        <w:rPr>
          <w:rFonts w:cstheme="minorHAnsi"/>
          <w:color w:val="FF0000"/>
          <w:sz w:val="20"/>
          <w:szCs w:val="20"/>
        </w:rPr>
      </w:pPr>
      <w:r w:rsidRPr="00BE2C1D">
        <w:rPr>
          <w:rFonts w:cstheme="minorHAnsi"/>
          <w:sz w:val="20"/>
          <w:szCs w:val="20"/>
        </w:rPr>
        <w:t>Paul: I remember from the first year one particular person that had a particular problem with me. And I got quite bullied by him, quite a bit. [..]We had problem where this guy was continually hitting me, but I (A. Ah, so physical abuse).  Yeah. Because he continually punched me and after a couple of minutes of it I didn’t know what to do</w:t>
      </w:r>
      <w:r w:rsidRPr="00BE2C1D">
        <w:rPr>
          <w:rFonts w:cstheme="minorHAnsi"/>
          <w:color w:val="FF0000"/>
          <w:sz w:val="20"/>
          <w:szCs w:val="20"/>
        </w:rPr>
        <w:t>.</w:t>
      </w:r>
    </w:p>
    <w:p w14:paraId="5E8990BB" w14:textId="77777777" w:rsidR="00BE2C1D" w:rsidRPr="00BE2C1D" w:rsidRDefault="00BE2C1D" w:rsidP="00BE2C1D">
      <w:pPr>
        <w:spacing w:line="360" w:lineRule="auto"/>
        <w:jc w:val="both"/>
      </w:pPr>
      <w:r w:rsidRPr="00BE2C1D">
        <w:rPr>
          <w:rFonts w:cstheme="minorHAnsi"/>
        </w:rPr>
        <w:t>Initially, Paul referred to a particular peer, who used to bully him physically. This physical abuse was constant and occurred in different spaces:</w:t>
      </w:r>
    </w:p>
    <w:p w14:paraId="5E824BF2" w14:textId="77777777" w:rsidR="00BE2C1D" w:rsidRPr="00BE2C1D" w:rsidRDefault="00BE2C1D" w:rsidP="00BE2C1D">
      <w:pPr>
        <w:spacing w:line="360" w:lineRule="auto"/>
        <w:ind w:left="720"/>
        <w:jc w:val="both"/>
        <w:rPr>
          <w:rFonts w:cstheme="minorHAnsi"/>
          <w:sz w:val="20"/>
          <w:szCs w:val="20"/>
        </w:rPr>
      </w:pPr>
      <w:r w:rsidRPr="00BE2C1D">
        <w:rPr>
          <w:rFonts w:cstheme="minorHAnsi"/>
          <w:sz w:val="20"/>
          <w:szCs w:val="20"/>
        </w:rPr>
        <w:t xml:space="preserve">Paul: </w:t>
      </w:r>
      <w:bookmarkStart w:id="152" w:name="_Hlk509448522"/>
      <w:r w:rsidRPr="00BE2C1D">
        <w:rPr>
          <w:rFonts w:cstheme="minorHAnsi"/>
          <w:sz w:val="20"/>
          <w:szCs w:val="20"/>
        </w:rPr>
        <w:t xml:space="preserve">It was only the third year in secondary school. There wasn’t anyone around at that particular point.  He got me into a place where there wasn’t many people around. It wasn’t a place, it wasn’t, kind of lunch time, kind of outside. This guy went outside at lunch, tried to beat me there, as kids do play around. But then he particularly haunted me out and punched me like mad, so I was beaten at that particular point. </w:t>
      </w:r>
      <w:bookmarkStart w:id="153" w:name="_Hlk509448553"/>
      <w:bookmarkEnd w:id="152"/>
    </w:p>
    <w:bookmarkEnd w:id="153"/>
    <w:p w14:paraId="47A85FFA" w14:textId="77777777" w:rsidR="00BE2C1D" w:rsidRPr="00BE2C1D" w:rsidRDefault="00BE2C1D" w:rsidP="00BE2C1D">
      <w:pPr>
        <w:spacing w:line="360" w:lineRule="auto"/>
        <w:jc w:val="both"/>
        <w:rPr>
          <w:rFonts w:cstheme="minorHAnsi"/>
        </w:rPr>
      </w:pPr>
      <w:r w:rsidRPr="00BE2C1D">
        <w:rPr>
          <w:rFonts w:cstheme="minorHAnsi"/>
        </w:rPr>
        <w:lastRenderedPageBreak/>
        <w:t xml:space="preserve">Paul’s bullying was persistent and visible to others, as it occurred in open spaces, such as the stairs and the playground. However, no one seemed to do anything about it. Moreover, later on during the interview, Paul mentioned that this particular individual belonged to a ‘gang’ of which Paul was a constant target:   </w:t>
      </w:r>
    </w:p>
    <w:p w14:paraId="2176C43A" w14:textId="77777777" w:rsidR="00BE2C1D" w:rsidRPr="00BE2C1D" w:rsidRDefault="00BE2C1D" w:rsidP="00BE2C1D">
      <w:pPr>
        <w:spacing w:line="360" w:lineRule="auto"/>
        <w:ind w:left="720"/>
        <w:jc w:val="both"/>
        <w:rPr>
          <w:sz w:val="20"/>
          <w:szCs w:val="20"/>
        </w:rPr>
      </w:pPr>
      <w:r w:rsidRPr="00BE2C1D">
        <w:rPr>
          <w:rFonts w:cstheme="minorHAnsi"/>
          <w:sz w:val="20"/>
          <w:szCs w:val="20"/>
        </w:rPr>
        <w:t>Paul: But I remember another member of the gang, whenever he saw me, he would kick me, you know, down below, and try to attack me down below. And I remember him coming out of nowhere and trying to attack me and that was part of the game as well. So, the game in inverted commas. But, hmmm, but yeah, that’s one of the things. There was always kind of agony to do something horrible to me, the same point. So yeah, kicking me, you know, down below, that was one thing.</w:t>
      </w:r>
    </w:p>
    <w:p w14:paraId="6452A6B5" w14:textId="77777777" w:rsidR="00BE2C1D" w:rsidRPr="00BE2C1D" w:rsidRDefault="00BE2C1D" w:rsidP="00BE2C1D">
      <w:pPr>
        <w:spacing w:line="360" w:lineRule="auto"/>
        <w:jc w:val="both"/>
        <w:rPr>
          <w:rFonts w:cstheme="minorHAnsi"/>
        </w:rPr>
      </w:pPr>
      <w:r w:rsidRPr="00BE2C1D">
        <w:rPr>
          <w:rFonts w:cstheme="minorHAnsi"/>
        </w:rPr>
        <w:t>Paul was part of a ‘game’, whereby certain individuals would turn up suddenly and kick him on his genitals. Not only did he have to endure physical abuse, but he also had to always remain vigilant to when the next attack would take place, indicating how he felt ontologically insecure (Thomas 2007). Moreover, this idea of the game could be linked with the cultural representations of people with RG as entertaining figures (Shakespeare et al. 2010), during which people with RG are constituted as objects of entertainment for the non-disabled other.</w:t>
      </w:r>
    </w:p>
    <w:p w14:paraId="51D24C16" w14:textId="77777777" w:rsidR="00BE2C1D" w:rsidRPr="00BE2C1D" w:rsidRDefault="00BE2C1D" w:rsidP="00BE2C1D">
      <w:pPr>
        <w:spacing w:line="360" w:lineRule="auto"/>
        <w:jc w:val="both"/>
        <w:rPr>
          <w:rFonts w:cstheme="minorHAnsi"/>
        </w:rPr>
      </w:pPr>
      <w:r w:rsidRPr="00BE2C1D">
        <w:rPr>
          <w:rFonts w:cstheme="minorHAnsi"/>
        </w:rPr>
        <w:t xml:space="preserve">Nick also spoke of the physical abuse under the guise of sports he used to experience in the playground: </w:t>
      </w:r>
    </w:p>
    <w:p w14:paraId="0BBDDC22" w14:textId="77777777" w:rsidR="00BE2C1D" w:rsidRPr="00BE2C1D" w:rsidRDefault="00BE2C1D" w:rsidP="00BE2C1D">
      <w:pPr>
        <w:spacing w:line="360" w:lineRule="auto"/>
        <w:ind w:left="720"/>
        <w:jc w:val="both"/>
        <w:rPr>
          <w:rFonts w:cstheme="minorHAnsi"/>
          <w:sz w:val="20"/>
          <w:szCs w:val="20"/>
        </w:rPr>
      </w:pPr>
      <w:r w:rsidRPr="00BE2C1D">
        <w:rPr>
          <w:rFonts w:cstheme="minorHAnsi"/>
          <w:sz w:val="20"/>
          <w:szCs w:val="20"/>
        </w:rPr>
        <w:t xml:space="preserve">Nick: When, as I said, all the kids left cause they were older, then of course kids of my age were in the court and then you get bullied and stuff like that. And you’ve been playing basketball with someone, who will smack your mouth like under the pretence, like a bad tackle, under the pretence it was sport. But really, it wasn’t, if you know what I mean. [..]I don’t know, like a deliberate bad tackle from someone. </w:t>
      </w:r>
    </w:p>
    <w:p w14:paraId="0DB2CCA9" w14:textId="77777777" w:rsidR="00BE2C1D" w:rsidRPr="00BE2C1D" w:rsidRDefault="00BE2C1D" w:rsidP="00BE2C1D">
      <w:pPr>
        <w:spacing w:line="360" w:lineRule="auto"/>
        <w:jc w:val="both"/>
        <w:rPr>
          <w:rFonts w:cstheme="minorHAnsi"/>
        </w:rPr>
      </w:pPr>
      <w:r w:rsidRPr="00BE2C1D">
        <w:rPr>
          <w:rFonts w:cstheme="minorHAnsi"/>
        </w:rPr>
        <w:t xml:space="preserve">Playgrounds and sports have been reported as a space and an activity respectively in which disabled young people get bullied (Holt et al. 2017; Migliaccio and Raskauskas 2015), as they are spaces with less surveillance from adults due to the student-staff member ratio (Blosnich and Bossarte 2011; Holt 2007). </w:t>
      </w:r>
    </w:p>
    <w:p w14:paraId="1F622DBD" w14:textId="77777777" w:rsidR="00BE2C1D" w:rsidRPr="00BE2C1D" w:rsidRDefault="00BE2C1D" w:rsidP="00BE2C1D">
      <w:pPr>
        <w:spacing w:line="360" w:lineRule="auto"/>
        <w:jc w:val="both"/>
        <w:rPr>
          <w:rFonts w:cstheme="minorHAnsi"/>
        </w:rPr>
      </w:pPr>
      <w:r w:rsidRPr="00BE2C1D">
        <w:rPr>
          <w:rFonts w:cstheme="minorHAnsi"/>
        </w:rPr>
        <w:t xml:space="preserve">Stories of physical abuse of young people with RG have been shared in other studies too (Shakespeare et al. 2010). </w:t>
      </w:r>
      <w:r w:rsidRPr="00BE2C1D">
        <w:t xml:space="preserve">The easy way to read these stories would have been to attribute such violent behaviour to the specific individuals: aggressive bullies and passive or provocative victims (Rose et al. 2011). However, the ‘real’ cause for such violence was disablism. When the dominant cultural representations of people with RG still tend to depict them as less than human, as objects to be ridiculed, then such violence does not appear as a surprise. The ‘real’ violence -captured in the above accounts- is always underpinned by cultural violence. The role of the culture in the perpetuation of </w:t>
      </w:r>
      <w:r w:rsidRPr="00BE2C1D">
        <w:lastRenderedPageBreak/>
        <w:t xml:space="preserve">violence against people with RG draws the attention on cultural violence. Ellis (2018), Pritchard (2017, 2019) and Shakespeare et al. (2010) researched the relationship between the cultural representations of people with RG and experiences of everyday violence, such as name calling, encountered by people with RG in public spaces. Unlike male participants, who were the targets of physical abuse, female participants experienced mostly cultural violence, such as name calling and teasing. Patricia and Rachael, for instance, shared the following stories: </w:t>
      </w:r>
    </w:p>
    <w:p w14:paraId="148163EF" w14:textId="77777777" w:rsidR="00BE2C1D" w:rsidRPr="00BE2C1D" w:rsidRDefault="00BE2C1D" w:rsidP="00BE2C1D">
      <w:pPr>
        <w:spacing w:line="360" w:lineRule="auto"/>
        <w:ind w:left="720"/>
        <w:jc w:val="both"/>
        <w:rPr>
          <w:sz w:val="20"/>
          <w:szCs w:val="20"/>
        </w:rPr>
      </w:pPr>
      <w:r w:rsidRPr="00BE2C1D">
        <w:rPr>
          <w:sz w:val="20"/>
          <w:szCs w:val="20"/>
        </w:rPr>
        <w:t xml:space="preserve">Patricia: A few I remember would kind of point, makes jokes to their friends. The word midget was used quite a few times, which is very offensive, isn’t it? Em, sometimes they would sing like ‘heigh ho’ to me, you know what I mean, like heigh ho, heigh ho, kind of like from panto and stuff like that. </w:t>
      </w:r>
    </w:p>
    <w:p w14:paraId="42E38B1C" w14:textId="77777777" w:rsidR="00BE2C1D" w:rsidRPr="00BE2C1D" w:rsidRDefault="00BE2C1D" w:rsidP="00BE2C1D">
      <w:pPr>
        <w:spacing w:line="360" w:lineRule="auto"/>
        <w:ind w:left="720"/>
        <w:jc w:val="both"/>
        <w:rPr>
          <w:bCs/>
          <w:sz w:val="20"/>
          <w:szCs w:val="20"/>
        </w:rPr>
      </w:pPr>
      <w:r w:rsidRPr="00BE2C1D">
        <w:rPr>
          <w:bCs/>
          <w:sz w:val="20"/>
          <w:szCs w:val="20"/>
        </w:rPr>
        <w:t xml:space="preserve">Rachael: I remember the Snow White and the seven dwarves song, heigh ho dwarf song, and every year,  so, when I went to the school every year when the new kids came it would be a week after a slake, everyone seeing me and then, once everyone had done it everything, then we would get back to normal but that would be the first week of September. </w:t>
      </w:r>
    </w:p>
    <w:p w14:paraId="2E5C8F5C" w14:textId="77777777" w:rsidR="00BE2C1D" w:rsidRPr="00BE2C1D" w:rsidRDefault="00BE2C1D" w:rsidP="00BE2C1D">
      <w:pPr>
        <w:spacing w:line="360" w:lineRule="auto"/>
        <w:jc w:val="both"/>
      </w:pPr>
      <w:r w:rsidRPr="00BE2C1D">
        <w:t>Dominant cultural representations of people with RG, such as Snow White, were utilised to tease the students with RG. As Shakespeare et al. (2010) argued, the role of cultural representations in the case of people with RG matter even more, since they constitute one of the central means through which people with RG become known to people without RG. As Rachael stated above (and many other participants), the first weeks of each school year were stressful, because they were treated as ‘novelties’ for not embodying the ‘typically developing child’ and endured a lot of cultural violence. Goodley (2016) used the term ‘cultural disavowal’ to describe how disabled bodies appear as appealing and appalling at the same time, as the object of fear and fascination. Referring to the disabled child specifically, Goodley and Runswick (2011a: 614) proposed that the ‘disabled child is culturally disavowed: potentially ignored or condensed into a caricature’</w:t>
      </w:r>
      <w:r w:rsidRPr="00BE2C1D">
        <w:rPr>
          <w:vertAlign w:val="superscript"/>
        </w:rPr>
        <w:footnoteReference w:id="137"/>
      </w:r>
      <w:r w:rsidRPr="00BE2C1D">
        <w:t xml:space="preserve">. This was the case with the participants, who were turned into caricatures by their peers. </w:t>
      </w:r>
    </w:p>
    <w:p w14:paraId="2FF47C43" w14:textId="2A1C5374" w:rsidR="00BE2C1D" w:rsidRPr="00BE2C1D" w:rsidRDefault="00BE2C1D" w:rsidP="00BE2C1D">
      <w:pPr>
        <w:spacing w:line="360" w:lineRule="auto"/>
        <w:jc w:val="both"/>
      </w:pPr>
      <w:r w:rsidRPr="00BE2C1D">
        <w:t xml:space="preserve">Another form of cultural violence was the use of the derogative term ‘midget’, which has been condemned by all the associations of people with RG in the UK (and elsewhere e.g. Little People of USA). The origins and the connotation of the term have been discussed in the </w:t>
      </w:r>
      <w:r w:rsidRPr="00A205E9">
        <w:t>introduction (p. 1</w:t>
      </w:r>
      <w:r w:rsidR="00A205E9" w:rsidRPr="00A205E9">
        <w:t>8</w:t>
      </w:r>
      <w:r w:rsidRPr="00A205E9">
        <w:t xml:space="preserve">), </w:t>
      </w:r>
      <w:r w:rsidRPr="00BE2C1D">
        <w:t>but it is worth reminding that it emerged from the freak show era to designate (and degrade) people with proportionate dwarfism. Many participants referred to being called like that and other names:</w:t>
      </w:r>
    </w:p>
    <w:p w14:paraId="514FE6E3" w14:textId="77777777" w:rsidR="00BE2C1D" w:rsidRPr="00BE2C1D" w:rsidRDefault="00BE2C1D" w:rsidP="00BE2C1D">
      <w:pPr>
        <w:spacing w:line="360" w:lineRule="auto"/>
        <w:ind w:left="720"/>
        <w:jc w:val="both"/>
        <w:rPr>
          <w:sz w:val="20"/>
          <w:szCs w:val="20"/>
        </w:rPr>
      </w:pPr>
      <w:r w:rsidRPr="00BE2C1D">
        <w:rPr>
          <w:sz w:val="20"/>
          <w:szCs w:val="20"/>
        </w:rPr>
        <w:lastRenderedPageBreak/>
        <w:t xml:space="preserve">Lynn: She’s called me ‘shortie’. I’ve had that. I’ve had, I’ve had, oh, when she said, I know this is so rude. I don’t know where she got it from. She said ‘midget’ to me. […]I had shortie, shortie, she’s little shortie (singing voice) and I get, I am like, I actually wanted to hide myself. </w:t>
      </w:r>
    </w:p>
    <w:p w14:paraId="0159766C" w14:textId="77777777" w:rsidR="00BE2C1D" w:rsidRPr="00BE2C1D" w:rsidRDefault="00BE2C1D" w:rsidP="00BE2C1D">
      <w:pPr>
        <w:spacing w:line="360" w:lineRule="auto"/>
        <w:ind w:left="720"/>
        <w:jc w:val="both"/>
        <w:rPr>
          <w:sz w:val="20"/>
          <w:szCs w:val="20"/>
        </w:rPr>
      </w:pPr>
      <w:r w:rsidRPr="00BE2C1D">
        <w:rPr>
          <w:sz w:val="20"/>
          <w:szCs w:val="20"/>
        </w:rPr>
        <w:t xml:space="preserve">Rania: So, I’ve had stuff around me shortie. In streets you got like dwarf, midget. […]It is an offensive word, with a history that is used for a certain category of people. It is offensive. It is just as offensive. </w:t>
      </w:r>
    </w:p>
    <w:p w14:paraId="6020CC8C" w14:textId="77777777" w:rsidR="00BE2C1D" w:rsidRPr="00BE2C1D" w:rsidRDefault="00BE2C1D" w:rsidP="00BE2C1D">
      <w:pPr>
        <w:spacing w:line="360" w:lineRule="auto"/>
        <w:jc w:val="both"/>
        <w:rPr>
          <w:rFonts w:cstheme="minorHAnsi"/>
        </w:rPr>
      </w:pPr>
      <w:r w:rsidRPr="00BE2C1D">
        <w:rPr>
          <w:rFonts w:cstheme="minorHAnsi"/>
        </w:rPr>
        <w:t xml:space="preserve">Such encounters with cultural violence were daily. Such violence is reinforced when it is represented as ‘legitimate’ in the public sphere. For instance, Jimmy Carr, a British comedian, stated on his TV show, under the guise of a joke: ‘Is a dwarf an abortion that made it?’. Of course, this joke triggered the reaction of many associations of people with RG and disabled (with RG) activists. This was Eugene Grant’s (2019) response, a disabled activist, on Twitter:   </w:t>
      </w:r>
    </w:p>
    <w:p w14:paraId="6554035B" w14:textId="77777777" w:rsidR="00BE2C1D" w:rsidRPr="00BE2C1D" w:rsidRDefault="00BE2C1D" w:rsidP="00BE2C1D">
      <w:pPr>
        <w:spacing w:after="345" w:line="360" w:lineRule="auto"/>
        <w:ind w:left="720"/>
        <w:jc w:val="both"/>
        <w:textAlignment w:val="baseline"/>
        <w:rPr>
          <w:rFonts w:eastAsia="Times New Roman" w:cstheme="minorHAnsi"/>
          <w:color w:val="141414"/>
          <w:sz w:val="20"/>
          <w:szCs w:val="20"/>
        </w:rPr>
      </w:pPr>
      <w:bookmarkStart w:id="154" w:name="_Hlk37012559"/>
      <w:r w:rsidRPr="00BE2C1D">
        <w:rPr>
          <w:rFonts w:eastAsia="Times New Roman" w:cstheme="minorHAnsi"/>
          <w:color w:val="141414"/>
          <w:sz w:val="20"/>
          <w:szCs w:val="20"/>
        </w:rPr>
        <w:t xml:space="preserve">So often, when I tell average height friends of the abuse that I - a person with dwarfism - and so many others just like me receive, almost daily, from strangers in the street, they react with incredulity. </w:t>
      </w:r>
      <w:bookmarkEnd w:id="154"/>
      <w:r w:rsidRPr="00BE2C1D">
        <w:rPr>
          <w:rFonts w:eastAsia="Times New Roman" w:cstheme="minorHAnsi"/>
          <w:color w:val="141414"/>
          <w:sz w:val="20"/>
          <w:szCs w:val="20"/>
        </w:rPr>
        <w:t>"I can't believe that happens!", they say, shocked. "*How* does that happen? How do people think like that?" This. This is how it happens. […]Now consider a man like Jimmy Carr. The power and platform he has, the panel shows he's on, the air time he gets, how he reaches audiences bigger than the entire dwarfism population in the country, for a paycheck bigger than the annual income of some the groups fighting to tell the world that people with dwarfism have a right to matter only to punch down, only to shit all over a community he's never been part of, only to fuel a centuries-old tradition of abuse against people like me, my friends, my family, only to be able to say shit like that, cash in, check out, and walk away. He doesn't have to live with the consequences of a joke like that, the pain it causes, the ridicule it fosters, the abuse it encourages. We do. He doesn't have to hear shouts of "midget!" from passing cars or gangs of passing youths. We do. He doesn't have to walk into a bar, see a stag do, and walk right back out because jokes like his has made it unsafe for people like us. We do. This. This is how it happens. F**k Jimmy Carr.</w:t>
      </w:r>
    </w:p>
    <w:p w14:paraId="63119FF6" w14:textId="77777777" w:rsidR="00BE2C1D" w:rsidRPr="00BE2C1D" w:rsidRDefault="00BE2C1D" w:rsidP="00BE2C1D">
      <w:pPr>
        <w:spacing w:line="360" w:lineRule="auto"/>
        <w:jc w:val="both"/>
        <w:rPr>
          <w:rFonts w:cstheme="minorHAnsi"/>
        </w:rPr>
      </w:pPr>
      <w:r w:rsidRPr="00BE2C1D">
        <w:rPr>
          <w:rFonts w:cstheme="minorHAnsi"/>
        </w:rPr>
        <w:t xml:space="preserve">The above response summarises very well the points that this section intended to raise: firstly, the daily occurrence of violence in the life of people with RG, which is regularly questioned by non-disabled people. Secondly, the relationship between disabling cultural representations and ‘disability hate speech’ against people with RG (Pritchard 2019). Finally, the repercussions such violence has on people with RG, including how they navigate public spaces and where they feel un/safe (see on that matter Pritchard 2016) as well as the psycho-emotional toll such violence has on them. It is this psycho-emotional toll to which I turn in the next section.  </w:t>
      </w:r>
    </w:p>
    <w:p w14:paraId="36327B68" w14:textId="77777777" w:rsidR="00BE2C1D" w:rsidRPr="00BE2C1D" w:rsidRDefault="00BE2C1D" w:rsidP="00BE2C1D">
      <w:pPr>
        <w:keepNext/>
        <w:keepLines/>
        <w:spacing w:before="40" w:after="0" w:line="360" w:lineRule="auto"/>
        <w:outlineLvl w:val="1"/>
        <w:rPr>
          <w:rFonts w:asciiTheme="majorHAnsi" w:eastAsiaTheme="majorEastAsia" w:hAnsiTheme="majorHAnsi" w:cstheme="majorBidi"/>
          <w:color w:val="2F5496" w:themeColor="accent1" w:themeShade="BF"/>
          <w:sz w:val="26"/>
          <w:szCs w:val="26"/>
        </w:rPr>
      </w:pPr>
      <w:bookmarkStart w:id="155" w:name="_Toc39585276"/>
      <w:r w:rsidRPr="00BE2C1D">
        <w:rPr>
          <w:rFonts w:asciiTheme="majorHAnsi" w:eastAsiaTheme="majorEastAsia" w:hAnsiTheme="majorHAnsi" w:cstheme="majorBidi"/>
          <w:color w:val="2F5496" w:themeColor="accent1" w:themeShade="BF"/>
          <w:sz w:val="26"/>
          <w:szCs w:val="26"/>
        </w:rPr>
        <w:t>Stories of Psycho-emotional Violence</w:t>
      </w:r>
      <w:bookmarkEnd w:id="155"/>
    </w:p>
    <w:p w14:paraId="49B512DB" w14:textId="77777777" w:rsidR="00BE2C1D" w:rsidRPr="00BE2C1D" w:rsidRDefault="00BE2C1D" w:rsidP="00BE2C1D">
      <w:pPr>
        <w:spacing w:line="360" w:lineRule="auto"/>
        <w:jc w:val="both"/>
      </w:pPr>
      <w:r w:rsidRPr="00BE2C1D">
        <w:t xml:space="preserve">The second form of violence that is explored in this chapter is ‘psycho-emotional violence’ (Goodley and Runswick-Cole 2011a: 607) or what Zizek (2008: 60 cited in Runswick-Cole 2011a: 607) identifies </w:t>
      </w:r>
      <w:r w:rsidRPr="00BE2C1D">
        <w:lastRenderedPageBreak/>
        <w:t>as ‘ontic violence’. Psycho-emotional violence refers to the interpersonal violence disabled people experience, which threatens their psycho-emotional well-being and their ontological security (Thomas 2007).</w:t>
      </w:r>
    </w:p>
    <w:p w14:paraId="42A13FBD" w14:textId="77777777" w:rsidR="00BE2C1D" w:rsidRPr="00BE2C1D" w:rsidRDefault="00BE2C1D" w:rsidP="00BE2C1D">
      <w:pPr>
        <w:spacing w:line="360" w:lineRule="auto"/>
        <w:jc w:val="both"/>
        <w:rPr>
          <w:rFonts w:cstheme="minorHAnsi"/>
        </w:rPr>
      </w:pPr>
      <w:r w:rsidRPr="00BE2C1D">
        <w:t xml:space="preserve">The psycho-emotional toll of bullying on the well-being of students (disabled and non-disabled) has been researched extensively, especially through psychological lens (Frisen and Bjarnelind 2010; Klomek et al. 2008; Schafer et al. 2004). </w:t>
      </w:r>
      <w:r w:rsidRPr="00BE2C1D">
        <w:rPr>
          <w:rFonts w:cstheme="minorHAnsi"/>
        </w:rPr>
        <w:t>Psychological research on bullying (Cook et al. 2010; Limber 2006; Swearer et al. 2001) reported a series of repercussions that bullying can have on students in relation to their psychosocial functioning: depression, anxiety, low self-esteem. Bullying has also been reported to have an effect on the quality of life in adolescence (Frisen and Bjarneling 2010) and has been related to suicidality</w:t>
      </w:r>
      <w:r w:rsidRPr="00BE2C1D">
        <w:rPr>
          <w:rFonts w:cstheme="minorHAnsi"/>
          <w:vertAlign w:val="superscript"/>
        </w:rPr>
        <w:footnoteReference w:id="138"/>
      </w:r>
      <w:r w:rsidRPr="00BE2C1D">
        <w:rPr>
          <w:rFonts w:cstheme="minorHAnsi"/>
        </w:rPr>
        <w:t xml:space="preserve"> (Klomek et al. 2008). </w:t>
      </w:r>
      <w:r w:rsidRPr="00BE2C1D">
        <w:t xml:space="preserve">While the recognition of bullying’s psycho-emotional toll is significant, the lenses through which it is discussed risks positioning the problem in the individual, meaning that it </w:t>
      </w:r>
      <w:r w:rsidRPr="00BE2C1D">
        <w:rPr>
          <w:rFonts w:ascii="Calibri" w:hAnsi="Calibri" w:cs="Calibri"/>
          <w:bCs/>
        </w:rPr>
        <w:t xml:space="preserve">‘individualises the material, political and cultural foci’ (Goodley, 2012: 310) of it. </w:t>
      </w:r>
      <w:r w:rsidRPr="00BE2C1D">
        <w:t>This is why the discussion of the following stories takes place through the lenses of ‘psycho-politics’, which bring about</w:t>
      </w:r>
      <w:r w:rsidRPr="00BE2C1D">
        <w:rPr>
          <w:rFonts w:cstheme="minorHAnsi"/>
        </w:rPr>
        <w:t xml:space="preserve"> ‘the politicization of the psychological’ (Hook 2004: 115), that is ‘the placing of a series of ostensibly psychological concerns and concepts within the register of the political’ (Goodley and Lawthom 2013: 167). Therefore, the discussion does recognise the psychological impact that bullying had on young people, but it does so by politicizing rather than merely individualizing it.  </w:t>
      </w:r>
    </w:p>
    <w:p w14:paraId="3F1709E1" w14:textId="77777777" w:rsidR="00BE2C1D" w:rsidRPr="00BE2C1D" w:rsidRDefault="00BE2C1D" w:rsidP="00BE2C1D">
      <w:pPr>
        <w:keepNext/>
        <w:keepLines/>
        <w:spacing w:before="40" w:after="0" w:line="360" w:lineRule="auto"/>
        <w:outlineLvl w:val="2"/>
        <w:rPr>
          <w:rFonts w:asciiTheme="majorHAnsi" w:eastAsiaTheme="majorEastAsia" w:hAnsiTheme="majorHAnsi" w:cstheme="majorBidi"/>
          <w:color w:val="1F3763" w:themeColor="accent1" w:themeShade="7F"/>
          <w:sz w:val="24"/>
          <w:szCs w:val="24"/>
          <w:shd w:val="clear" w:color="auto" w:fill="FFFFFF"/>
        </w:rPr>
      </w:pPr>
      <w:bookmarkStart w:id="156" w:name="_Toc39585277"/>
      <w:r w:rsidRPr="00BE2C1D">
        <w:rPr>
          <w:rFonts w:asciiTheme="majorHAnsi" w:eastAsiaTheme="majorEastAsia" w:hAnsiTheme="majorHAnsi" w:cstheme="majorBidi"/>
          <w:color w:val="1F3763" w:themeColor="accent1" w:themeShade="7F"/>
          <w:sz w:val="24"/>
          <w:szCs w:val="24"/>
          <w:shd w:val="clear" w:color="auto" w:fill="FFFFFF"/>
        </w:rPr>
        <w:t>Psycho-emotional Violence</w:t>
      </w:r>
      <w:bookmarkEnd w:id="156"/>
      <w:r w:rsidRPr="00BE2C1D">
        <w:rPr>
          <w:rFonts w:asciiTheme="majorHAnsi" w:eastAsiaTheme="majorEastAsia" w:hAnsiTheme="majorHAnsi" w:cstheme="majorBidi"/>
          <w:color w:val="1F3763" w:themeColor="accent1" w:themeShade="7F"/>
          <w:sz w:val="24"/>
          <w:szCs w:val="24"/>
          <w:shd w:val="clear" w:color="auto" w:fill="FFFFFF"/>
        </w:rPr>
        <w:t xml:space="preserve"> </w:t>
      </w:r>
    </w:p>
    <w:p w14:paraId="71E2DCDE" w14:textId="77777777" w:rsidR="00BE2C1D" w:rsidRPr="00BE2C1D" w:rsidRDefault="00BE2C1D" w:rsidP="00BE2C1D">
      <w:pPr>
        <w:spacing w:line="360" w:lineRule="auto"/>
        <w:ind w:left="720"/>
        <w:jc w:val="both"/>
        <w:rPr>
          <w:rFonts w:cstheme="minorHAnsi"/>
          <w:sz w:val="20"/>
          <w:szCs w:val="20"/>
        </w:rPr>
      </w:pPr>
      <w:r w:rsidRPr="00BE2C1D">
        <w:rPr>
          <w:rFonts w:cstheme="minorHAnsi"/>
          <w:sz w:val="20"/>
          <w:szCs w:val="20"/>
        </w:rPr>
        <w:t>Paul: So this is the emotionally draining part of being disabled and having dwarfism as well in a school setting for anyone.</w:t>
      </w:r>
    </w:p>
    <w:p w14:paraId="27403293" w14:textId="77777777" w:rsidR="00BE2C1D" w:rsidRPr="00BE2C1D" w:rsidRDefault="00BE2C1D" w:rsidP="00BE2C1D">
      <w:pPr>
        <w:spacing w:line="360" w:lineRule="auto"/>
        <w:jc w:val="both"/>
        <w:rPr>
          <w:rFonts w:cstheme="minorHAnsi"/>
        </w:rPr>
      </w:pPr>
      <w:r w:rsidRPr="00BE2C1D">
        <w:rPr>
          <w:rFonts w:cstheme="minorHAnsi"/>
        </w:rPr>
        <w:t xml:space="preserve">This is a quote from Paul, who was exposed to various forms of violence, as already discussed. The purpose of this section is to unravel what Paul refers to as the ‘emotionally draining part’ of having dwarfism. </w:t>
      </w:r>
      <w:r w:rsidRPr="00BE2C1D">
        <w:t xml:space="preserve">While it was already quite difficult to ask participants about any incidents of violence they had experienced, it felt even more difficult to ask about the toll that such violence had on them. However, as the following stories reveal, participants felt comfortable enough to discuss this issue openly. </w:t>
      </w:r>
      <w:r w:rsidRPr="00BE2C1D">
        <w:rPr>
          <w:rFonts w:cstheme="minorHAnsi"/>
          <w:shd w:val="clear" w:color="auto" w:fill="FFFFFF"/>
        </w:rPr>
        <w:t xml:space="preserve">The violence that some participants encountered also led them to seek self-isolation:  </w:t>
      </w:r>
    </w:p>
    <w:p w14:paraId="64E10A0A" w14:textId="77777777" w:rsidR="00BE2C1D" w:rsidRPr="00BE2C1D" w:rsidRDefault="00BE2C1D" w:rsidP="00BE2C1D">
      <w:pPr>
        <w:spacing w:line="360" w:lineRule="auto"/>
        <w:ind w:left="720"/>
        <w:rPr>
          <w:rFonts w:cstheme="minorHAnsi"/>
          <w:sz w:val="20"/>
          <w:szCs w:val="20"/>
          <w:shd w:val="clear" w:color="auto" w:fill="FFFFFF"/>
        </w:rPr>
      </w:pPr>
      <w:r w:rsidRPr="00BE2C1D">
        <w:rPr>
          <w:rFonts w:cstheme="minorHAnsi"/>
          <w:sz w:val="20"/>
          <w:szCs w:val="20"/>
          <w:shd w:val="clear" w:color="auto" w:fill="FFFFFF"/>
        </w:rPr>
        <w:t xml:space="preserve">Aphrodite: A milestone that was meant to be the start of a new life, resulted in me praying for a new life. Everyday. Everyday I'd come home, slam the door. </w:t>
      </w:r>
      <w:r w:rsidRPr="00BE2C1D">
        <w:rPr>
          <w:rFonts w:cstheme="minorHAnsi"/>
          <w:bCs/>
          <w:sz w:val="20"/>
          <w:szCs w:val="20"/>
          <w:shd w:val="clear" w:color="auto" w:fill="FFFFFF"/>
        </w:rPr>
        <w:t>And hide</w:t>
      </w:r>
      <w:r w:rsidRPr="00BE2C1D">
        <w:rPr>
          <w:rFonts w:cstheme="minorHAnsi"/>
          <w:sz w:val="20"/>
          <w:szCs w:val="20"/>
          <w:shd w:val="clear" w:color="auto" w:fill="FFFFFF"/>
        </w:rPr>
        <w:t>. Everyday I prayed. Prayed for it to stop. Prayed for someone to take it away. They say sticks and stones break your bones.... but it was their words that destroyed me.</w:t>
      </w:r>
    </w:p>
    <w:p w14:paraId="284B1D44" w14:textId="77777777" w:rsidR="00BE2C1D" w:rsidRPr="00BE2C1D" w:rsidRDefault="00BE2C1D" w:rsidP="00BE2C1D">
      <w:pPr>
        <w:spacing w:line="360" w:lineRule="auto"/>
        <w:ind w:left="720"/>
        <w:jc w:val="both"/>
        <w:rPr>
          <w:rFonts w:cstheme="minorHAnsi"/>
          <w:sz w:val="20"/>
          <w:szCs w:val="20"/>
        </w:rPr>
      </w:pPr>
      <w:r w:rsidRPr="00BE2C1D">
        <w:rPr>
          <w:rFonts w:cstheme="minorHAnsi"/>
          <w:sz w:val="20"/>
          <w:szCs w:val="20"/>
        </w:rPr>
        <w:lastRenderedPageBreak/>
        <w:t>Lynn: I get, I am like, I actually wanted to hide</w:t>
      </w:r>
      <w:r w:rsidRPr="00BE2C1D">
        <w:rPr>
          <w:rFonts w:cstheme="minorHAnsi"/>
          <w:b/>
          <w:sz w:val="20"/>
          <w:szCs w:val="20"/>
        </w:rPr>
        <w:t xml:space="preserve"> </w:t>
      </w:r>
      <w:r w:rsidRPr="00BE2C1D">
        <w:rPr>
          <w:rFonts w:cstheme="minorHAnsi"/>
          <w:sz w:val="20"/>
          <w:szCs w:val="20"/>
        </w:rPr>
        <w:t>myself. I wanted to find a little like hole behind the door that I could fit through, cause it’s not like, I don’t know why they treat me different. I am the same to you really.</w:t>
      </w:r>
    </w:p>
    <w:p w14:paraId="64AE884D" w14:textId="77777777" w:rsidR="00BE2C1D" w:rsidRPr="00BE2C1D" w:rsidRDefault="00BE2C1D" w:rsidP="00BE2C1D">
      <w:pPr>
        <w:spacing w:line="360" w:lineRule="auto"/>
        <w:ind w:left="720"/>
        <w:rPr>
          <w:sz w:val="20"/>
          <w:szCs w:val="20"/>
        </w:rPr>
      </w:pPr>
      <w:r w:rsidRPr="00BE2C1D">
        <w:rPr>
          <w:sz w:val="20"/>
          <w:szCs w:val="20"/>
        </w:rPr>
        <w:t>Nick: I kind of wanted to be, by the end of it, by the end of the school I just wanted to be a ghost.  I just wanted to be left alone and I didn’t really want, I didn’t really want any sort of acceptance or anything like that of that group. I just wanted everyone to leave me alone.</w:t>
      </w:r>
    </w:p>
    <w:p w14:paraId="16AFE092" w14:textId="77777777" w:rsidR="00BE2C1D" w:rsidRPr="00BE2C1D" w:rsidRDefault="00BE2C1D" w:rsidP="00BE2C1D">
      <w:pPr>
        <w:spacing w:line="360" w:lineRule="auto"/>
      </w:pPr>
      <w:r w:rsidRPr="00BE2C1D">
        <w:t xml:space="preserve">The psycho-emotional toll described in these stories was quite loaded, making participants want to hide or turn into a ghost. This struggle was a daily one. Thornberg et al. (2013) also mentioned how bullied individuals started isolating themselves as an effect of bullying and as a strategy to decrease its frequency. The participants’ reactions to psycho-emotional violence differed, as shown in the cases of Aphrodite and Christine: </w:t>
      </w:r>
    </w:p>
    <w:p w14:paraId="7446F869" w14:textId="77777777" w:rsidR="00BE2C1D" w:rsidRPr="00BE2C1D" w:rsidRDefault="00BE2C1D" w:rsidP="00BE2C1D">
      <w:pPr>
        <w:spacing w:line="360" w:lineRule="auto"/>
        <w:ind w:left="720"/>
        <w:jc w:val="both"/>
        <w:rPr>
          <w:rFonts w:cstheme="minorHAnsi"/>
          <w:sz w:val="20"/>
          <w:szCs w:val="20"/>
          <w:shd w:val="clear" w:color="auto" w:fill="FFFFFF"/>
        </w:rPr>
      </w:pPr>
      <w:r w:rsidRPr="00BE2C1D">
        <w:rPr>
          <w:rFonts w:cstheme="minorHAnsi"/>
          <w:sz w:val="20"/>
          <w:szCs w:val="20"/>
          <w:shd w:val="clear" w:color="auto" w:fill="FFFFFF"/>
        </w:rPr>
        <w:t>Aphrodite: I lost count of how many times I told myself to rise above them. How many times I   told myself to be the bigger person.... but how could I be, they kicked me so low, made me so weak, what chance did I have. Each morning I'd try and find a different excuse.... my head hurts.... I feel sick.... technically it wasn't an excuse.... I did feel sick. Everyday. Everyday I had to face those corridors. Everyday I heard the same words over....</w:t>
      </w:r>
    </w:p>
    <w:p w14:paraId="61B4B6E6" w14:textId="77777777" w:rsidR="00BE2C1D" w:rsidRPr="00BE2C1D" w:rsidRDefault="00BE2C1D" w:rsidP="00BE2C1D">
      <w:pPr>
        <w:spacing w:line="360" w:lineRule="auto"/>
        <w:ind w:left="720"/>
        <w:jc w:val="both"/>
        <w:rPr>
          <w:rFonts w:cstheme="minorHAnsi"/>
          <w:sz w:val="20"/>
          <w:szCs w:val="20"/>
        </w:rPr>
      </w:pPr>
      <w:r w:rsidRPr="00BE2C1D">
        <w:rPr>
          <w:rFonts w:cstheme="minorHAnsi"/>
          <w:sz w:val="20"/>
          <w:szCs w:val="20"/>
        </w:rPr>
        <w:t xml:space="preserve">Christine:  Just fed up. I am not angry, I am not sad anymore, I am just fed up of it, cause it’s got to the point where it’s gone on for so long that it’s just annoying. It’s not even like, cause before it made me really upset, but now it just goes over my head, it’s just annoying (giggle), yeah. </w:t>
      </w:r>
    </w:p>
    <w:p w14:paraId="6CD97EFA" w14:textId="77777777" w:rsidR="00BE2C1D" w:rsidRPr="00BE2C1D" w:rsidRDefault="00BE2C1D" w:rsidP="00BE2C1D">
      <w:pPr>
        <w:spacing w:line="360" w:lineRule="auto"/>
        <w:ind w:left="720"/>
        <w:jc w:val="both"/>
        <w:rPr>
          <w:rFonts w:cstheme="minorHAnsi"/>
          <w:sz w:val="20"/>
          <w:szCs w:val="20"/>
        </w:rPr>
      </w:pPr>
      <w:r w:rsidRPr="00BE2C1D">
        <w:rPr>
          <w:rFonts w:cstheme="minorHAnsi"/>
          <w:sz w:val="20"/>
          <w:szCs w:val="20"/>
        </w:rPr>
        <w:t>Christine. Yeah. I wouldn’t go into tears straight away, but it would have to be like a build-up and then I’ll have to get fed up with it.</w:t>
      </w:r>
    </w:p>
    <w:p w14:paraId="025B9D96" w14:textId="77777777" w:rsidR="00BE2C1D" w:rsidRPr="00BE2C1D" w:rsidRDefault="00BE2C1D" w:rsidP="00BE2C1D">
      <w:pPr>
        <w:spacing w:line="360" w:lineRule="auto"/>
        <w:jc w:val="both"/>
        <w:rPr>
          <w:rFonts w:cstheme="minorHAnsi"/>
        </w:rPr>
      </w:pPr>
      <w:r w:rsidRPr="00BE2C1D">
        <w:rPr>
          <w:rFonts w:cstheme="minorHAnsi"/>
        </w:rPr>
        <w:t xml:space="preserve">Aphrodite’s story illustrated how the toll of bullying was embodied, meaning how it manifested in bodily terms: her head hurt, she felt sick. Her narrative captured what Thornberg et al. (2013: 319) referred to as ‘resignation’, which described ‘a state of resignation expressed as hopelessness and despair’. At this state, bullied individuals could not see any way out of bullying. What was also interesting in Aphrodite’s story was her use of heightist metaphors: rise above, be the bigger person (see also Appendix 2). On the other hand, Christine described how she had moved from one place of being very upset to being fed up with it all, but not emotional about it anymore. This process was described by Thornberg et al. (2013: 317) as the strategy of ‘turning off emotions’, whereby bullied individuals ‘attempted to dramaturgically and emotionally dissociate themselves from the ongoing unpleasant situation of external victimising’. From her mother’s point of view, Christine’s control over her emotional reactions, such as crying, was a sign that she was handling it better (‘holding your own’). </w:t>
      </w:r>
    </w:p>
    <w:p w14:paraId="0FB93A91" w14:textId="77777777" w:rsidR="00BE2C1D" w:rsidRPr="00BE2C1D" w:rsidRDefault="00BE2C1D" w:rsidP="00BE2C1D">
      <w:pPr>
        <w:spacing w:line="360" w:lineRule="auto"/>
        <w:jc w:val="both"/>
      </w:pPr>
      <w:r w:rsidRPr="00BE2C1D">
        <w:lastRenderedPageBreak/>
        <w:t xml:space="preserve">A common theme in the stories of participants was how incidents of interpersonal violence reminded them of their ‘difference’ to their peers: </w:t>
      </w:r>
    </w:p>
    <w:p w14:paraId="5008938F" w14:textId="77777777" w:rsidR="00BE2C1D" w:rsidRPr="00BE2C1D" w:rsidRDefault="00BE2C1D" w:rsidP="00BE2C1D">
      <w:pPr>
        <w:ind w:left="720"/>
        <w:rPr>
          <w:sz w:val="20"/>
          <w:szCs w:val="20"/>
        </w:rPr>
      </w:pPr>
      <w:r w:rsidRPr="00BE2C1D">
        <w:rPr>
          <w:sz w:val="20"/>
          <w:szCs w:val="20"/>
        </w:rPr>
        <w:t xml:space="preserve">A: But how did this sort of comments and attitudes make you feel when you had to deal with them? </w:t>
      </w:r>
    </w:p>
    <w:p w14:paraId="7411BF58" w14:textId="77777777" w:rsidR="00BE2C1D" w:rsidRPr="00BE2C1D" w:rsidRDefault="00BE2C1D" w:rsidP="00BE2C1D">
      <w:pPr>
        <w:spacing w:line="360" w:lineRule="auto"/>
        <w:ind w:left="720"/>
        <w:jc w:val="both"/>
        <w:rPr>
          <w:rFonts w:cstheme="minorHAnsi"/>
          <w:sz w:val="20"/>
          <w:szCs w:val="20"/>
        </w:rPr>
      </w:pPr>
      <w:r w:rsidRPr="00BE2C1D">
        <w:rPr>
          <w:rFonts w:cstheme="minorHAnsi"/>
          <w:sz w:val="20"/>
          <w:szCs w:val="20"/>
        </w:rPr>
        <w:t xml:space="preserve">Patricia: Yeah, not very nice, if you know what I mean. It did kind of, like make me unsure, it did, kind of like, like when you just feel like that you are one of the crowd, then it kind of knocks you back down again, you know what I mean. And then, you are still like: ‘Oh no, I am still actually treated quite different’. </w:t>
      </w:r>
    </w:p>
    <w:p w14:paraId="67E69079" w14:textId="77777777" w:rsidR="00BE2C1D" w:rsidRPr="00BE2C1D" w:rsidRDefault="00BE2C1D" w:rsidP="00BE2C1D">
      <w:pPr>
        <w:spacing w:line="360" w:lineRule="auto"/>
        <w:ind w:left="720"/>
        <w:jc w:val="both"/>
        <w:rPr>
          <w:sz w:val="20"/>
          <w:szCs w:val="20"/>
          <w:lang w:val="en-US"/>
        </w:rPr>
      </w:pPr>
      <w:r w:rsidRPr="00BE2C1D">
        <w:rPr>
          <w:sz w:val="20"/>
          <w:szCs w:val="20"/>
          <w:lang w:val="en-US"/>
        </w:rPr>
        <w:t>Rachael: Em, I don’t really know. I think I just probably ignored it quite a lot. I think there were definitely times if I was going through a bit of more of a teenage anxiety to get more upset. And I think I would, I did cry about it sometimes. I think I did cry at school sometimes, cause, if someone says and mainly is not expecting it, it’s a bit of a shock and you don’t have really time to compose yourself, cause you just think: ‘Well, where did this come from?’ And I think you forget sort of that, that there is any difference</w:t>
      </w:r>
      <w:r w:rsidRPr="00BE2C1D">
        <w:rPr>
          <w:sz w:val="20"/>
          <w:szCs w:val="20"/>
        </w:rPr>
        <w:t>.</w:t>
      </w:r>
      <w:r w:rsidRPr="00BE2C1D">
        <w:rPr>
          <w:sz w:val="20"/>
          <w:szCs w:val="20"/>
          <w:lang w:val="en-US"/>
        </w:rPr>
        <w:t xml:space="preserve"> And then, when someone shouts something at you, yes shouts ‘Midget’, shouts ‘MiniMe’, shouts whatever, em, or makes a joke, then, yeah, you are suddenly reminded: ‘Oh, you don’t think I am like you actually, you think I am weird’, but I’d have forgotten that, because normally I am just doing my normal thing, like everyone else. </w:t>
      </w:r>
    </w:p>
    <w:p w14:paraId="13415564" w14:textId="77777777" w:rsidR="00BE2C1D" w:rsidRPr="00BE2C1D" w:rsidRDefault="00BE2C1D" w:rsidP="00BE2C1D">
      <w:pPr>
        <w:spacing w:line="360" w:lineRule="auto"/>
        <w:jc w:val="both"/>
        <w:rPr>
          <w:rFonts w:cstheme="minorHAnsi"/>
        </w:rPr>
      </w:pPr>
      <w:r w:rsidRPr="00BE2C1D">
        <w:rPr>
          <w:rFonts w:cstheme="minorHAnsi"/>
        </w:rPr>
        <w:t xml:space="preserve">Both Patricia and Rachael mentioned how cultural violence in the form of name calling, for instance, functioned as an unexpected reminder of their difference from their peers, when they were under the impression that they had moved past it. This sense of belonging (‘one of the crowd’, ‘like everyone else’) was questioned at this very moment of violence, leaving them staggered. The importance of this sense of belonging was also discussed by other disabled people, who went on a ‘pursuit of ordinariness’ (McLaughlin and Coleman-Fountain 2018), meaning that they wanted and sought to look and be treated like everyone else. However, as Side and Johnson (2014) maintained, bullying impacts on how one sees themselves as well as how they believe they are seen from others. Moreover, this pursuit of ordinariness and the need for a sense of belonging was exacerbated during teenage years: </w:t>
      </w:r>
    </w:p>
    <w:p w14:paraId="4C75923A" w14:textId="77777777" w:rsidR="00BE2C1D" w:rsidRPr="00BE2C1D" w:rsidRDefault="00BE2C1D" w:rsidP="00BE2C1D">
      <w:pPr>
        <w:spacing w:line="360" w:lineRule="auto"/>
        <w:ind w:left="720"/>
        <w:jc w:val="both"/>
        <w:rPr>
          <w:sz w:val="20"/>
          <w:szCs w:val="20"/>
          <w:lang w:val="en-US"/>
        </w:rPr>
      </w:pPr>
      <w:r w:rsidRPr="00BE2C1D">
        <w:rPr>
          <w:rFonts w:cstheme="minorHAnsi"/>
          <w:sz w:val="20"/>
          <w:szCs w:val="20"/>
        </w:rPr>
        <w:t>Patricia: And I think as a teenager that’s, there’s that struggle there of being different, do you know what I mean? You have that: I don’t really want to feel different, I want to feel part of everyone else.</w:t>
      </w:r>
    </w:p>
    <w:p w14:paraId="55779E0D" w14:textId="77777777" w:rsidR="00BE2C1D" w:rsidRPr="00BE2C1D" w:rsidRDefault="00BE2C1D" w:rsidP="00BE2C1D">
      <w:pPr>
        <w:spacing w:line="360" w:lineRule="auto"/>
        <w:ind w:left="720"/>
        <w:jc w:val="both"/>
        <w:rPr>
          <w:sz w:val="20"/>
          <w:szCs w:val="20"/>
          <w:lang w:val="en-US"/>
        </w:rPr>
      </w:pPr>
      <w:r w:rsidRPr="00BE2C1D">
        <w:rPr>
          <w:sz w:val="20"/>
          <w:szCs w:val="20"/>
          <w:lang w:val="en-US"/>
        </w:rPr>
        <w:t>Rachael. I think it‘s quite, sometimes being a teenager is really difficult. And there were times when you think: ‘’Ah, I don’t care’’ and you feel it doesn’t affect you, but other times when it really does. And you don’t want any attention drawn to the fact that you are different and you don’t know how to negotiate it.</w:t>
      </w:r>
    </w:p>
    <w:p w14:paraId="68F73089" w14:textId="77777777" w:rsidR="00BE2C1D" w:rsidRPr="00BE2C1D" w:rsidRDefault="00BE2C1D" w:rsidP="00BE2C1D">
      <w:pPr>
        <w:spacing w:line="360" w:lineRule="auto"/>
        <w:rPr>
          <w:rFonts w:cstheme="minorHAnsi"/>
          <w:shd w:val="clear" w:color="auto" w:fill="FFFFFF"/>
        </w:rPr>
      </w:pPr>
      <w:r w:rsidRPr="00BE2C1D">
        <w:rPr>
          <w:rFonts w:cstheme="minorHAnsi"/>
          <w:shd w:val="clear" w:color="auto" w:fill="FFFFFF"/>
        </w:rPr>
        <w:t xml:space="preserve">Both stories illustrated the desire of Patricia and Rachael to be seen as everyone else, which was hindered when violence occurred. Gibson et al. (2014) referred to the ‘narratives of non-difference’ that young men with Duchenne syndrome developed a way to represent themselves as ‘typical’ </w:t>
      </w:r>
      <w:r w:rsidRPr="00BE2C1D">
        <w:rPr>
          <w:rFonts w:cstheme="minorHAnsi"/>
          <w:shd w:val="clear" w:color="auto" w:fill="FFFFFF"/>
        </w:rPr>
        <w:lastRenderedPageBreak/>
        <w:t xml:space="preserve">guys. Examining the intersection of youth, gender and disability, Slater (2012) also drew the attention on how disability is not part of ‘normative’ youth or, put differently, how disability is believed to disrupt the ‘youthful identity’. </w:t>
      </w:r>
    </w:p>
    <w:p w14:paraId="6E0DF379" w14:textId="77777777" w:rsidR="00BE2C1D" w:rsidRPr="00BE2C1D" w:rsidRDefault="00BE2C1D" w:rsidP="00BE2C1D">
      <w:pPr>
        <w:spacing w:line="360" w:lineRule="auto"/>
        <w:jc w:val="both"/>
        <w:rPr>
          <w:rFonts w:cstheme="minorHAnsi"/>
        </w:rPr>
      </w:pPr>
      <w:r w:rsidRPr="00BE2C1D">
        <w:rPr>
          <w:rFonts w:cstheme="minorHAnsi"/>
        </w:rPr>
        <w:t xml:space="preserve">Returning back to the introduction of this section, an easy conclusion after reading these stories would be that these young people were ‘depressed’, for instance, and end the reading there. It could further be proposed that the psycho-emotional damage was as significant because of a lack of ‘resilience’ that is often attributed to disabled children (Runswick-Cole and Goodley 2013; Runswick-Cole et al., 2018b). Nevertheless, this section is not about reaching easy conclusions that pathologise the individuals for not coping with adversities. On the contrary, it is such comfortable conclusions that make the need for ‘psychopolitics’ (Hook 2004) more urgent, understanding such feelings within the political context that they occur. Hook (2004: 86) argues that ‘the objective of such psychological descriptions is to subject such forms of power to critique, to understand them better so as to challenge them more effectively’. These stories then shed light on the power to which these young people were subject to, the power of psycho-emotional disablism (Thomas 2007). Moreover, these stories mostly came from the female participants of this research (with the exception of Nick and Paul). From a feminist disability studies perspective (Garland-Thomson 2005; Thomas 1999; Wendell 1996), these stories also indicated how the female, young, disabled body was more susceptible to such a form of violence. Furthermore, female participants might have been more open to discuss the psycho-emotional toll due to existent gender norms, which construct boys as less willing to talk openly about their feelings (Borrill et al., 2012). Having discussed the participants’ encounters with real violence and the psycho-emotional effects they had on them, in the next section I focus on the role of schools in the perpetuation of this violence. </w:t>
      </w:r>
    </w:p>
    <w:p w14:paraId="284264E4" w14:textId="77777777" w:rsidR="00BE2C1D" w:rsidRPr="00BE2C1D" w:rsidRDefault="00BE2C1D" w:rsidP="00BE2C1D">
      <w:pPr>
        <w:keepNext/>
        <w:keepLines/>
        <w:spacing w:before="40" w:after="0" w:line="360" w:lineRule="auto"/>
        <w:outlineLvl w:val="1"/>
        <w:rPr>
          <w:rFonts w:asciiTheme="majorHAnsi" w:eastAsiaTheme="majorEastAsia" w:hAnsiTheme="majorHAnsi" w:cstheme="majorBidi"/>
          <w:color w:val="2F5496" w:themeColor="accent1" w:themeShade="BF"/>
          <w:sz w:val="26"/>
          <w:szCs w:val="26"/>
        </w:rPr>
      </w:pPr>
      <w:bookmarkStart w:id="157" w:name="_Toc39585278"/>
      <w:r w:rsidRPr="00BE2C1D">
        <w:rPr>
          <w:rFonts w:asciiTheme="majorHAnsi" w:eastAsiaTheme="majorEastAsia" w:hAnsiTheme="majorHAnsi" w:cstheme="majorBidi"/>
          <w:color w:val="2F5496" w:themeColor="accent1" w:themeShade="BF"/>
          <w:sz w:val="26"/>
          <w:szCs w:val="26"/>
        </w:rPr>
        <w:t>Stories of Systemic Violence</w:t>
      </w:r>
      <w:bookmarkEnd w:id="157"/>
    </w:p>
    <w:p w14:paraId="16254317" w14:textId="77777777" w:rsidR="00BE2C1D" w:rsidRPr="00BE2C1D" w:rsidRDefault="00BE2C1D" w:rsidP="00BE2C1D">
      <w:pPr>
        <w:spacing w:after="0" w:line="360" w:lineRule="auto"/>
        <w:jc w:val="both"/>
        <w:rPr>
          <w:rFonts w:eastAsia="Times New Roman" w:cstheme="minorHAnsi"/>
          <w:lang w:eastAsia="en-GB"/>
        </w:rPr>
      </w:pPr>
      <w:r w:rsidRPr="00BE2C1D">
        <w:rPr>
          <w:rFonts w:eastAsia="Times New Roman" w:cstheme="minorHAnsi"/>
          <w:lang w:eastAsia="en-GB"/>
        </w:rPr>
        <w:t xml:space="preserve">Following the stories of real and psycho-emotional violence, in this section I explore how such incidents of violence were ‘dealt with’ in schools. The focus is on ‘systemic violence’, that is how ‘the very workings of systems ensure that possible antecedents of real violence are never addressed’ (Goodley and Runswick-Cole 2011a: 611). In the context of school bullying, systemic approaches (Horton 2016a) have looked into how school culture e.g. competition, marketisation etc. can function as triggers of violence. In the case of disabled children, they (disabled children) are considered to ‘threaten these cherished ideals of childhood and the performativity of the school’ (Goodley and Runswick-Cole 2011a: 610) and, therefore, disrupt the ‘order’ of school (Davies 2011; Horton 2011). Extending these approaches, this chapter aims to deconstruct the linear narrative of how bullying was dealt with in schools, which included the following processes: disclosure-intervention-elimination. Simply put, the bullied individual was expected to disclose the violent incident, the person to whom </w:t>
      </w:r>
      <w:r w:rsidRPr="00BE2C1D">
        <w:rPr>
          <w:rFonts w:eastAsia="Times New Roman" w:cstheme="minorHAnsi"/>
          <w:lang w:eastAsia="en-GB"/>
        </w:rPr>
        <w:lastRenderedPageBreak/>
        <w:t xml:space="preserve">the incident had been disclosed need to intervene in some way, and then violence shall be eliminated. However, the participants’ accounts discussed in this chapter shed light on the complexity of each process, pointing out how the very mechanisms that were put forward to eliminate violence ended up contributing to its maintenance.    </w:t>
      </w:r>
    </w:p>
    <w:p w14:paraId="2E8B8F0A" w14:textId="77777777" w:rsidR="00BE2C1D" w:rsidRPr="00BE2C1D" w:rsidRDefault="00BE2C1D" w:rsidP="00BE2C1D">
      <w:pPr>
        <w:keepNext/>
        <w:keepLines/>
        <w:spacing w:before="40" w:after="0" w:line="360" w:lineRule="auto"/>
        <w:outlineLvl w:val="2"/>
        <w:rPr>
          <w:rFonts w:asciiTheme="majorHAnsi" w:eastAsiaTheme="majorEastAsia" w:hAnsiTheme="majorHAnsi" w:cstheme="majorBidi"/>
          <w:color w:val="1F3763" w:themeColor="accent1" w:themeShade="7F"/>
          <w:sz w:val="24"/>
          <w:szCs w:val="24"/>
          <w:lang w:eastAsia="en-GB"/>
        </w:rPr>
      </w:pPr>
      <w:bookmarkStart w:id="158" w:name="_Toc39585279"/>
      <w:r w:rsidRPr="00BE2C1D">
        <w:rPr>
          <w:rFonts w:asciiTheme="majorHAnsi" w:eastAsiaTheme="majorEastAsia" w:hAnsiTheme="majorHAnsi" w:cstheme="majorBidi"/>
          <w:color w:val="1F3763" w:themeColor="accent1" w:themeShade="7F"/>
          <w:sz w:val="24"/>
          <w:szCs w:val="24"/>
          <w:lang w:eastAsia="en-GB"/>
        </w:rPr>
        <w:t>Schools’ Responses to Violence</w:t>
      </w:r>
      <w:bookmarkEnd w:id="158"/>
      <w:r w:rsidRPr="00BE2C1D">
        <w:rPr>
          <w:rFonts w:asciiTheme="majorHAnsi" w:eastAsiaTheme="majorEastAsia" w:hAnsiTheme="majorHAnsi" w:cstheme="majorBidi"/>
          <w:color w:val="1F3763" w:themeColor="accent1" w:themeShade="7F"/>
          <w:sz w:val="24"/>
          <w:szCs w:val="24"/>
          <w:lang w:eastAsia="en-GB"/>
        </w:rPr>
        <w:t xml:space="preserve"> </w:t>
      </w:r>
    </w:p>
    <w:p w14:paraId="3AFB49A0" w14:textId="77777777" w:rsidR="00BE2C1D" w:rsidRPr="00BE2C1D" w:rsidRDefault="00BE2C1D" w:rsidP="00BE2C1D">
      <w:pPr>
        <w:spacing w:line="360" w:lineRule="auto"/>
        <w:jc w:val="both"/>
        <w:rPr>
          <w:lang w:eastAsia="en-GB"/>
        </w:rPr>
      </w:pPr>
      <w:r w:rsidRPr="00BE2C1D">
        <w:rPr>
          <w:lang w:eastAsia="en-GB"/>
        </w:rPr>
        <w:t xml:space="preserve">A common(sense) strategy to counteract school bullying is for the bullied individual to report it to an adult (Black et al. 2010; Craig et al. 2007) and then the adult will follow it up by taking the appropriate action(s). This strategy instilled the responsibility for the elimination of bullying on the bullied individual, who should disclose in detail what happened, and on the individual who became aware of the situation e.g. a teacher, who was expected to do something about it. However, these processes were not ‘neutral’, as demonstrated in the following stories. </w:t>
      </w:r>
    </w:p>
    <w:p w14:paraId="5544548B" w14:textId="77777777" w:rsidR="00BE2C1D" w:rsidRPr="00BE2C1D" w:rsidRDefault="00BE2C1D" w:rsidP="00BE2C1D">
      <w:pPr>
        <w:spacing w:line="360" w:lineRule="auto"/>
        <w:jc w:val="both"/>
        <w:rPr>
          <w:lang w:eastAsia="en-GB"/>
        </w:rPr>
      </w:pPr>
      <w:r w:rsidRPr="00BE2C1D">
        <w:rPr>
          <w:lang w:eastAsia="en-GB"/>
        </w:rPr>
        <w:t>Christine referred to how ‘disclosing’ a bullying incidence was not merely an expectation, but an institutional norm reinforced by staff members:</w:t>
      </w:r>
    </w:p>
    <w:p w14:paraId="66E5CD8F" w14:textId="16BC01CC" w:rsidR="0043116F" w:rsidRDefault="00BE2C1D" w:rsidP="0043116F">
      <w:pPr>
        <w:spacing w:line="360" w:lineRule="auto"/>
        <w:ind w:left="720"/>
        <w:jc w:val="both"/>
        <w:rPr>
          <w:rFonts w:cstheme="minorHAnsi"/>
          <w:sz w:val="20"/>
          <w:szCs w:val="20"/>
        </w:rPr>
      </w:pPr>
      <w:r w:rsidRPr="00BE2C1D">
        <w:rPr>
          <w:rFonts w:cstheme="minorHAnsi"/>
          <w:sz w:val="20"/>
          <w:szCs w:val="20"/>
        </w:rPr>
        <w:t>Christine:</w:t>
      </w:r>
      <w:bookmarkStart w:id="159" w:name="_Hlk522888566"/>
      <w:r w:rsidRPr="00BE2C1D">
        <w:rPr>
          <w:rFonts w:cstheme="minorHAnsi"/>
          <w:sz w:val="20"/>
          <w:szCs w:val="20"/>
        </w:rPr>
        <w:t xml:space="preserve"> And I had this horrible TA and we went to this room with this girl Emma. And we have to play like this bullying board game, so like it’s a board game. And it was said like: ‘If a bully shouted at your friend, what would you do and everything?’ Em, so this girl was saying: ‘Oh, I ‘ll go and tell the teacher and everything’. And then, when I said what I would do - I said that I would shout back at them and say just like: ‘Go away and everything and leave my friend’ - I got told off. And she said that I shouldn’t talk back to them and I shouldn’t be horrible to them. But I would stick up for myself. And then she was saying I should go and tell a teacher and everything, which is ridiculous. So I am not gonna just sit there and let them shout at me or my friend</w:t>
      </w:r>
      <w:r w:rsidR="0043116F">
        <w:rPr>
          <w:rFonts w:cstheme="minorHAnsi"/>
          <w:sz w:val="20"/>
          <w:szCs w:val="20"/>
        </w:rPr>
        <w:t>.</w:t>
      </w:r>
      <w:r w:rsidRPr="00BE2C1D">
        <w:rPr>
          <w:rFonts w:cstheme="minorHAnsi"/>
          <w:sz w:val="20"/>
          <w:szCs w:val="20"/>
        </w:rPr>
        <w:t xml:space="preserve"> </w:t>
      </w:r>
    </w:p>
    <w:p w14:paraId="6E498FC4" w14:textId="77777777" w:rsidR="00CE2A86" w:rsidRDefault="00BE2C1D" w:rsidP="0043116F">
      <w:pPr>
        <w:spacing w:line="360" w:lineRule="auto"/>
        <w:jc w:val="both"/>
      </w:pPr>
      <w:r w:rsidRPr="00BE2C1D">
        <w:t>The above story included three performances/performers: the ‘master’, embodied by the TA, the ‘docile’, embodied by Emma, and the ‘unruly’ embodied by Christine. Through the use of a board game and in a separate room, the master had to confirm that the docile and the indocile subject held the ‘right’ knowledge on how to react in the case of bullying. Although the use of the board game could be considered ‘child-friendly’, it could be equally argued that it could be perceived as infantilising and potentially diminishing bullying’s significance and lived experience. While Emma performed ‘docility’ by reproducing what the TA wanted to listen to, Christine refused to perform in the same way and she decided to transgress by responding with the ‘wrong’ answer: she would shout back at those who attempted to bully her friend. Immediately, the TA had to punish - tell off - and correct - remind the right reaction - the unruly subject.</w:t>
      </w:r>
      <w:bookmarkEnd w:id="159"/>
      <w:r w:rsidRPr="00BE2C1D">
        <w:t xml:space="preserve"> The TA’s reaction was illustrative of how ‘educational professionals must act in such ways to fit the rigidity of systemic rituals’ (Goodley and Runswick-Cole 2011a: 610). Young people were instructed what to do by those in power rather than being listened to (Side and </w:t>
      </w:r>
      <w:r w:rsidRPr="00BE2C1D">
        <w:lastRenderedPageBreak/>
        <w:t xml:space="preserve">Johnson 2014). Nevertheless, Christine questioned this institutional norm of disclosure, characterising it as ‘ridiculous’ and defending her choice of reaction. </w:t>
      </w:r>
    </w:p>
    <w:p w14:paraId="783AAE94" w14:textId="77668DAE" w:rsidR="00BE2C1D" w:rsidRPr="00BE2C1D" w:rsidRDefault="00BE2C1D" w:rsidP="00BE2C1D">
      <w:pPr>
        <w:spacing w:line="360" w:lineRule="auto"/>
        <w:jc w:val="both"/>
      </w:pPr>
      <w:r w:rsidRPr="00AA4109">
        <w:t>When I prompted Christine to explain why the idea of disclosure was ridiculous,</w:t>
      </w:r>
      <w:r w:rsidR="00CE2A86" w:rsidRPr="00AA4109">
        <w:t xml:space="preserve"> the issue of trust was brought up, making clear that disclosure </w:t>
      </w:r>
      <w:r w:rsidRPr="00AA4109">
        <w:t>was not a neutral or automatic option, but it required a relationship of trust with the adult to whom the incident would be disclosed.</w:t>
      </w:r>
      <w:r w:rsidRPr="00BE2C1D">
        <w:t xml:space="preserve"> Trust </w:t>
      </w:r>
      <w:r w:rsidR="006958B5">
        <w:t>is</w:t>
      </w:r>
      <w:r w:rsidRPr="00BE2C1D">
        <w:t xml:space="preserve"> a core element in the process of disclosing such incidents, as several studies have pointed out (Allen 2010; Cortes and Kochenderfer-Ladd 2014; Maunder and Tattersall 2010; Newman-Calrson and Horne 2004; Raskauskas et al. 2010; Rodkin and Hoghes 2003; Smith and Shu 2000; Yablon 2010). As Maunder and Tattersall (2010) and DeLara (2012) suggested, students might disclose such information to staff members that seem more approachable compared to others, which was the case with Christine, who chose certain TAs over her teachers. This relationship of trust might have been affected by the institutional roles of teachers and TAs, with the latter spending more time with the young people compared to the former (Webster et al. 2013).</w:t>
      </w:r>
    </w:p>
    <w:p w14:paraId="7E484A30" w14:textId="77777777" w:rsidR="00BE2C1D" w:rsidRPr="00BE2C1D" w:rsidRDefault="00BE2C1D" w:rsidP="00BE2C1D">
      <w:pPr>
        <w:spacing w:line="360" w:lineRule="auto"/>
        <w:jc w:val="both"/>
      </w:pPr>
      <w:r w:rsidRPr="00BE2C1D">
        <w:t xml:space="preserve">Disclosure is often described in many anti-bullying policies as the first and essential step for the elimination of bullying to take place (Black et al. 2010; DeLara 2012). However, participants mentioned that disclosure did not always result in any form of intervention on behalf of the adults to whom the incident was disclosed. Nick and Rania, for instance, acknowledged how futile it was to disclose anything to teachers, as they did not do anything about it:  </w:t>
      </w:r>
    </w:p>
    <w:p w14:paraId="36531F54" w14:textId="77777777" w:rsidR="00BE2C1D" w:rsidRPr="00BE2C1D" w:rsidRDefault="00BE2C1D" w:rsidP="00BE2C1D">
      <w:pPr>
        <w:spacing w:line="360" w:lineRule="auto"/>
        <w:ind w:left="720"/>
        <w:jc w:val="both"/>
        <w:rPr>
          <w:rFonts w:cstheme="minorHAnsi"/>
          <w:sz w:val="20"/>
          <w:szCs w:val="20"/>
        </w:rPr>
      </w:pPr>
      <w:r w:rsidRPr="00BE2C1D">
        <w:rPr>
          <w:rFonts w:cstheme="minorHAnsi"/>
          <w:sz w:val="20"/>
          <w:szCs w:val="20"/>
        </w:rPr>
        <w:t xml:space="preserve">Nick: Em, I told the teachers and they didn’t do anything. I told the staff in the playground, so it might have been teaching assistants or any teachers, and they didn’t do anything. </w:t>
      </w:r>
    </w:p>
    <w:p w14:paraId="2DE5B827" w14:textId="77777777" w:rsidR="00BE2C1D" w:rsidRPr="00BE2C1D" w:rsidRDefault="00BE2C1D" w:rsidP="00BE2C1D">
      <w:pPr>
        <w:spacing w:line="360" w:lineRule="auto"/>
        <w:ind w:left="720"/>
        <w:jc w:val="both"/>
        <w:rPr>
          <w:rFonts w:cstheme="minorHAnsi"/>
          <w:sz w:val="20"/>
          <w:szCs w:val="20"/>
        </w:rPr>
      </w:pPr>
      <w:r w:rsidRPr="00BE2C1D">
        <w:rPr>
          <w:rFonts w:cstheme="minorHAnsi"/>
          <w:sz w:val="20"/>
          <w:szCs w:val="20"/>
        </w:rPr>
        <w:t xml:space="preserve">Rania: When there was like problems going on with bullying, she just turned a blind eye, (me:  mmm), which wasn’t very good at all. </w:t>
      </w:r>
    </w:p>
    <w:p w14:paraId="60D67374" w14:textId="77777777" w:rsidR="00BE2C1D" w:rsidRPr="00BE2C1D" w:rsidRDefault="00BE2C1D" w:rsidP="00BE2C1D">
      <w:pPr>
        <w:spacing w:line="360" w:lineRule="auto"/>
        <w:jc w:val="both"/>
      </w:pPr>
      <w:r w:rsidRPr="00BE2C1D">
        <w:t xml:space="preserve">Both Nick and Rania mentioned how their teachers did not intervene at all, despite being aware of them getting bullied. Other studies have also pointed out how teachers did not intervene in bullying incidents (Crothers et al. 2006; Kokko and Porhola 2009), leaving the bullied individuals with the impression that they were tolerant of it (Dedousis-Wallace and Shute 2009; Novick and Isaacs 2010; Rodkin and Hodges 2003) and making them question the value of disclosure (Bjereld et al. 2019; Salmivali and Nieminen 2002).  </w:t>
      </w:r>
    </w:p>
    <w:p w14:paraId="1E180754" w14:textId="77777777" w:rsidR="00BE2C1D" w:rsidRPr="00BE2C1D" w:rsidRDefault="00BE2C1D" w:rsidP="00BE2C1D">
      <w:pPr>
        <w:spacing w:line="360" w:lineRule="auto"/>
        <w:jc w:val="both"/>
      </w:pPr>
      <w:r w:rsidRPr="00BE2C1D">
        <w:t xml:space="preserve">An explanation put forward why teachers did not intervene in bullying incidents was the different understandings teachers and young people had in relation to what ‘counts’ as bullying (Canty et al. 2016; Eriksen 2018; Frisen et al. 2008; Naylor et al. 2006). That is, teachers’ course of action  towards bullying -to intervene or not (Kochenderfer and Pelletiers 2008)- was shaped by their own </w:t>
      </w:r>
      <w:r w:rsidRPr="00BE2C1D">
        <w:lastRenderedPageBreak/>
        <w:t xml:space="preserve">understanding of what constituted bullying, which was often adult-centric, administrative and dismissive of what children and young people recognised as bullying (Canty et al. 2016; DeLara 2012). As Duncan (2013: 225) proposed: </w:t>
      </w:r>
    </w:p>
    <w:p w14:paraId="1ADDE15B" w14:textId="77777777" w:rsidR="00BE2C1D" w:rsidRPr="00BE2C1D" w:rsidRDefault="00BE2C1D" w:rsidP="00BE2C1D">
      <w:pPr>
        <w:spacing w:line="360" w:lineRule="auto"/>
        <w:ind w:left="720"/>
        <w:jc w:val="both"/>
        <w:rPr>
          <w:sz w:val="20"/>
          <w:szCs w:val="20"/>
        </w:rPr>
      </w:pPr>
      <w:r w:rsidRPr="00BE2C1D">
        <w:rPr>
          <w:sz w:val="20"/>
          <w:szCs w:val="20"/>
        </w:rPr>
        <w:t>The question of definitions of bullying is a vexed one, and while there are differences between  professionals, some of which might be important in a technical sense, there seems to be a consensus that it is the professionals who have the right to define the problem.</w:t>
      </w:r>
    </w:p>
    <w:p w14:paraId="4D1B309B" w14:textId="77777777" w:rsidR="00BE2C1D" w:rsidRPr="00BE2C1D" w:rsidRDefault="00BE2C1D" w:rsidP="00BE2C1D">
      <w:pPr>
        <w:spacing w:line="360" w:lineRule="auto"/>
        <w:jc w:val="both"/>
      </w:pPr>
      <w:r w:rsidRPr="00BE2C1D">
        <w:t>These adult-centric views were also reflected on the anti-bullying policies, which adopted ‘official’</w:t>
      </w:r>
      <w:r w:rsidRPr="00BE2C1D">
        <w:rPr>
          <w:vertAlign w:val="superscript"/>
        </w:rPr>
        <w:footnoteReference w:id="139"/>
      </w:r>
      <w:r w:rsidRPr="00BE2C1D">
        <w:t xml:space="preserve"> definitions of bullying and were imposed top-down (DeLara, 2012). Even when teachers intervened, the participants were held equally accountable with those who bullied them:</w:t>
      </w:r>
    </w:p>
    <w:p w14:paraId="27248E44" w14:textId="77777777" w:rsidR="00BE2C1D" w:rsidRPr="00BE2C1D" w:rsidRDefault="00BE2C1D" w:rsidP="00BE2C1D">
      <w:pPr>
        <w:spacing w:line="360" w:lineRule="auto"/>
        <w:ind w:left="720"/>
        <w:jc w:val="both"/>
        <w:rPr>
          <w:sz w:val="20"/>
          <w:szCs w:val="20"/>
        </w:rPr>
      </w:pPr>
      <w:r w:rsidRPr="00BE2C1D">
        <w:rPr>
          <w:sz w:val="20"/>
          <w:szCs w:val="20"/>
        </w:rPr>
        <w:t>Nick: Like I once had an occasion where I was in a Maths class.  Maths class was one of the worst class, cause it was where like a lot of the bullies were and they were writing stuff about me in the book passing it around. And I picked up the book and threw it out of the window […] the teacher outside just appointed for the year, and it didn’t hit her, but it kind of fell near her. And she came in and called me out. And she poked and asked me, asked who did this. Of course everyone rats on me and, so I got pulled out the class and I had a big tantrum, I ended up just saying: ‘You are not trying to understand the reasons why this is happening. Yeah, actually, the teacher, you should be just as concerned if not more concerned about the fact that my name is in that book, talks stuff about me […] Because if you just, you know, cause I am getting both bullied in class and punished for that. Yes, I shouldn’t have thrown it out of the window, that was not a good idea, but like what I felt, she had no consideration or care of why that kind of behaviour was happening.</w:t>
      </w:r>
    </w:p>
    <w:p w14:paraId="40728605" w14:textId="77777777" w:rsidR="00BE2C1D" w:rsidRPr="00BE2C1D" w:rsidRDefault="00BE2C1D" w:rsidP="00BE2C1D">
      <w:pPr>
        <w:spacing w:line="360" w:lineRule="auto"/>
        <w:ind w:left="720"/>
        <w:jc w:val="both"/>
        <w:rPr>
          <w:rFonts w:cstheme="minorHAnsi"/>
          <w:sz w:val="20"/>
          <w:szCs w:val="20"/>
        </w:rPr>
      </w:pPr>
      <w:r w:rsidRPr="00BE2C1D">
        <w:rPr>
          <w:rFonts w:cstheme="minorHAnsi"/>
          <w:sz w:val="20"/>
          <w:szCs w:val="20"/>
        </w:rPr>
        <w:t xml:space="preserve">Paul: Yeah, I remember at the time I’d beat him at the same time to try and get him off, because he was punching me like mad, he was ripping me apart trying to punch me and it lasted for a couple of moments. [..]. I remember being, going to a meeting about it, because they’d have obviously seen it, teachers had. I remember we both got the blame for that, because I obviously hit back at the same time. [..]Yeah. I don’t know, it is a hard one, because obviously you know, they said that because I fought back, I was as much liable as he was. </w:t>
      </w:r>
    </w:p>
    <w:p w14:paraId="048C33F4" w14:textId="77777777" w:rsidR="00BE2C1D" w:rsidRPr="00BE2C1D" w:rsidRDefault="00BE2C1D" w:rsidP="00BE2C1D">
      <w:pPr>
        <w:spacing w:line="360" w:lineRule="auto"/>
        <w:jc w:val="both"/>
      </w:pPr>
      <w:r w:rsidRPr="00BE2C1D">
        <w:t xml:space="preserve">In both stories, the reactions of Nick and Paul to the bullying they were enduring were enough of a reason for their teachers to punish them rather than taking into consideration what triggered such reactions in the first place. </w:t>
      </w:r>
      <w:r w:rsidRPr="00BE2C1D">
        <w:rPr>
          <w:rFonts w:cstheme="minorHAnsi"/>
        </w:rPr>
        <w:t>Walton (2005a: 108) claims that ‘</w:t>
      </w:r>
      <w:r w:rsidRPr="00BE2C1D">
        <w:rPr>
          <w:rFonts w:ascii="Calibri" w:hAnsi="Calibri" w:cs="Calibri"/>
        </w:rPr>
        <w:t xml:space="preserve">zero tolerance policies applied to bullying situations often punish the child who is forced to act in self-defence against bullies, especially in the absence of intervention from adults.’ This seemed to be the case with Paul, who attempted to defend himself from getting more hurt. However, as explained earlier, since ‘disclosing’ an incident did not </w:t>
      </w:r>
      <w:r w:rsidRPr="00BE2C1D">
        <w:rPr>
          <w:rFonts w:ascii="Calibri" w:hAnsi="Calibri" w:cs="Calibri"/>
        </w:rPr>
        <w:lastRenderedPageBreak/>
        <w:t xml:space="preserve">result in the elimination of bullying, participants opted for other strategies to protect themselves from it (Black et al. 2010). </w:t>
      </w:r>
      <w:r w:rsidRPr="00BE2C1D">
        <w:t xml:space="preserve">However, I agree with Walton (2005b: 69) when he argues that ‘if my intent here were merely to criticize individual educators, I too would be guilty of diminishing the significance of power and privilege and repeating the humanist myth of individualism.’  What I am mostly concerned about here is the responsibilisation and institutionalisation of the individuals - bullied students, teachers, TAs, who were encouraged to use an ‘apparatus’ - disclosure, intervention, elimination - which concealed the structural causes of bullying. Moreover, while this apparatus was represented as neutral, its tools were mediated by various factors, including different understandings of bullying, the effectiveness of disclosure and the relationship encouraging/discouraging disclosure. In the next subsection, I carry on looking into systemic violence, but this time through the stories of a specific participant, Christine.    </w:t>
      </w:r>
    </w:p>
    <w:p w14:paraId="11B1CBB8" w14:textId="77777777" w:rsidR="00BE2C1D" w:rsidRPr="00BE2C1D" w:rsidRDefault="00BE2C1D" w:rsidP="00BE2C1D">
      <w:pPr>
        <w:keepNext/>
        <w:keepLines/>
        <w:spacing w:before="40" w:after="0" w:line="360" w:lineRule="auto"/>
        <w:outlineLvl w:val="2"/>
        <w:rPr>
          <w:rFonts w:asciiTheme="majorHAnsi" w:eastAsiaTheme="majorEastAsia" w:hAnsiTheme="majorHAnsi" w:cstheme="majorBidi"/>
          <w:color w:val="1F3763" w:themeColor="accent1" w:themeShade="7F"/>
          <w:sz w:val="24"/>
          <w:szCs w:val="24"/>
        </w:rPr>
      </w:pPr>
      <w:bookmarkStart w:id="160" w:name="_Toc39585280"/>
      <w:r w:rsidRPr="00BE2C1D">
        <w:rPr>
          <w:rFonts w:asciiTheme="majorHAnsi" w:eastAsiaTheme="majorEastAsia" w:hAnsiTheme="majorHAnsi" w:cstheme="majorBidi"/>
          <w:color w:val="1F3763" w:themeColor="accent1" w:themeShade="7F"/>
          <w:sz w:val="24"/>
          <w:szCs w:val="24"/>
        </w:rPr>
        <w:t>The Administrative Response to Bullying</w:t>
      </w:r>
      <w:bookmarkEnd w:id="160"/>
      <w:r w:rsidRPr="00BE2C1D">
        <w:rPr>
          <w:rFonts w:asciiTheme="majorHAnsi" w:eastAsiaTheme="majorEastAsia" w:hAnsiTheme="majorHAnsi" w:cstheme="majorBidi"/>
          <w:color w:val="1F3763" w:themeColor="accent1" w:themeShade="7F"/>
          <w:sz w:val="24"/>
          <w:szCs w:val="24"/>
        </w:rPr>
        <w:t xml:space="preserve"> </w:t>
      </w:r>
    </w:p>
    <w:p w14:paraId="6CE10E89" w14:textId="77777777" w:rsidR="00BE2C1D" w:rsidRPr="00BE2C1D" w:rsidRDefault="00BE2C1D" w:rsidP="00BE2C1D">
      <w:pPr>
        <w:spacing w:line="360" w:lineRule="auto"/>
        <w:jc w:val="both"/>
      </w:pPr>
      <w:r w:rsidRPr="00BE2C1D">
        <w:rPr>
          <w:rFonts w:cstheme="minorHAnsi"/>
        </w:rPr>
        <w:t xml:space="preserve">This section extends the discussion on systemic violence by looking into its workings through Christine’s stories, a teenager who had been exposed to bullying for many years. Christine’s stories function as a point of departure to discuss </w:t>
      </w:r>
      <w:r w:rsidRPr="00BE2C1D">
        <w:t xml:space="preserve">‘what amounts to administrative disregard in the guise of concern and promise of remediation that will never take place’ (Walton 2015: 27). </w:t>
      </w:r>
    </w:p>
    <w:p w14:paraId="10F77C8F" w14:textId="77777777" w:rsidR="00BE2C1D" w:rsidRPr="00BE2C1D" w:rsidRDefault="00BE2C1D" w:rsidP="00BE2C1D">
      <w:pPr>
        <w:spacing w:line="360" w:lineRule="auto"/>
        <w:jc w:val="both"/>
        <w:rPr>
          <w:rFonts w:cstheme="minorHAnsi"/>
        </w:rPr>
      </w:pPr>
      <w:r w:rsidRPr="00BE2C1D">
        <w:rPr>
          <w:rFonts w:cstheme="minorHAnsi"/>
        </w:rPr>
        <w:t>The most recent policy document regarding how bullying should be dealt with in schools was published by the Department of Education in 2017 with the title ‘</w:t>
      </w:r>
      <w:r w:rsidRPr="00BE2C1D">
        <w:rPr>
          <w:rFonts w:cstheme="minorHAnsi"/>
          <w:i/>
        </w:rPr>
        <w:t>Preventing and tackling bullying: Advice for headteachers, staff and governing bodies</w:t>
      </w:r>
      <w:r w:rsidRPr="00BE2C1D">
        <w:rPr>
          <w:rFonts w:cstheme="minorHAnsi"/>
        </w:rPr>
        <w:t>’. In regard to how schools should record incidents of bullying, the policy mentions that it is on the schools’ judgement whether they choose to keep written records or not (DoE 2017). Smith et al. (2008) also noted that some schools had a separate anti-bullying policy and others incorporated the measures taken to tackle bullying in their overall school behaviour policy. However, they argue that there has been an increase in the number of schools having an anti-bullying policy over the last 12 years</w:t>
      </w:r>
      <w:r w:rsidRPr="00BE2C1D">
        <w:rPr>
          <w:rFonts w:cstheme="minorHAnsi"/>
          <w:vertAlign w:val="superscript"/>
        </w:rPr>
        <w:footnoteReference w:id="140"/>
      </w:r>
      <w:r w:rsidRPr="00BE2C1D">
        <w:rPr>
          <w:rFonts w:cstheme="minorHAnsi"/>
        </w:rPr>
        <w:t xml:space="preserve">. </w:t>
      </w:r>
    </w:p>
    <w:p w14:paraId="017224E3" w14:textId="77777777" w:rsidR="00BE2C1D" w:rsidRPr="00BE2C1D" w:rsidRDefault="00BE2C1D" w:rsidP="00BE2C1D">
      <w:pPr>
        <w:spacing w:line="360" w:lineRule="auto"/>
        <w:jc w:val="both"/>
        <w:rPr>
          <w:rFonts w:cstheme="minorHAnsi"/>
        </w:rPr>
      </w:pPr>
      <w:r w:rsidRPr="00BE2C1D">
        <w:rPr>
          <w:rFonts w:cstheme="minorHAnsi"/>
        </w:rPr>
        <w:t xml:space="preserve">While I did not ask Christine if there was an anti-bullying policy in her school, I did ask her about what the staff members did when she reported to them that she was being bullied. Her response was the following: </w:t>
      </w:r>
    </w:p>
    <w:p w14:paraId="12FDCF04" w14:textId="77777777" w:rsidR="00BE2C1D" w:rsidRPr="00BE2C1D" w:rsidRDefault="00BE2C1D" w:rsidP="00BE2C1D">
      <w:pPr>
        <w:spacing w:line="360" w:lineRule="auto"/>
        <w:ind w:left="720"/>
        <w:jc w:val="both"/>
        <w:rPr>
          <w:rFonts w:cstheme="minorHAnsi"/>
          <w:sz w:val="20"/>
          <w:szCs w:val="20"/>
        </w:rPr>
      </w:pPr>
      <w:r w:rsidRPr="00BE2C1D">
        <w:rPr>
          <w:rFonts w:cstheme="minorHAnsi"/>
          <w:sz w:val="20"/>
          <w:szCs w:val="20"/>
        </w:rPr>
        <w:t xml:space="preserve">Christine: Cause we have something called ‘The House Office’, where you go, cause we have different houses in the school. You go and like you tell what happened. And then they get you to write down a statement and then, just about what happened. And then they don’t do anything after that. </w:t>
      </w:r>
    </w:p>
    <w:p w14:paraId="25C09B1E" w14:textId="053E0585" w:rsidR="00BE2C1D" w:rsidRPr="00BE2C1D" w:rsidRDefault="00BE2C1D" w:rsidP="00BE2C1D">
      <w:pPr>
        <w:spacing w:line="360" w:lineRule="auto"/>
        <w:jc w:val="both"/>
        <w:rPr>
          <w:rFonts w:cstheme="minorHAnsi"/>
        </w:rPr>
      </w:pPr>
      <w:r w:rsidRPr="00BE2C1D">
        <w:rPr>
          <w:rFonts w:cstheme="minorHAnsi"/>
        </w:rPr>
        <w:lastRenderedPageBreak/>
        <w:t xml:space="preserve">Christine described in a summary the procedure she had to follow to report a bullying incident: go to the designated person, provide them first with an oral narrative followed by a written statement, and then, nothing is done. </w:t>
      </w:r>
      <w:r w:rsidR="006958B5" w:rsidRPr="00AA4109">
        <w:rPr>
          <w:rFonts w:cstheme="minorHAnsi"/>
        </w:rPr>
        <w:t>She added further:</w:t>
      </w:r>
      <w:r w:rsidR="006958B5">
        <w:rPr>
          <w:rFonts w:cstheme="minorHAnsi"/>
        </w:rPr>
        <w:t xml:space="preserve"> </w:t>
      </w:r>
    </w:p>
    <w:p w14:paraId="75878D5E" w14:textId="694620C6" w:rsidR="00BE2C1D" w:rsidRPr="00BE2C1D" w:rsidRDefault="00BE2C1D" w:rsidP="006958B5">
      <w:pPr>
        <w:spacing w:line="360" w:lineRule="auto"/>
        <w:ind w:left="720"/>
        <w:jc w:val="both"/>
        <w:rPr>
          <w:rFonts w:cstheme="minorHAnsi"/>
          <w:sz w:val="20"/>
          <w:szCs w:val="20"/>
        </w:rPr>
      </w:pPr>
      <w:r w:rsidRPr="00BE2C1D">
        <w:rPr>
          <w:rFonts w:cstheme="minorHAnsi"/>
          <w:sz w:val="20"/>
          <w:szCs w:val="20"/>
        </w:rPr>
        <w:t>Christine: And the headteacher didn’t know about anything.</w:t>
      </w:r>
      <w:r w:rsidR="006958B5">
        <w:rPr>
          <w:rFonts w:cstheme="minorHAnsi"/>
          <w:sz w:val="20"/>
          <w:szCs w:val="20"/>
        </w:rPr>
        <w:t xml:space="preserve"> </w:t>
      </w:r>
      <w:r w:rsidRPr="00BE2C1D">
        <w:rPr>
          <w:rFonts w:cstheme="minorHAnsi"/>
          <w:sz w:val="20"/>
          <w:szCs w:val="20"/>
        </w:rPr>
        <w:t>Did he?</w:t>
      </w:r>
    </w:p>
    <w:p w14:paraId="03E7A209" w14:textId="290DC692" w:rsidR="00BE2C1D" w:rsidRPr="00BE2C1D" w:rsidRDefault="00BE2C1D" w:rsidP="00BE2C1D">
      <w:pPr>
        <w:spacing w:line="360" w:lineRule="auto"/>
        <w:jc w:val="both"/>
        <w:rPr>
          <w:rFonts w:cstheme="minorHAnsi"/>
        </w:rPr>
      </w:pPr>
      <w:r w:rsidRPr="00BE2C1D">
        <w:rPr>
          <w:rFonts w:cstheme="minorHAnsi"/>
        </w:rPr>
        <w:t xml:space="preserve">Besides the pile of the written statements of Christine, she </w:t>
      </w:r>
      <w:r w:rsidR="006958B5">
        <w:rPr>
          <w:rFonts w:cstheme="minorHAnsi"/>
        </w:rPr>
        <w:t>(</w:t>
      </w:r>
      <w:r w:rsidRPr="00BE2C1D">
        <w:rPr>
          <w:rFonts w:cstheme="minorHAnsi"/>
        </w:rPr>
        <w:t>and her mother</w:t>
      </w:r>
      <w:r w:rsidR="006958B5">
        <w:rPr>
          <w:rFonts w:cstheme="minorHAnsi"/>
        </w:rPr>
        <w:t>)</w:t>
      </w:r>
      <w:r w:rsidRPr="00BE2C1D">
        <w:rPr>
          <w:rFonts w:cstheme="minorHAnsi"/>
        </w:rPr>
        <w:t xml:space="preserve"> had also complained through other channels about the bullying that was occurring. This was still not enough though to reach the person who was the highest in the authority, indicating what Walton (2015: 27) referred to as the ‘administrative disregard in the guise of concern’. Moreover, when I prompted Christine to elaborate a bit more on what followed the written statement, she shared the following:   </w:t>
      </w:r>
    </w:p>
    <w:p w14:paraId="683FF009" w14:textId="77777777" w:rsidR="00BE2C1D" w:rsidRPr="00BE2C1D" w:rsidRDefault="00BE2C1D" w:rsidP="00BE2C1D">
      <w:pPr>
        <w:spacing w:line="360" w:lineRule="auto"/>
        <w:ind w:left="720"/>
        <w:jc w:val="both"/>
        <w:rPr>
          <w:rFonts w:cstheme="minorHAnsi"/>
          <w:sz w:val="20"/>
          <w:szCs w:val="20"/>
        </w:rPr>
      </w:pPr>
      <w:r w:rsidRPr="00BE2C1D">
        <w:rPr>
          <w:rFonts w:cstheme="minorHAnsi"/>
          <w:sz w:val="20"/>
          <w:szCs w:val="20"/>
        </w:rPr>
        <w:t xml:space="preserve">Christine: They might speak to the girls; they might ask if is this true or something or like give them a detention. They don’t have like a big consequence or anything. </w:t>
      </w:r>
    </w:p>
    <w:p w14:paraId="77E86F05" w14:textId="77777777" w:rsidR="00BE2C1D" w:rsidRPr="00BE2C1D" w:rsidRDefault="00BE2C1D" w:rsidP="00BE2C1D">
      <w:pPr>
        <w:spacing w:line="360" w:lineRule="auto"/>
        <w:jc w:val="both"/>
        <w:rPr>
          <w:rFonts w:cstheme="minorHAnsi"/>
        </w:rPr>
      </w:pPr>
      <w:r w:rsidRPr="00BE2C1D">
        <w:rPr>
          <w:rFonts w:cstheme="minorHAnsi"/>
        </w:rPr>
        <w:t xml:space="preserve">Christine’s testimony in the form of an oral and a written narrative was not sufficient for her to be believed, but the event had to be ‘verified’ through an ‘investigation’ including those who had bullied her. This mistrust towards the bullied individual was another factor that has been reported for why many bullied individuals do not disclose such incidents (Bjereld 2018; Black et al. 2010; DeLara 2008, 2012; Lloyed &amp; Stead 2001; Oliver and Candappa 2007; Smith and Shu 2000). However, as proposed earlier, the purpose here is not to blame individuals, including teachers, but to consider the systemic constraints of the administrative route that everybody had to follow (Walton 2005a).  </w:t>
      </w:r>
    </w:p>
    <w:p w14:paraId="2AF80648" w14:textId="77777777" w:rsidR="00BE2C1D" w:rsidRPr="00BE2C1D" w:rsidRDefault="00BE2C1D" w:rsidP="00BE2C1D">
      <w:pPr>
        <w:spacing w:line="360" w:lineRule="auto"/>
        <w:jc w:val="both"/>
        <w:rPr>
          <w:rFonts w:cstheme="minorHAnsi"/>
        </w:rPr>
      </w:pPr>
      <w:r w:rsidRPr="00BE2C1D">
        <w:rPr>
          <w:rFonts w:cstheme="minorHAnsi"/>
        </w:rPr>
        <w:t>Furthermore, the approach to eliminate bullying was a punitive and pragmatic one (Walton 2011), meaning that those who bullied were bullied through various means, such as a detention. However, the ‘real’ causes of bullying - how power relations in relation to social differences played out - remained unaddressed (Swearer et al. 2010). Referring to a particular incidence, Christine shared:</w:t>
      </w:r>
    </w:p>
    <w:p w14:paraId="0815CE8D" w14:textId="77777777" w:rsidR="00BE2C1D" w:rsidRPr="00BE2C1D" w:rsidRDefault="00BE2C1D" w:rsidP="00BE2C1D">
      <w:pPr>
        <w:spacing w:line="360" w:lineRule="auto"/>
        <w:ind w:left="720"/>
        <w:jc w:val="both"/>
        <w:rPr>
          <w:rFonts w:cstheme="minorHAnsi"/>
          <w:color w:val="FF0000"/>
          <w:sz w:val="20"/>
          <w:szCs w:val="20"/>
        </w:rPr>
      </w:pPr>
      <w:r w:rsidRPr="00BE2C1D">
        <w:rPr>
          <w:rFonts w:cstheme="minorHAnsi"/>
          <w:sz w:val="20"/>
          <w:szCs w:val="20"/>
        </w:rPr>
        <w:t xml:space="preserve">Christine: But there was this incident where we were in the lift and then they came up to us and they cornered us up in the lift with us, going up and down. Cause they were shouting at us and we were shouting back at them, saying to just leave us alone. Em, it was really loud and it was next to the offices. So teachers came out, cause they heard the noise and they tried to remove the girls and the girls were swearing at the teachers and everything. </w:t>
      </w:r>
    </w:p>
    <w:p w14:paraId="47A1BB42" w14:textId="77777777" w:rsidR="00BE2C1D" w:rsidRPr="00BE2C1D" w:rsidRDefault="00BE2C1D" w:rsidP="00BE2C1D">
      <w:pPr>
        <w:spacing w:line="360" w:lineRule="auto"/>
        <w:jc w:val="both"/>
        <w:rPr>
          <w:rFonts w:cstheme="minorHAnsi"/>
        </w:rPr>
      </w:pPr>
      <w:r w:rsidRPr="00BE2C1D">
        <w:rPr>
          <w:rFonts w:cstheme="minorHAnsi"/>
        </w:rPr>
        <w:t xml:space="preserve">Similar to the stories from Nick and Rania, Christine mentioned that her teachers witnessed the bullying she and her friend were dealing with, but their intervention was limited to stop it temporarily rather than permanently. </w:t>
      </w:r>
    </w:p>
    <w:p w14:paraId="2299AA1F" w14:textId="77777777" w:rsidR="00BE2C1D" w:rsidRPr="00BE2C1D" w:rsidRDefault="00BE2C1D" w:rsidP="00BE2C1D">
      <w:pPr>
        <w:spacing w:line="360" w:lineRule="auto"/>
        <w:jc w:val="both"/>
        <w:rPr>
          <w:rFonts w:cstheme="minorHAnsi"/>
        </w:rPr>
      </w:pPr>
      <w:r w:rsidRPr="00BE2C1D">
        <w:rPr>
          <w:rFonts w:cstheme="minorHAnsi"/>
        </w:rPr>
        <w:t xml:space="preserve">This subsection intended to illuminate through Christine’s stories how systemic violence functioned as a vicious circle, meaning that that the very means put forward to eliminate bullying were also part </w:t>
      </w:r>
      <w:r w:rsidRPr="00BE2C1D">
        <w:rPr>
          <w:rFonts w:cstheme="minorHAnsi"/>
        </w:rPr>
        <w:lastRenderedPageBreak/>
        <w:t xml:space="preserve">of the problem of bullying. Returning to Christine’s performance of acting in an unruly manner (see p. 189), where she was told off by her TA for not adhering to the institutional norm of reporting an incidence, one can see why this strategy of disclosing was not adopted by her (and other young people), as it made no difference (Bjereld 2019; DeLara 2012). Despite the pile of evidence that called for action, the authorities intervened only when they witnessed such incidents and their intervention was a disciplinary one, without resolving the real problem. Since the strategies for the elimination of bullying that schools put forward did not work for the participants, they opted for other strategies to deal with bullying. This is the topic of discussion of the next section. </w:t>
      </w:r>
    </w:p>
    <w:p w14:paraId="7C202440" w14:textId="77777777" w:rsidR="00BE2C1D" w:rsidRPr="00BE2C1D" w:rsidRDefault="00BE2C1D" w:rsidP="00BE2C1D">
      <w:pPr>
        <w:keepNext/>
        <w:keepLines/>
        <w:spacing w:before="40" w:after="0" w:line="360" w:lineRule="auto"/>
        <w:outlineLvl w:val="1"/>
        <w:rPr>
          <w:rFonts w:asciiTheme="majorHAnsi" w:eastAsiaTheme="majorEastAsia" w:hAnsiTheme="majorHAnsi" w:cstheme="majorBidi"/>
          <w:color w:val="2F5496" w:themeColor="accent1" w:themeShade="BF"/>
          <w:sz w:val="26"/>
          <w:szCs w:val="26"/>
        </w:rPr>
      </w:pPr>
      <w:bookmarkStart w:id="161" w:name="_Toc39585281"/>
      <w:r w:rsidRPr="00BE2C1D">
        <w:rPr>
          <w:rFonts w:asciiTheme="majorHAnsi" w:eastAsiaTheme="majorEastAsia" w:hAnsiTheme="majorHAnsi" w:cstheme="majorBidi"/>
          <w:color w:val="2F5496" w:themeColor="accent1" w:themeShade="BF"/>
          <w:sz w:val="26"/>
          <w:szCs w:val="26"/>
        </w:rPr>
        <w:t>Stories of Resistance to Violence</w:t>
      </w:r>
      <w:bookmarkEnd w:id="161"/>
    </w:p>
    <w:p w14:paraId="781BA5E8" w14:textId="77777777" w:rsidR="00BE2C1D" w:rsidRPr="00BE2C1D" w:rsidRDefault="00BE2C1D" w:rsidP="00BE2C1D">
      <w:pPr>
        <w:spacing w:after="0" w:line="360" w:lineRule="auto"/>
        <w:jc w:val="both"/>
        <w:rPr>
          <w:rFonts w:ascii="Calibri" w:eastAsia="Times New Roman" w:hAnsi="Calibri" w:cs="Calibri"/>
          <w:bCs/>
          <w:lang w:eastAsia="en-GB"/>
        </w:rPr>
      </w:pPr>
      <w:r w:rsidRPr="00BE2C1D">
        <w:rPr>
          <w:rFonts w:ascii="Calibri" w:eastAsia="Times New Roman" w:hAnsi="Calibri" w:cs="Calibri"/>
          <w:bCs/>
          <w:lang w:eastAsia="en-GB"/>
        </w:rPr>
        <w:t>In this section, I look into participants’</w:t>
      </w:r>
      <w:r w:rsidRPr="00BE2C1D">
        <w:rPr>
          <w:rFonts w:ascii="Calibri" w:eastAsia="Times New Roman" w:hAnsi="Calibri" w:cs="Calibri"/>
          <w:bCs/>
          <w:color w:val="FF0000"/>
          <w:lang w:eastAsia="en-GB"/>
        </w:rPr>
        <w:t xml:space="preserve"> </w:t>
      </w:r>
      <w:r w:rsidRPr="00BE2C1D">
        <w:rPr>
          <w:rFonts w:ascii="Calibri" w:eastAsia="Times New Roman" w:hAnsi="Calibri" w:cs="Calibri"/>
          <w:bCs/>
          <w:lang w:eastAsia="en-GB"/>
        </w:rPr>
        <w:t xml:space="preserve">resisting strategies to the various forms of school violence they were experiencing. My theorisation of resistance has been elaborated on a previous analysis chapter (Resistance and the Synoptic Class pp. 140-142) and drew on Foucault’s (1981: 95) work, which situated resistance within ‘the strategic field of power relations’ and acknowledged ‘a plurality of resistances’. I proposed that, rather than looking at resistance as the panacea to the ‘problem’ (in this context to the problem of violence), resistance could illuminate the existent power relations and how young people negotiated them. </w:t>
      </w:r>
    </w:p>
    <w:p w14:paraId="57B89C75" w14:textId="77777777" w:rsidR="00BE2C1D" w:rsidRPr="00BE2C1D" w:rsidRDefault="00BE2C1D" w:rsidP="00BE2C1D">
      <w:pPr>
        <w:spacing w:after="0" w:line="360" w:lineRule="auto"/>
        <w:jc w:val="both"/>
        <w:rPr>
          <w:rFonts w:ascii="Calibri" w:eastAsia="Times New Roman" w:hAnsi="Calibri" w:cs="Calibri"/>
          <w:bCs/>
          <w:lang w:eastAsia="en-GB"/>
        </w:rPr>
      </w:pPr>
    </w:p>
    <w:p w14:paraId="605712FD" w14:textId="77777777" w:rsidR="00BE2C1D" w:rsidRPr="00BE2C1D" w:rsidRDefault="00BE2C1D" w:rsidP="00BE2C1D">
      <w:pPr>
        <w:spacing w:after="0" w:line="360" w:lineRule="auto"/>
        <w:jc w:val="both"/>
        <w:rPr>
          <w:rFonts w:ascii="Calibri" w:eastAsia="Times New Roman" w:hAnsi="Calibri" w:cs="Calibri"/>
          <w:bCs/>
          <w:lang w:eastAsia="en-GB"/>
        </w:rPr>
      </w:pPr>
      <w:r w:rsidRPr="00BE2C1D">
        <w:rPr>
          <w:rFonts w:ascii="Calibri" w:eastAsia="Times New Roman" w:hAnsi="Calibri" w:cs="Calibri"/>
          <w:bCs/>
          <w:lang w:eastAsia="en-GB"/>
        </w:rPr>
        <w:t xml:space="preserve">In that chapter, I also expressed my concern about researchers’ inclination to identify and romanticise resistance as a mean to retrieve the (lost) agency of individuals, especially in research with marginalised, oppressed groups or individuals (Armstrong and Murphy 2012). However, when it comes to the issue of violence, I agree with Horton (2011: 271), who maintained that  </w:t>
      </w:r>
    </w:p>
    <w:p w14:paraId="07804FA0" w14:textId="77777777" w:rsidR="00BE2C1D" w:rsidRPr="00BE2C1D" w:rsidRDefault="00BE2C1D" w:rsidP="00BE2C1D">
      <w:pPr>
        <w:spacing w:after="0" w:line="360" w:lineRule="auto"/>
        <w:ind w:left="720"/>
        <w:jc w:val="both"/>
        <w:rPr>
          <w:rFonts w:ascii="Calibri" w:eastAsia="Times New Roman" w:hAnsi="Calibri" w:cs="Calibri"/>
          <w:bCs/>
          <w:sz w:val="20"/>
          <w:szCs w:val="20"/>
          <w:lang w:eastAsia="en-GB"/>
        </w:rPr>
      </w:pPr>
      <w:r w:rsidRPr="00BE2C1D">
        <w:rPr>
          <w:rFonts w:ascii="Calibri" w:eastAsia="Times New Roman" w:hAnsi="Calibri" w:cs="Calibri"/>
          <w:bCs/>
          <w:sz w:val="20"/>
          <w:szCs w:val="20"/>
          <w:lang w:eastAsia="en-GB"/>
        </w:rPr>
        <w:t xml:space="preserve">Removing the resistance of the victim from the power dimension of bullying may itself be a violent act, because in concealing the resistance the repetitiveness of the actions that were undertaken in the face of that resistance may also be concealed (Wade, 1997). </w:t>
      </w:r>
    </w:p>
    <w:p w14:paraId="607B6D30" w14:textId="77777777" w:rsidR="00BE2C1D" w:rsidRPr="00BE2C1D" w:rsidRDefault="00BE2C1D" w:rsidP="00BE2C1D">
      <w:pPr>
        <w:spacing w:after="0" w:line="360" w:lineRule="auto"/>
        <w:jc w:val="both"/>
        <w:rPr>
          <w:rFonts w:ascii="Calibri" w:eastAsia="Times New Roman" w:hAnsi="Calibri" w:cs="Calibri"/>
          <w:bCs/>
          <w:lang w:eastAsia="en-GB"/>
        </w:rPr>
      </w:pPr>
      <w:r w:rsidRPr="00BE2C1D">
        <w:rPr>
          <w:rFonts w:ascii="Calibri" w:eastAsia="Times New Roman" w:hAnsi="Calibri" w:cs="Calibri"/>
          <w:bCs/>
          <w:lang w:eastAsia="en-GB"/>
        </w:rPr>
        <w:t>To put it simply, overlooking the participants’ resistance would constitute another form of violence, since it would dismiss their efforts to make it stop. Not only has disabled children’s resistance to violence been discussed less frequently (for exceptions:</w:t>
      </w:r>
      <w:r w:rsidRPr="00BE2C1D">
        <w:t xml:space="preserve"> Bourke and Bergman 2010; Connors and Stalker 2007; Davis and Watson 2002; MacArthur and Gaffney 2001; MacArthur et al. 2007</w:t>
      </w:r>
      <w:r w:rsidRPr="00BE2C1D">
        <w:rPr>
          <w:rFonts w:ascii="Calibri" w:eastAsia="Times New Roman" w:hAnsi="Calibri" w:cs="Calibri"/>
          <w:bCs/>
          <w:lang w:eastAsia="en-GB"/>
        </w:rPr>
        <w:t>), but it has further been pathologized from a psychological perspective (Espelage et al. 2015;</w:t>
      </w:r>
      <w:r w:rsidRPr="00BE2C1D">
        <w:rPr>
          <w:rFonts w:ascii="Calibri" w:hAnsi="Calibri" w:cs="Calibri"/>
        </w:rPr>
        <w:t xml:space="preserve"> Kumpulainen et al. 2001; O’Moore and Hillery 1989; </w:t>
      </w:r>
      <w:r w:rsidRPr="00BE2C1D">
        <w:rPr>
          <w:rFonts w:ascii="Calibri" w:eastAsia="Times New Roman" w:hAnsi="Calibri" w:cs="Calibri"/>
          <w:bCs/>
          <w:lang w:eastAsia="en-GB"/>
        </w:rPr>
        <w:t xml:space="preserve">Rose et al. 2011;  </w:t>
      </w:r>
      <w:r w:rsidRPr="00BE2C1D">
        <w:rPr>
          <w:rFonts w:ascii="Calibri" w:hAnsi="Calibri" w:cs="Calibri"/>
        </w:rPr>
        <w:t>Saylor and Leach 2009; Thapa et al. 2013; Van Cleave and Davis 2006</w:t>
      </w:r>
      <w:r w:rsidRPr="00BE2C1D">
        <w:rPr>
          <w:rFonts w:ascii="Calibri" w:eastAsia="Times New Roman" w:hAnsi="Calibri" w:cs="Calibri"/>
          <w:bCs/>
          <w:lang w:eastAsia="en-GB"/>
        </w:rPr>
        <w:t>). In particular, it has been associated with social and cognitive deficits and/or aggressive behaviour of disabled students (</w:t>
      </w:r>
      <w:r w:rsidRPr="00BE2C1D">
        <w:rPr>
          <w:rFonts w:ascii="Calibri" w:hAnsi="Calibri" w:cs="Calibri"/>
        </w:rPr>
        <w:t xml:space="preserve">Kaukiainen et al. 2002; Rose et al. 2011; Rose and Espelage 2012; Rose et al. 2013; Swearer et al. 2012; </w:t>
      </w:r>
      <w:r w:rsidRPr="00BE2C1D">
        <w:rPr>
          <w:rFonts w:cstheme="minorHAnsi"/>
        </w:rPr>
        <w:t>Unnever and Cornell 2003</w:t>
      </w:r>
      <w:r w:rsidRPr="00BE2C1D">
        <w:rPr>
          <w:rFonts w:ascii="Calibri" w:eastAsia="Times New Roman" w:hAnsi="Calibri" w:cs="Calibri"/>
          <w:bCs/>
          <w:lang w:eastAsia="en-GB"/>
        </w:rPr>
        <w:t xml:space="preserve">). Therefore, this section intends </w:t>
      </w:r>
      <w:r w:rsidRPr="00BE2C1D">
        <w:rPr>
          <w:rFonts w:ascii="Calibri" w:eastAsia="Times New Roman" w:hAnsi="Calibri" w:cs="Calibri"/>
          <w:bCs/>
          <w:lang w:eastAsia="en-GB"/>
        </w:rPr>
        <w:lastRenderedPageBreak/>
        <w:t xml:space="preserve">to recognise the resisting strategies of the disabled young people and pay attention to the context within which they took place. </w:t>
      </w:r>
    </w:p>
    <w:p w14:paraId="7A18AFE3" w14:textId="77777777" w:rsidR="00BE2C1D" w:rsidRPr="00BE2C1D" w:rsidRDefault="00BE2C1D" w:rsidP="00BE2C1D">
      <w:pPr>
        <w:spacing w:after="0" w:line="360" w:lineRule="auto"/>
        <w:jc w:val="both"/>
        <w:rPr>
          <w:rFonts w:ascii="Calibri" w:eastAsia="Times New Roman" w:hAnsi="Calibri" w:cs="Calibri"/>
          <w:bCs/>
          <w:lang w:eastAsia="en-GB"/>
        </w:rPr>
      </w:pPr>
    </w:p>
    <w:p w14:paraId="2020956C" w14:textId="77777777" w:rsidR="00BE2C1D" w:rsidRPr="00BE2C1D" w:rsidRDefault="00BE2C1D" w:rsidP="00BE2C1D">
      <w:pPr>
        <w:keepNext/>
        <w:keepLines/>
        <w:spacing w:before="40" w:after="0" w:line="360" w:lineRule="auto"/>
        <w:outlineLvl w:val="2"/>
        <w:rPr>
          <w:rFonts w:asciiTheme="majorHAnsi" w:eastAsiaTheme="majorEastAsia" w:hAnsiTheme="majorHAnsi" w:cstheme="majorBidi"/>
          <w:color w:val="1F3763" w:themeColor="accent1" w:themeShade="7F"/>
          <w:sz w:val="24"/>
          <w:szCs w:val="24"/>
          <w:lang w:eastAsia="en-GB"/>
        </w:rPr>
      </w:pPr>
      <w:bookmarkStart w:id="162" w:name="_Toc39585282"/>
      <w:r w:rsidRPr="00BE2C1D">
        <w:rPr>
          <w:rFonts w:asciiTheme="majorHAnsi" w:eastAsiaTheme="majorEastAsia" w:hAnsiTheme="majorHAnsi" w:cstheme="majorBidi"/>
          <w:color w:val="1F3763" w:themeColor="accent1" w:themeShade="7F"/>
          <w:sz w:val="24"/>
          <w:szCs w:val="24"/>
          <w:lang w:eastAsia="en-GB"/>
        </w:rPr>
        <w:t>Resisting Strategies</w:t>
      </w:r>
      <w:bookmarkEnd w:id="162"/>
      <w:r w:rsidRPr="00BE2C1D">
        <w:rPr>
          <w:rFonts w:asciiTheme="majorHAnsi" w:eastAsiaTheme="majorEastAsia" w:hAnsiTheme="majorHAnsi" w:cstheme="majorBidi"/>
          <w:color w:val="1F3763" w:themeColor="accent1" w:themeShade="7F"/>
          <w:sz w:val="24"/>
          <w:szCs w:val="24"/>
          <w:lang w:eastAsia="en-GB"/>
        </w:rPr>
        <w:t xml:space="preserve">       </w:t>
      </w:r>
    </w:p>
    <w:p w14:paraId="1D1110C0" w14:textId="77777777" w:rsidR="00BE2C1D" w:rsidRPr="00BE2C1D" w:rsidRDefault="00BE2C1D" w:rsidP="00BE2C1D">
      <w:pPr>
        <w:spacing w:line="360" w:lineRule="auto"/>
        <w:jc w:val="both"/>
        <w:rPr>
          <w:lang w:eastAsia="en-GB"/>
        </w:rPr>
      </w:pPr>
      <w:r w:rsidRPr="00BE2C1D">
        <w:rPr>
          <w:lang w:eastAsia="en-GB"/>
        </w:rPr>
        <w:t xml:space="preserve">In this section, I discuss the resisting strategies the participants utilised against the multiple forms of violence they dealt with. These stories demonstrate the range of strategies as well as the context within which they occurred. </w:t>
      </w:r>
      <w:r w:rsidRPr="00BE2C1D">
        <w:rPr>
          <w:rFonts w:ascii="Calibri" w:eastAsia="Times New Roman" w:hAnsi="Calibri" w:cs="Calibri"/>
          <w:bCs/>
          <w:lang w:eastAsia="en-GB"/>
        </w:rPr>
        <w:t xml:space="preserve">For instance, Lynn shared the following story: </w:t>
      </w:r>
    </w:p>
    <w:p w14:paraId="32BC584A" w14:textId="77777777" w:rsidR="00BE2C1D" w:rsidRPr="00BE2C1D" w:rsidRDefault="00BE2C1D" w:rsidP="00BE2C1D">
      <w:pPr>
        <w:spacing w:after="0" w:line="360" w:lineRule="auto"/>
        <w:ind w:left="720"/>
        <w:jc w:val="both"/>
        <w:rPr>
          <w:rFonts w:ascii="Calibri" w:eastAsia="Times New Roman" w:hAnsi="Calibri" w:cs="Calibri"/>
          <w:bCs/>
          <w:sz w:val="20"/>
          <w:szCs w:val="20"/>
          <w:lang w:eastAsia="en-GB"/>
        </w:rPr>
      </w:pPr>
      <w:r w:rsidRPr="00BE2C1D">
        <w:rPr>
          <w:rFonts w:ascii="Calibri" w:eastAsia="Times New Roman" w:hAnsi="Calibri" w:cs="Calibri"/>
          <w:bCs/>
          <w:sz w:val="20"/>
          <w:szCs w:val="20"/>
          <w:lang w:eastAsia="en-GB"/>
        </w:rPr>
        <w:t xml:space="preserve">Lynn: And she said: ‘She is a midget’. I was like, yeah, ‘No, no, I am not. I am person. I may be small, but I am person. You are a person. We are all person. We are all people in the world. I am not a midget. My name is Lynn. I have a name and I have something. It doesn’t matter. You can’t call me that name. And when she called me again, I lost it. I pushed her. I pushed her really far (giggles from Rania) and she didn’t realize. She was talking to someone when I pushed her. I had to. And, I don’t know, she put a leg or something. I hope, I hope she did. I wouldn’t say that, but I hope she did (giggles from Rania). She can’t do that, especially her. I am sorry. Yeah. Shortie and midget.  </w:t>
      </w:r>
    </w:p>
    <w:p w14:paraId="7E93CDBF" w14:textId="77777777" w:rsidR="00BE2C1D" w:rsidRPr="00BE2C1D" w:rsidRDefault="00BE2C1D" w:rsidP="00BE2C1D">
      <w:pPr>
        <w:spacing w:after="0" w:line="360" w:lineRule="auto"/>
        <w:jc w:val="both"/>
        <w:rPr>
          <w:rFonts w:ascii="Calibri" w:eastAsia="Times New Roman" w:hAnsi="Calibri" w:cs="Calibri"/>
          <w:bCs/>
          <w:lang w:eastAsia="en-GB"/>
        </w:rPr>
      </w:pPr>
      <w:r w:rsidRPr="00BE2C1D">
        <w:rPr>
          <w:rFonts w:ascii="Calibri" w:eastAsia="Times New Roman" w:hAnsi="Calibri" w:cs="Calibri"/>
          <w:bCs/>
          <w:lang w:eastAsia="en-GB"/>
        </w:rPr>
        <w:t>Lynn’s initial response to the derogative term used to describe her was the reclamation of hers and her peer’s humanity, who also happened to be disabled (‘I am person. You are a person’). This act indicated her knowledge of how the term ‘midget’ was used to dehumanize people with RG and defended herself against such dehumanization. Nevertheless, when her peer repeated the same term, Lynn felt overwhelmed (‘I lost it’) and proceeded in a physical act (‘I pushed her’). What was of particular interest is how Lynn did not consider acceptable that this sort of language was appropriated by her disabled peer, who should know better (‘She can’t do that, especially her. I am sorry’). Lynn expected that her disabled peer would be more sensitive to the use of disablist language.</w:t>
      </w:r>
    </w:p>
    <w:p w14:paraId="07490171" w14:textId="77777777" w:rsidR="00BE2C1D" w:rsidRPr="00BE2C1D" w:rsidRDefault="00BE2C1D" w:rsidP="00BE2C1D">
      <w:pPr>
        <w:spacing w:after="0" w:line="360" w:lineRule="auto"/>
        <w:jc w:val="both"/>
        <w:rPr>
          <w:rFonts w:ascii="Calibri" w:eastAsia="Times New Roman" w:hAnsi="Calibri" w:cs="Calibri"/>
          <w:bCs/>
          <w:lang w:eastAsia="en-GB"/>
        </w:rPr>
      </w:pPr>
    </w:p>
    <w:p w14:paraId="16C8F2A4" w14:textId="77777777" w:rsidR="00BE2C1D" w:rsidRPr="00BE2C1D" w:rsidRDefault="00BE2C1D" w:rsidP="00BE2C1D">
      <w:pPr>
        <w:spacing w:after="0" w:line="360" w:lineRule="auto"/>
        <w:jc w:val="both"/>
        <w:rPr>
          <w:lang w:eastAsia="en-GB"/>
        </w:rPr>
      </w:pPr>
      <w:r w:rsidRPr="00BE2C1D">
        <w:rPr>
          <w:lang w:eastAsia="en-GB"/>
        </w:rPr>
        <w:t>Previous research on the strategies children and young people</w:t>
      </w:r>
      <w:r w:rsidRPr="00BE2C1D">
        <w:rPr>
          <w:vertAlign w:val="superscript"/>
          <w:lang w:eastAsia="en-GB"/>
        </w:rPr>
        <w:footnoteReference w:id="141"/>
      </w:r>
      <w:r w:rsidRPr="00BE2C1D">
        <w:rPr>
          <w:lang w:eastAsia="en-GB"/>
        </w:rPr>
        <w:t xml:space="preserve"> adopted to counteract bullying (Black et al. 2010; Camodeca and Goosens 2005; Craig et al. 2007; Tholander et al. 2019) followed the same epistemological paradigm (positivism) with bullying research (Walton 2011), meaning that such research involved the distribution of questionnaires to them with a list of pre-defined strategies from which they had to choose. Such strategies involved, for instance, ‘fighting back’, ‘assertiveness’, nonchalance (ignoring the bullying) and disclosing bullying to an adult or a peer. These studies looked into which strategies were the most ‘popular’ among young people (in terms of being chosen more frequently) and which ones were seen as the most effective (in terms of eliminating bullying). For instance, fighting back was regarded one of the most common and effective strategies used to counteract bullying (Black et al. 2010). On the other hand, disclosing a bullying incident to a peer was </w:t>
      </w:r>
      <w:r w:rsidRPr="00BE2C1D">
        <w:rPr>
          <w:lang w:eastAsia="en-GB"/>
        </w:rPr>
        <w:lastRenderedPageBreak/>
        <w:t xml:space="preserve">a less popular strategy, but it was still seen as a quite effective one. However, these studies also called for attention to the differences in popularity and effectiveness of certain strategies e.g. fighting back between young people and adults, with the latter disapproving of such a resisting strategy. </w:t>
      </w:r>
    </w:p>
    <w:p w14:paraId="361145F6" w14:textId="77777777" w:rsidR="00BE2C1D" w:rsidRPr="00BE2C1D" w:rsidRDefault="00BE2C1D" w:rsidP="00BE2C1D">
      <w:pPr>
        <w:spacing w:after="0" w:line="360" w:lineRule="auto"/>
        <w:jc w:val="both"/>
        <w:rPr>
          <w:lang w:eastAsia="en-GB"/>
        </w:rPr>
      </w:pPr>
    </w:p>
    <w:p w14:paraId="4FB5B3AD" w14:textId="77777777" w:rsidR="00BE2C1D" w:rsidRPr="00BE2C1D" w:rsidRDefault="00BE2C1D" w:rsidP="00BE2C1D">
      <w:pPr>
        <w:spacing w:after="0" w:line="360" w:lineRule="auto"/>
        <w:jc w:val="both"/>
        <w:rPr>
          <w:rFonts w:ascii="Calibri" w:eastAsia="Times New Roman" w:hAnsi="Calibri" w:cs="Calibri"/>
          <w:bCs/>
          <w:lang w:eastAsia="en-GB"/>
        </w:rPr>
      </w:pPr>
      <w:r w:rsidRPr="00BE2C1D">
        <w:rPr>
          <w:rFonts w:eastAsiaTheme="minorEastAsia"/>
          <w:lang w:eastAsia="en-GB"/>
        </w:rPr>
        <w:t xml:space="preserve">Furthermore, differences in the selection of strategies were found based on gender and age (Black et al. 2010; Camodeca and Goosens 2005; Craig et al. 2007). According to these studies, boys engaged in more ‘confrontational’ strategies, such as physical aggression, whereas girls adopted ‘relational’ strategies, such as assertiveness. Moreover, younger children were more likely to use nonchalance compared to older children. </w:t>
      </w:r>
      <w:r w:rsidRPr="00BE2C1D">
        <w:rPr>
          <w:rFonts w:eastAsiaTheme="minorEastAsia"/>
          <w:lang w:eastAsia="zh-CN"/>
        </w:rPr>
        <w:t xml:space="preserve">Nevertheless, such differences should be treated with a dose of scepticism, as they frequently rely on an essentialist perspective of gender and age, without paying attention to how gender and age norms play out in the selection of such strategies. Commenting on the issue of gender, for instance, Canty et al. (2016: 49-50) noted that ‘prevailing assumptions about gender and bullying arises from its constitution in research practices - a direct consequence of the gendered construction underpinning the conventional definition’.  </w:t>
      </w:r>
    </w:p>
    <w:p w14:paraId="08BACE5D" w14:textId="77777777" w:rsidR="00BE2C1D" w:rsidRPr="00BE2C1D" w:rsidRDefault="00BE2C1D" w:rsidP="00BE2C1D">
      <w:pPr>
        <w:spacing w:after="0" w:line="240" w:lineRule="auto"/>
        <w:rPr>
          <w:rFonts w:eastAsiaTheme="minorEastAsia"/>
          <w:lang w:eastAsia="zh-CN"/>
        </w:rPr>
      </w:pPr>
    </w:p>
    <w:p w14:paraId="018B8973" w14:textId="77777777" w:rsidR="00BE2C1D" w:rsidRPr="00BE2C1D" w:rsidRDefault="00BE2C1D" w:rsidP="00BE2C1D">
      <w:pPr>
        <w:spacing w:line="360" w:lineRule="auto"/>
        <w:jc w:val="both"/>
        <w:rPr>
          <w:lang w:eastAsia="en-GB"/>
        </w:rPr>
      </w:pPr>
      <w:r w:rsidRPr="00BE2C1D">
        <w:rPr>
          <w:lang w:eastAsia="en-GB"/>
        </w:rPr>
        <w:t xml:space="preserve">Unlike the above studies, which were based on a pre-defined list of strategies following a positivist paradigm, I did not provide the participants of my research with any lists. Instead, I asked them what they did (if anything) about the violence they were experiencing. The aim of this question was not to define the most popular or the most effective resisting strategy, but to explore what strategy the participants chose and the reasons behind such choices. </w:t>
      </w:r>
    </w:p>
    <w:p w14:paraId="6124B513" w14:textId="77777777" w:rsidR="00BE2C1D" w:rsidRPr="00BE2C1D" w:rsidRDefault="00BE2C1D" w:rsidP="00BE2C1D">
      <w:pPr>
        <w:spacing w:line="360" w:lineRule="auto"/>
        <w:jc w:val="both"/>
        <w:rPr>
          <w:lang w:eastAsia="en-GB"/>
        </w:rPr>
      </w:pPr>
      <w:r w:rsidRPr="00BE2C1D">
        <w:rPr>
          <w:lang w:eastAsia="en-GB"/>
        </w:rPr>
        <w:t xml:space="preserve">Paul was one participant who adopted a highly ‘debatable’ resisting strategy, fighting back: </w:t>
      </w:r>
    </w:p>
    <w:p w14:paraId="584391DD" w14:textId="77777777" w:rsidR="00BE2C1D" w:rsidRPr="00BE2C1D" w:rsidRDefault="00BE2C1D" w:rsidP="00BE2C1D">
      <w:pPr>
        <w:spacing w:line="360" w:lineRule="auto"/>
        <w:ind w:left="720"/>
        <w:jc w:val="both"/>
        <w:rPr>
          <w:rFonts w:cstheme="minorHAnsi"/>
          <w:sz w:val="20"/>
          <w:szCs w:val="20"/>
        </w:rPr>
      </w:pPr>
      <w:r w:rsidRPr="00BE2C1D">
        <w:rPr>
          <w:rFonts w:cstheme="minorHAnsi"/>
          <w:sz w:val="20"/>
          <w:szCs w:val="20"/>
        </w:rPr>
        <w:t xml:space="preserve">Paul: I remember at the time I ‘d beat him at the same time to try and get him off, because he was punching me like mad. […]I remember being, going to a meeting about it, because they’d obviously seen it, teachers had. I remember we both got the blame for that, because I obviously hit back at the same time. But it’s quite a challenge, because I was being picked on all the time because of being disabled. You hardly hide that. It’s a particular hard point. </w:t>
      </w:r>
    </w:p>
    <w:p w14:paraId="333FA92C" w14:textId="77777777" w:rsidR="00BE2C1D" w:rsidRPr="00BE2C1D" w:rsidRDefault="00BE2C1D" w:rsidP="00BE2C1D">
      <w:pPr>
        <w:spacing w:line="360" w:lineRule="auto"/>
        <w:jc w:val="both"/>
        <w:rPr>
          <w:lang w:eastAsia="en-GB"/>
        </w:rPr>
      </w:pPr>
      <w:r w:rsidRPr="00BE2C1D">
        <w:rPr>
          <w:rFonts w:cstheme="minorHAnsi"/>
        </w:rPr>
        <w:t>Paul’s reaction to fight back was his ‘last resort’ (Tholander et al. 2019: 15) through which he could cease the violence he was facing. Moreover, as Sercombe and Donnely (2013: 498) propose, ‘hitting back involves the reassertion of agency, and the reclaiming of a place in the social system, even if still a subordinate place’. By hitting back, Paul reclaimed his agency, even from a subordinate place resulting from his social positioning (Thornberg 2015a). Although we did not discuss with Paul if there was a ‘zero-tolerance’ policy to violence at this school, this frame seemed to have been used for the distribution of justice in that case.</w:t>
      </w:r>
    </w:p>
    <w:p w14:paraId="2C49C751" w14:textId="77777777" w:rsidR="00BE2C1D" w:rsidRPr="00BE2C1D" w:rsidRDefault="00BE2C1D" w:rsidP="00BE2C1D">
      <w:pPr>
        <w:spacing w:line="360" w:lineRule="auto"/>
        <w:jc w:val="both"/>
        <w:rPr>
          <w:lang w:eastAsia="en-GB"/>
        </w:rPr>
      </w:pPr>
      <w:r w:rsidRPr="00BE2C1D">
        <w:rPr>
          <w:lang w:eastAsia="en-GB"/>
        </w:rPr>
        <w:lastRenderedPageBreak/>
        <w:t xml:space="preserve">While fighting back was identified as one of the most common strategies against bullying (Black et al. 2010), especially by male teenagers, it has also been discussed as a form of ‘retaliation’ and ‘aggressive behaviour’ on behalf of the ‘victim’ (Camodeca and Goosens 2005). In the case of disabled students, such a strategy has been further pathologised, when it is suggested, for instance, that </w:t>
      </w:r>
    </w:p>
    <w:p w14:paraId="25702919" w14:textId="77777777" w:rsidR="00BE2C1D" w:rsidRPr="00BE2C1D" w:rsidRDefault="00BE2C1D" w:rsidP="00BE2C1D">
      <w:pPr>
        <w:spacing w:line="360" w:lineRule="auto"/>
        <w:ind w:left="720"/>
        <w:jc w:val="both"/>
        <w:rPr>
          <w:rFonts w:cstheme="minorHAnsi"/>
          <w:sz w:val="20"/>
          <w:szCs w:val="20"/>
        </w:rPr>
      </w:pPr>
      <w:r w:rsidRPr="00BE2C1D">
        <w:rPr>
          <w:rFonts w:cstheme="minorHAnsi"/>
          <w:sz w:val="20"/>
          <w:szCs w:val="20"/>
        </w:rPr>
        <w:t xml:space="preserve">Fighting is typically a reactive behaviour, where individuals may not have the immediate cognitive processing to avoid the immediate reaction without direct instruction (Rose, Espelage, Monda-Amaya, Shogren, &amp; Aragon, 2013). More specifically, the reactive aggression, or fighting, may be a result of social information processing deficits, where students with disabilities may act too aggressively to non-threatening or non-aggressive stimuli (Burks, Laird, &amp; Dodge, 1999; Sabornie, 1994), and may have greater difficulty with intrapersonal factors such as impulsivity, assertion, and self-control (Mayer &amp; Leone, 2007) (Espelage et al., 2015: 308). </w:t>
      </w:r>
    </w:p>
    <w:p w14:paraId="5AE5602C" w14:textId="77777777" w:rsidR="00BE2C1D" w:rsidRPr="00BE2C1D" w:rsidRDefault="00BE2C1D" w:rsidP="00BE2C1D">
      <w:pPr>
        <w:spacing w:line="360" w:lineRule="auto"/>
        <w:jc w:val="both"/>
        <w:rPr>
          <w:rFonts w:cstheme="minorHAnsi"/>
        </w:rPr>
      </w:pPr>
      <w:r w:rsidRPr="00BE2C1D">
        <w:rPr>
          <w:rFonts w:cstheme="minorHAnsi"/>
        </w:rPr>
        <w:t xml:space="preserve">I would further argue that in the case of male students with RG ‘fighting back’ could be interpreted as a manifestation of the ‘little man’s (or Napoleon’s) syndrome’, meaning that such aggression was used to compensate for their lack of height. However, such interpretations of such a strategy tend to instil the blame on the disabled individual and their ‘deficits’ (Watt and Erevelles 2004) and pay no attention to the context within such a reaction occurs. </w:t>
      </w:r>
      <w:r w:rsidRPr="00BE2C1D">
        <w:rPr>
          <w:lang w:eastAsia="en-GB"/>
        </w:rPr>
        <w:t xml:space="preserve">Paul was one participant who faced a lot of physical violence during his secondary school years, as described previously. </w:t>
      </w:r>
    </w:p>
    <w:p w14:paraId="2CA76BC0" w14:textId="77777777" w:rsidR="00BE2C1D" w:rsidRPr="00BE2C1D" w:rsidRDefault="00BE2C1D" w:rsidP="00BE2C1D">
      <w:pPr>
        <w:spacing w:line="360" w:lineRule="auto"/>
        <w:jc w:val="both"/>
        <w:rPr>
          <w:rFonts w:cstheme="minorHAnsi"/>
        </w:rPr>
      </w:pPr>
      <w:r w:rsidRPr="00BE2C1D">
        <w:rPr>
          <w:rFonts w:cstheme="minorHAnsi"/>
        </w:rPr>
        <w:t>In hindsight, Paul also expressed his ambivalence on whether this was the right strategy to counteract violence:</w:t>
      </w:r>
    </w:p>
    <w:p w14:paraId="2DDD7094" w14:textId="77777777" w:rsidR="00BE2C1D" w:rsidRPr="00BE2C1D" w:rsidRDefault="00BE2C1D" w:rsidP="00BE2C1D">
      <w:pPr>
        <w:spacing w:line="360" w:lineRule="auto"/>
        <w:ind w:left="720"/>
        <w:jc w:val="both"/>
        <w:rPr>
          <w:rFonts w:cstheme="minorHAnsi"/>
          <w:sz w:val="20"/>
          <w:szCs w:val="20"/>
        </w:rPr>
      </w:pPr>
      <w:r w:rsidRPr="00BE2C1D">
        <w:rPr>
          <w:rFonts w:cstheme="minorHAnsi"/>
          <w:sz w:val="20"/>
          <w:szCs w:val="20"/>
        </w:rPr>
        <w:t>Paul: I understand that’s probably wrong to fight back, but you know, it was hard at the time, you know, as a kid. [..]It’s a hard one, because, obviously, you know, they said that because I fought back, I was equally liable as he was. At that particular point, as a kid, you don’t know what else to do.</w:t>
      </w:r>
    </w:p>
    <w:p w14:paraId="2334B0B7" w14:textId="77777777" w:rsidR="00BE2C1D" w:rsidRPr="00BE2C1D" w:rsidRDefault="00BE2C1D" w:rsidP="00BE2C1D">
      <w:pPr>
        <w:spacing w:line="360" w:lineRule="auto"/>
        <w:jc w:val="both"/>
        <w:rPr>
          <w:rFonts w:cstheme="minorHAnsi"/>
          <w:sz w:val="20"/>
          <w:szCs w:val="20"/>
        </w:rPr>
      </w:pPr>
      <w:r w:rsidRPr="00BE2C1D">
        <w:rPr>
          <w:rFonts w:cstheme="minorHAnsi"/>
        </w:rPr>
        <w:t xml:space="preserve">Paul attributed his ‘reaction’ to his age (‘as a kid’), since, from an adult perspective now, he could see that this might have been a wrong choice. This was also in line with findings showing the differences between the preferred responses between children and adults (Black et al. 2010). However, Paul’s last sentence also indicated how fighting back was the only solution, as other strategies (e.g. disclosing to an adult) had not worked before. </w:t>
      </w:r>
    </w:p>
    <w:p w14:paraId="376C12E1" w14:textId="77777777" w:rsidR="00BE2C1D" w:rsidRPr="00BE2C1D" w:rsidRDefault="00BE2C1D" w:rsidP="00BE2C1D">
      <w:pPr>
        <w:spacing w:line="360" w:lineRule="auto"/>
        <w:jc w:val="both"/>
        <w:rPr>
          <w:rFonts w:cstheme="minorHAnsi"/>
        </w:rPr>
      </w:pPr>
      <w:r w:rsidRPr="00BE2C1D">
        <w:rPr>
          <w:rFonts w:cstheme="minorHAnsi"/>
        </w:rPr>
        <w:t xml:space="preserve">While Paul fought back, Christine referred to how she used assertiveness (Camodeca and Goosens 2005) as a way to counteract the verbal violence she dealt with: </w:t>
      </w:r>
    </w:p>
    <w:p w14:paraId="481D16A2" w14:textId="669ACEFD" w:rsidR="00BE2C1D" w:rsidRPr="00BE2C1D" w:rsidRDefault="00BE2C1D" w:rsidP="00BE2C1D">
      <w:pPr>
        <w:spacing w:line="360" w:lineRule="auto"/>
        <w:ind w:left="720"/>
        <w:jc w:val="both"/>
        <w:rPr>
          <w:rFonts w:cstheme="minorHAnsi"/>
          <w:sz w:val="20"/>
          <w:szCs w:val="20"/>
        </w:rPr>
      </w:pPr>
      <w:r w:rsidRPr="00BE2C1D">
        <w:rPr>
          <w:rFonts w:cstheme="minorHAnsi"/>
          <w:sz w:val="20"/>
          <w:szCs w:val="20"/>
        </w:rPr>
        <w:t>Christine. I’ve got used to having arguments with girls like that, I just, I have really good come backs</w:t>
      </w:r>
      <w:r w:rsidR="003002EE">
        <w:rPr>
          <w:rFonts w:cstheme="minorHAnsi"/>
          <w:sz w:val="20"/>
          <w:szCs w:val="20"/>
        </w:rPr>
        <w:t>.</w:t>
      </w:r>
      <w:r w:rsidRPr="00BE2C1D">
        <w:rPr>
          <w:rFonts w:cstheme="minorHAnsi"/>
          <w:sz w:val="20"/>
          <w:szCs w:val="20"/>
        </w:rPr>
        <w:t xml:space="preserve"> So that’s like I defend myself a lot. I am not just gonna sit there and just let them talk about me or anything. I am gonna say stuff back. </w:t>
      </w:r>
    </w:p>
    <w:p w14:paraId="1EFA16FA" w14:textId="77777777" w:rsidR="00BE2C1D" w:rsidRPr="00BE2C1D" w:rsidRDefault="00BE2C1D" w:rsidP="00BE2C1D">
      <w:pPr>
        <w:spacing w:line="360" w:lineRule="auto"/>
        <w:jc w:val="both"/>
        <w:rPr>
          <w:rFonts w:cstheme="minorHAnsi"/>
        </w:rPr>
      </w:pPr>
      <w:r w:rsidRPr="00BE2C1D">
        <w:rPr>
          <w:rFonts w:cstheme="minorHAnsi"/>
        </w:rPr>
        <w:lastRenderedPageBreak/>
        <w:t xml:space="preserve">Similar to Paul, Christine dealt with violence for many years and her school had proved ineffective to eliminate it. Moreover, Christine chose to start speaking back to the bullies after other strategies, including disclosing and reporting situations to an adult, brought about no change. As pointed out earlier, girls tended to use more ‘relational’ strategies compared to boys (Craig et al. 2007), but this was also dependent on the form of violence they faced too. </w:t>
      </w:r>
    </w:p>
    <w:p w14:paraId="7B502B4A" w14:textId="77777777" w:rsidR="00BE2C1D" w:rsidRPr="00BE2C1D" w:rsidRDefault="00BE2C1D" w:rsidP="00BE2C1D">
      <w:pPr>
        <w:spacing w:line="360" w:lineRule="auto"/>
        <w:jc w:val="both"/>
        <w:rPr>
          <w:rFonts w:cstheme="minorHAnsi"/>
        </w:rPr>
      </w:pPr>
      <w:r w:rsidRPr="00BE2C1D">
        <w:rPr>
          <w:rFonts w:cstheme="minorHAnsi"/>
        </w:rPr>
        <w:t xml:space="preserve">Besides speaking or fighting back, some participants chose the strategy of ‘joking’ (Black et al. 2010; Craig et al. 2007) to cease the violence. Bill and Rachael shared accordingly:    </w:t>
      </w:r>
    </w:p>
    <w:p w14:paraId="4D99B81C" w14:textId="77777777" w:rsidR="00BE2C1D" w:rsidRPr="00BE2C1D" w:rsidRDefault="00BE2C1D" w:rsidP="00BE2C1D">
      <w:pPr>
        <w:spacing w:line="360" w:lineRule="auto"/>
        <w:ind w:left="720"/>
        <w:jc w:val="both"/>
        <w:rPr>
          <w:rFonts w:cstheme="minorHAnsi"/>
          <w:sz w:val="20"/>
          <w:szCs w:val="20"/>
        </w:rPr>
      </w:pPr>
      <w:r w:rsidRPr="00BE2C1D">
        <w:rPr>
          <w:rFonts w:cstheme="minorHAnsi"/>
          <w:sz w:val="20"/>
          <w:szCs w:val="20"/>
        </w:rPr>
        <w:t>Bill: As a teenager in secondary school, from years 8-9, I became a class clown to make people laugh for the approval of extinguishing bullying that I suffered from people in years above.</w:t>
      </w:r>
    </w:p>
    <w:p w14:paraId="1D38D853" w14:textId="77777777" w:rsidR="00BE2C1D" w:rsidRPr="00BE2C1D" w:rsidRDefault="00BE2C1D" w:rsidP="00BE2C1D">
      <w:pPr>
        <w:spacing w:line="360" w:lineRule="auto"/>
        <w:ind w:left="720"/>
        <w:jc w:val="both"/>
        <w:rPr>
          <w:rFonts w:cstheme="minorHAnsi"/>
          <w:sz w:val="20"/>
          <w:szCs w:val="20"/>
        </w:rPr>
      </w:pPr>
      <w:r w:rsidRPr="00BE2C1D">
        <w:rPr>
          <w:sz w:val="20"/>
          <w:szCs w:val="20"/>
          <w:lang w:val="en-US"/>
        </w:rPr>
        <w:t>Rachael: But I think there was probably a time when I was trying to own it and be more sort of, yeah, yeah, whatever, you know, and maybe think about. I think I’d probably say things like ‘midget’ or make jokes about my size to sort of own it and kind of not let other people bother me with it.</w:t>
      </w:r>
    </w:p>
    <w:p w14:paraId="28CFACF0" w14:textId="77777777" w:rsidR="00BE2C1D" w:rsidRPr="00BE2C1D" w:rsidRDefault="00BE2C1D" w:rsidP="00BE2C1D">
      <w:pPr>
        <w:spacing w:line="360" w:lineRule="auto"/>
        <w:jc w:val="both"/>
        <w:rPr>
          <w:rFonts w:cstheme="minorHAnsi"/>
        </w:rPr>
      </w:pPr>
      <w:r w:rsidRPr="00BE2C1D">
        <w:rPr>
          <w:rFonts w:cstheme="minorHAnsi"/>
        </w:rPr>
        <w:t>The above strategies have been reported by young people with RG in previous research and have been described in the literature as ‘coping strategies’ (Rott 2013;</w:t>
      </w:r>
      <w:r w:rsidRPr="00BE2C1D">
        <w:t xml:space="preserve"> </w:t>
      </w:r>
      <w:r w:rsidRPr="00BE2C1D">
        <w:rPr>
          <w:rFonts w:cstheme="minorHAnsi"/>
        </w:rPr>
        <w:t xml:space="preserve">Schanke and Thorsen 2014). Young people with RG joked around their disability as a means to be perceived as ‘acceptant’ of their condition and, hence, unaffected by the derogative comments of others. However, one needs to consider the emotional labour required to perform such resistance, which built on either turning themselves into the object of ridicule (acting as the class clown) or by re-claiming discourses which had been used to dehumanise them in the first place e.g. the use of the term ‘midget’. Emotional labour was also required to counteract the psycho-emotional toll bullying had on participants, as described by Paul and Aphrodite: </w:t>
      </w:r>
    </w:p>
    <w:p w14:paraId="422A4349" w14:textId="77777777" w:rsidR="00BE2C1D" w:rsidRPr="00BE2C1D" w:rsidRDefault="00BE2C1D" w:rsidP="00BE2C1D">
      <w:pPr>
        <w:spacing w:line="360" w:lineRule="auto"/>
        <w:ind w:left="720"/>
        <w:jc w:val="both"/>
        <w:rPr>
          <w:rFonts w:cstheme="minorHAnsi"/>
          <w:sz w:val="20"/>
          <w:szCs w:val="20"/>
        </w:rPr>
      </w:pPr>
      <w:r w:rsidRPr="00BE2C1D">
        <w:rPr>
          <w:rFonts w:cstheme="minorHAnsi"/>
          <w:sz w:val="20"/>
          <w:szCs w:val="20"/>
        </w:rPr>
        <w:t xml:space="preserve">Paul: A lot of it was psychologically mental bullying at the same time as well, trying to get me into a more dark place. I fought back and you know, I think I did well by not letting it, you know, get me later on. [..]I think the personality kind of balanced it off at the same time. Because I was particularly upbeating kind of, I don’t know, they didn’t do very much to me at that particular point. I didn’t feel that bad about it. Yeah, it was a particularly hard point that I think, as I say, because of my personality, I didn’t feel too down about it. </w:t>
      </w:r>
    </w:p>
    <w:p w14:paraId="6A642806" w14:textId="77777777" w:rsidR="00BE2C1D" w:rsidRPr="00BE2C1D" w:rsidRDefault="00BE2C1D" w:rsidP="00BE2C1D">
      <w:pPr>
        <w:spacing w:line="360" w:lineRule="auto"/>
        <w:ind w:left="720"/>
        <w:rPr>
          <w:rFonts w:cstheme="minorHAnsi"/>
          <w:sz w:val="20"/>
          <w:szCs w:val="20"/>
          <w:shd w:val="clear" w:color="auto" w:fill="FFFFFF"/>
        </w:rPr>
      </w:pPr>
      <w:r w:rsidRPr="00BE2C1D">
        <w:rPr>
          <w:rFonts w:cstheme="minorHAnsi"/>
          <w:sz w:val="20"/>
          <w:szCs w:val="20"/>
          <w:shd w:val="clear" w:color="auto" w:fill="FFFFFF"/>
        </w:rPr>
        <w:t>Aphrodite:  But fast forward through three years, I made a decision. A decision that would change my life. A decision that I would change my life! I decided I didn't want to let them win. I decided to talk. They had taken so much, my grades, my attendance, my confidence but they hadn't won, I thought they had, for many years I thought they had.... but there was still fight to be fought. </w:t>
      </w:r>
      <w:r w:rsidRPr="00BE2C1D">
        <w:rPr>
          <w:rFonts w:cstheme="minorHAnsi"/>
          <w:sz w:val="20"/>
          <w:szCs w:val="20"/>
        </w:rPr>
        <w:t>[..]</w:t>
      </w:r>
      <w:r w:rsidRPr="00BE2C1D">
        <w:rPr>
          <w:rFonts w:cstheme="minorHAnsi"/>
          <w:sz w:val="20"/>
          <w:szCs w:val="20"/>
          <w:shd w:val="clear" w:color="auto" w:fill="FFFFFF"/>
        </w:rPr>
        <w:t xml:space="preserve">Some days the smile was a little more fake than others but still I got through... with the right people on my side, my attendance increased, my grades improved. My confidence grew. I spent less time in the small room. </w:t>
      </w:r>
      <w:r w:rsidRPr="00BE2C1D">
        <w:rPr>
          <w:rFonts w:cstheme="minorHAnsi"/>
          <w:sz w:val="20"/>
          <w:szCs w:val="20"/>
          <w:shd w:val="clear" w:color="auto" w:fill="FFFFFF"/>
        </w:rPr>
        <w:lastRenderedPageBreak/>
        <w:t>More time in the corridors.... the corridors that I thought had destroyed me. The corridors that in fact shaped me.</w:t>
      </w:r>
    </w:p>
    <w:p w14:paraId="1F606C96" w14:textId="77777777" w:rsidR="00BE2C1D" w:rsidRPr="00BE2C1D" w:rsidRDefault="00BE2C1D" w:rsidP="00BE2C1D">
      <w:pPr>
        <w:spacing w:line="360" w:lineRule="auto"/>
        <w:rPr>
          <w:rFonts w:cstheme="minorHAnsi"/>
          <w:shd w:val="clear" w:color="auto" w:fill="FFFFFF"/>
        </w:rPr>
      </w:pPr>
      <w:r w:rsidRPr="00BE2C1D">
        <w:rPr>
          <w:rFonts w:cstheme="minorHAnsi"/>
          <w:shd w:val="clear" w:color="auto" w:fill="FFFFFF"/>
        </w:rPr>
        <w:t xml:space="preserve">Paul and Aphrodite used the strategy of ‘social shielding’ (Thornberg et al. 2013: 316), which included trying ‘to appear emotionally unconcerned or unaffected in front of bullies and others in order to hide how hurt, sad or upset they had actually become by the external victimising.’ They put a lot of emotional labour to remain unaffected or to be the least affected by the psycho-emotional toll bullying had (or could have) on them - what Paul referred to as a ‘dark place’ and what Aphrodite discussed as having been taken from her: grades, attendance, confidence. It is worth noting here the use of ‘war metaphors’, - shielding &amp; fighting, capturing the resistance to psycho-emotional violence as a battle, with potential ‘casualties’ (see the section on the psycho-emotional toll) and ‘winners’ (as Paul constructed himself in the above story). Nevertheless, this ‘fight’ was a ‘hidden’ or an ‘invisible’ one, in opposition to (the visibility of) fighting back physically, which participants were punished for.  </w:t>
      </w:r>
    </w:p>
    <w:p w14:paraId="51327A60" w14:textId="77777777" w:rsidR="00BE2C1D" w:rsidRPr="00BE2C1D" w:rsidRDefault="00BE2C1D" w:rsidP="00BE2C1D">
      <w:pPr>
        <w:spacing w:line="360" w:lineRule="auto"/>
        <w:rPr>
          <w:rFonts w:cstheme="minorHAnsi"/>
          <w:shd w:val="clear" w:color="auto" w:fill="FFFFFF"/>
        </w:rPr>
      </w:pPr>
      <w:r w:rsidRPr="00BE2C1D">
        <w:rPr>
          <w:rFonts w:cstheme="minorHAnsi"/>
          <w:shd w:val="clear" w:color="auto" w:fill="FFFFFF"/>
        </w:rPr>
        <w:t xml:space="preserve">In a summary, the above accounts demonstrated the different strategies the participants adopted to counteract the different forms of violence they were dealing with. These strategies varied, from fighting and speaking back to joking and social shielding. Moreover, I paid attention to the context within which such strategies were chosen, as a way of making sense of why these particular strategies were adopted and not others. </w:t>
      </w:r>
      <w:r w:rsidRPr="00BE2C1D">
        <w:rPr>
          <w:rFonts w:cstheme="minorHAnsi"/>
        </w:rPr>
        <w:t xml:space="preserve">In the next part, I look into how friendship was another mean participants utilised to resist to their bullying. </w:t>
      </w:r>
    </w:p>
    <w:p w14:paraId="188DA472" w14:textId="77777777" w:rsidR="00BE2C1D" w:rsidRPr="00BE2C1D" w:rsidRDefault="00BE2C1D" w:rsidP="00BE2C1D">
      <w:pPr>
        <w:keepNext/>
        <w:keepLines/>
        <w:spacing w:before="40" w:after="0" w:line="360" w:lineRule="auto"/>
        <w:outlineLvl w:val="2"/>
        <w:rPr>
          <w:rFonts w:asciiTheme="majorHAnsi" w:eastAsiaTheme="majorEastAsia" w:hAnsiTheme="majorHAnsi" w:cstheme="majorBidi"/>
          <w:color w:val="1F3763" w:themeColor="accent1" w:themeShade="7F"/>
          <w:sz w:val="24"/>
          <w:szCs w:val="24"/>
        </w:rPr>
      </w:pPr>
      <w:bookmarkStart w:id="163" w:name="_Toc39585283"/>
      <w:r w:rsidRPr="00BE2C1D">
        <w:rPr>
          <w:rFonts w:asciiTheme="majorHAnsi" w:eastAsiaTheme="majorEastAsia" w:hAnsiTheme="majorHAnsi" w:cstheme="majorBidi"/>
          <w:color w:val="1F3763" w:themeColor="accent1" w:themeShade="7F"/>
          <w:sz w:val="24"/>
          <w:szCs w:val="24"/>
        </w:rPr>
        <w:t>Friendship as a site of resistance</w:t>
      </w:r>
      <w:bookmarkEnd w:id="163"/>
    </w:p>
    <w:p w14:paraId="0CEA6EA7" w14:textId="77777777" w:rsidR="00BE2C1D" w:rsidRPr="00BE2C1D" w:rsidRDefault="00BE2C1D" w:rsidP="00BE2C1D">
      <w:pPr>
        <w:spacing w:line="360" w:lineRule="auto"/>
        <w:ind w:left="720"/>
        <w:jc w:val="both"/>
        <w:rPr>
          <w:rFonts w:cstheme="minorHAnsi"/>
          <w:sz w:val="20"/>
          <w:szCs w:val="20"/>
        </w:rPr>
      </w:pPr>
      <w:r w:rsidRPr="00BE2C1D">
        <w:rPr>
          <w:rFonts w:cstheme="minorHAnsi"/>
          <w:sz w:val="20"/>
          <w:szCs w:val="20"/>
        </w:rPr>
        <w:t>The developmental demands of adolescence may make it particularly challenging for students with disabilities to escape bullying involvement given their lower social standing with peers and fewer social resources with which to draw from to combat bullying relative to students without disabilities (Blake et al. 2016: 286)</w:t>
      </w:r>
    </w:p>
    <w:p w14:paraId="18A3A9DA" w14:textId="77777777" w:rsidR="00BE2C1D" w:rsidRPr="00BE2C1D" w:rsidRDefault="00BE2C1D" w:rsidP="00BE2C1D">
      <w:pPr>
        <w:spacing w:line="360" w:lineRule="auto"/>
        <w:jc w:val="both"/>
        <w:rPr>
          <w:rFonts w:cstheme="minorHAnsi"/>
        </w:rPr>
      </w:pPr>
      <w:r w:rsidRPr="00BE2C1D">
        <w:rPr>
          <w:rFonts w:cstheme="minorHAnsi"/>
        </w:rPr>
        <w:t xml:space="preserve">While friendship has been discussed as a strategy for counteracting bullying for non-disabled children (Bollmer et al. 2005; Kendrick et al. 2012), this has not been the case as extensively for disabled children (for exceptions: Bourke and Burgman 2010; Worth 2013). Moreover, the lack of friendships, often attributed to social deficits of disabled students, has been put forward as a reason that disabled students get bullied more frequently compared to their non-disabled peers (Espelage et al. 2015), as also proposed in the opening quote of this section. The following stories then served as a counter-narrative to such deficit discourses by acknowledging how intimate relationships, such as friendship, were central means of resistance to violence for disabled young people.  </w:t>
      </w:r>
    </w:p>
    <w:p w14:paraId="59B7D7FA" w14:textId="77777777" w:rsidR="00BE2C1D" w:rsidRPr="00BE2C1D" w:rsidRDefault="00BE2C1D" w:rsidP="00BE2C1D">
      <w:pPr>
        <w:spacing w:line="360" w:lineRule="auto"/>
        <w:jc w:val="both"/>
        <w:rPr>
          <w:rFonts w:cstheme="minorHAnsi"/>
          <w:color w:val="FF0000"/>
        </w:rPr>
      </w:pPr>
      <w:r w:rsidRPr="00BE2C1D">
        <w:rPr>
          <w:rFonts w:cstheme="minorHAnsi"/>
        </w:rPr>
        <w:lastRenderedPageBreak/>
        <w:t>Many participants discussed how their friends reacted when a peer had attempted to bully them. For instance, Patricia and Angela shared the following stories:</w:t>
      </w:r>
    </w:p>
    <w:p w14:paraId="7CE56C1B" w14:textId="77777777" w:rsidR="00BE2C1D" w:rsidRPr="00BE2C1D" w:rsidRDefault="00BE2C1D" w:rsidP="00BE2C1D">
      <w:pPr>
        <w:spacing w:line="360" w:lineRule="auto"/>
        <w:ind w:left="720"/>
        <w:jc w:val="both"/>
        <w:rPr>
          <w:rFonts w:cstheme="minorHAnsi"/>
        </w:rPr>
      </w:pPr>
      <w:r w:rsidRPr="00BE2C1D">
        <w:rPr>
          <w:rFonts w:cstheme="minorHAnsi"/>
          <w:sz w:val="20"/>
          <w:szCs w:val="20"/>
        </w:rPr>
        <w:t>Patricia: Em, so yeah, I did have a few like nastiness, but it was quite good, because I had a good friend background. Em, as soon as my friends saw them doing this kind of thing, they would say: ‘Em, excuse me, stop doing that’, that kind of thing. So, they kind of almost spoke on my behalf. Em, because I did feel, it was quite difficult, cause like, I didn’t wanna tell them off and go away, but I just wanted to say it like: ‘It’s not right you saying this’. Because I think I had younger cousins and things like that, I know that children find it curious and then might not know necessarily how to react to it, em, kind of thing. So I was like: ‘Right, this is actually wrong.’ But my friends were just so good, they would be like: ‘Leave her alone, she’s our friend’ (giggle), stuff like this, so.</w:t>
      </w:r>
      <w:r w:rsidRPr="00BE2C1D">
        <w:rPr>
          <w:rFonts w:cstheme="minorHAnsi"/>
        </w:rPr>
        <w:t xml:space="preserve">       </w:t>
      </w:r>
    </w:p>
    <w:p w14:paraId="0871434B" w14:textId="77777777" w:rsidR="00BE2C1D" w:rsidRPr="00BE2C1D" w:rsidRDefault="00BE2C1D" w:rsidP="00BE2C1D">
      <w:pPr>
        <w:spacing w:line="360" w:lineRule="auto"/>
        <w:ind w:left="720"/>
        <w:jc w:val="both"/>
        <w:rPr>
          <w:rFonts w:cstheme="minorHAnsi"/>
          <w:sz w:val="20"/>
          <w:szCs w:val="20"/>
        </w:rPr>
      </w:pPr>
      <w:r w:rsidRPr="00BE2C1D">
        <w:rPr>
          <w:sz w:val="20"/>
          <w:szCs w:val="20"/>
        </w:rPr>
        <w:t>Angela. So, if someone is staring. They kind of like stand in front, not stand in front of me, but kind like stand in front of their vision and glare at them. And I am like: ‘Ok, let’s go’.</w:t>
      </w:r>
    </w:p>
    <w:p w14:paraId="7C2F54E8" w14:textId="77777777" w:rsidR="00BE2C1D" w:rsidRPr="00BE2C1D" w:rsidRDefault="00BE2C1D" w:rsidP="00BE2C1D">
      <w:pPr>
        <w:spacing w:line="360" w:lineRule="auto"/>
        <w:jc w:val="both"/>
        <w:rPr>
          <w:rFonts w:cstheme="minorHAnsi"/>
        </w:rPr>
      </w:pPr>
      <w:r w:rsidRPr="00BE2C1D">
        <w:rPr>
          <w:rFonts w:cstheme="minorHAnsi"/>
        </w:rPr>
        <w:t>Patricia’s and Angela’s friends protected them from their peers’ hostile attitudes - staring, name calling, teasing - by speaking back and by blocking the staring with their bodies respectively. Both stories were indicative of community building, where each member cared for each other. Patricia felt that her friends took over to an extent (‘they kind of almost spoke on my behalf’) and her approach would have been slightly different to theirs due to the exposure she had to her younger relatives’ curiosity, which made her more sympathetic to such attitudes. This did not mean, however, that Patricia was any less grateful to her friends for their support (‘but my friends were just so good’). In Angela’s case, while it was her friends that returned the stare, she was the one to ‘have the last word’, exercising her agency on her friends (‘Ok, let’s go’). The issue of agency was also raised in another story from Patricia:</w:t>
      </w:r>
    </w:p>
    <w:p w14:paraId="3ED93F1E" w14:textId="77777777" w:rsidR="00BE2C1D" w:rsidRPr="00BE2C1D" w:rsidRDefault="00BE2C1D" w:rsidP="00BE2C1D">
      <w:pPr>
        <w:spacing w:line="360" w:lineRule="auto"/>
        <w:ind w:left="720"/>
        <w:jc w:val="both"/>
        <w:rPr>
          <w:rFonts w:cstheme="minorHAnsi"/>
          <w:sz w:val="20"/>
          <w:szCs w:val="20"/>
        </w:rPr>
      </w:pPr>
      <w:r w:rsidRPr="00BE2C1D">
        <w:rPr>
          <w:rFonts w:cstheme="minorHAnsi"/>
          <w:sz w:val="20"/>
          <w:szCs w:val="20"/>
        </w:rPr>
        <w:t xml:space="preserve">Patricia: I think it was kind of walked along with the corridor and I was quite friendly with one of the naughty boys. I know that that sounds bad on me, but he was a good friend with me, we had a good banter. And again, as soon as he saw this guy, erm kind of doing this to me, actually he was quite, almost beyond what I would want him to do. But he kind of pinned him against the wall and said: ‘Why are you doing this kind of thing?’  And I didn’t want him to do that, but I was like: ‘Just leave him, don’t do that to him’ kind of thing. But I think that he was so infuriated that someone would do this kind of thing, that he almost kind of lashed out. But yeah, I think that as soon as he did that, it did actually stop though, so.  </w:t>
      </w:r>
    </w:p>
    <w:p w14:paraId="2F573F09" w14:textId="77777777" w:rsidR="00BE2C1D" w:rsidRPr="00BE2C1D" w:rsidRDefault="00BE2C1D" w:rsidP="00BE2C1D">
      <w:pPr>
        <w:spacing w:line="360" w:lineRule="auto"/>
        <w:jc w:val="both"/>
        <w:rPr>
          <w:rFonts w:cstheme="minorHAnsi"/>
        </w:rPr>
      </w:pPr>
      <w:r w:rsidRPr="00BE2C1D">
        <w:rPr>
          <w:rFonts w:cstheme="minorHAnsi"/>
        </w:rPr>
        <w:t xml:space="preserve">Patricia started her story hinting that what was to follow was not reflective of how she would react to hostile attitudes, introducing her friend as ‘one of the naughty boys’ and expressing her concern that ‘that sounds bad on me’. The naughtiness of the boy then sort of justified/explained his reaction to the boy that was nasty towards Patricia, which involved Patricia’s friend pinning the other person </w:t>
      </w:r>
      <w:r w:rsidRPr="00BE2C1D">
        <w:rPr>
          <w:rFonts w:cstheme="minorHAnsi"/>
        </w:rPr>
        <w:lastRenderedPageBreak/>
        <w:t xml:space="preserve">against the wall and telling him off. Patricia disassociated herself from such a reaction (‘I didn’t want him to do that’), but she equally saw where it came from (‘he was so infuriated that someone would do this kind of thing’). Patricia then asked her friend to leave the other guy, taking control over the situation. Eventually, her friend’s reaction proved effective, as she did not encounter any hostility from that person again.   </w:t>
      </w:r>
    </w:p>
    <w:p w14:paraId="411A0DA4" w14:textId="77777777" w:rsidR="00BE2C1D" w:rsidRPr="00BE2C1D" w:rsidRDefault="00BE2C1D" w:rsidP="00BE2C1D">
      <w:pPr>
        <w:spacing w:line="360" w:lineRule="auto"/>
        <w:jc w:val="both"/>
        <w:rPr>
          <w:rFonts w:cstheme="minorHAnsi"/>
        </w:rPr>
      </w:pPr>
      <w:r w:rsidRPr="00BE2C1D">
        <w:rPr>
          <w:rFonts w:cstheme="minorHAnsi"/>
        </w:rPr>
        <w:t>Besides the young people exerting some control over their friends’ reactions, they also spoke of how they occasionally felt sorry for the individuals who attempted to bully them. Harry and Rachael discussed how they rose above and felt sorry for those who were hostile towards them:</w:t>
      </w:r>
    </w:p>
    <w:p w14:paraId="1F8A3076" w14:textId="77777777" w:rsidR="00BE2C1D" w:rsidRPr="00BE2C1D" w:rsidRDefault="00BE2C1D" w:rsidP="00BE2C1D">
      <w:pPr>
        <w:spacing w:line="360" w:lineRule="auto"/>
        <w:ind w:left="720"/>
        <w:jc w:val="both"/>
        <w:rPr>
          <w:sz w:val="20"/>
          <w:szCs w:val="20"/>
        </w:rPr>
      </w:pPr>
      <w:r w:rsidRPr="00BE2C1D">
        <w:rPr>
          <w:sz w:val="20"/>
          <w:szCs w:val="20"/>
        </w:rPr>
        <w:t xml:space="preserve">Harry: No. I had, I had this one girl, but I think she, I think she has like special needs or something. Okay, but I had this one girl on the very first few days and then she would call me like ‘small Harry’ or something like that. But all my friends, I did feel quite sorry for her in the end, because all my friends like came to my defence and they were like: ‘That’s really horrible’. But, since then, I had absolutely nothing. </w:t>
      </w:r>
    </w:p>
    <w:p w14:paraId="1371D737" w14:textId="77777777" w:rsidR="00BE2C1D" w:rsidRPr="00BE2C1D" w:rsidRDefault="00BE2C1D" w:rsidP="00BE2C1D">
      <w:pPr>
        <w:spacing w:line="360" w:lineRule="auto"/>
        <w:ind w:left="720"/>
        <w:jc w:val="both"/>
        <w:rPr>
          <w:sz w:val="20"/>
          <w:szCs w:val="20"/>
          <w:lang w:val="en-US"/>
        </w:rPr>
      </w:pPr>
      <w:r w:rsidRPr="00BE2C1D">
        <w:rPr>
          <w:sz w:val="20"/>
          <w:szCs w:val="20"/>
        </w:rPr>
        <w:t>Rachael</w:t>
      </w:r>
      <w:r w:rsidRPr="00BE2C1D">
        <w:rPr>
          <w:sz w:val="20"/>
          <w:szCs w:val="20"/>
          <w:lang w:val="en-US"/>
        </w:rPr>
        <w:t>: And I do remember friends sort of challenging it a little bit, but it wouldn’t normally happen if I was with friends. I mean it might have happened. I remember one time there was this kid who sadly, he was really bullied, and he had a really bad time. But I think he looked at me and he thought: ‘You’re an easy target’. So, he tried to pick on me a little bit to make himself a bit better, but it didn’t work, because I was actually, I had friends and I was happy and his opinion didn’t matter. So, I was just like: ‘Ok, whatever. You’re making yourself less popular because you’re picking on me and it’s not very nice’.</w:t>
      </w:r>
    </w:p>
    <w:p w14:paraId="115A233D" w14:textId="77777777" w:rsidR="00BE2C1D" w:rsidRPr="00BE2C1D" w:rsidRDefault="00BE2C1D" w:rsidP="00BE2C1D">
      <w:pPr>
        <w:spacing w:line="360" w:lineRule="auto"/>
        <w:jc w:val="both"/>
        <w:rPr>
          <w:rFonts w:cstheme="minorHAnsi"/>
        </w:rPr>
      </w:pPr>
      <w:r w:rsidRPr="00BE2C1D">
        <w:rPr>
          <w:rFonts w:cstheme="minorHAnsi"/>
        </w:rPr>
        <w:t xml:space="preserve">Both Harry and Rachael started their stories with positioning those who were hostile towards them into certain subjectivities: the girl who was speculated to have special needs and the boy who was bullied and was looking for ‘an easy target’ to ‘make himself feel better’. This positioning was a narrative mechanism explaining the origins of the ‘nasty’ behaviour. Harry’s friends came to his defence and told the girl off, while, for Rachael, the fact that she had many friends was enough of a reason not to care about the comments of others. Moreover, Rachael confronted the boy by reminding him of the potential consequences of his behaviour (becoming less popular). Not only were Harry and Rachael unaffected by the derogative comments, but they felt sorry for those who made them. </w:t>
      </w:r>
    </w:p>
    <w:p w14:paraId="4A068EDC" w14:textId="77777777" w:rsidR="00BE2C1D" w:rsidRPr="00BE2C1D" w:rsidRDefault="00BE2C1D" w:rsidP="00BE2C1D">
      <w:pPr>
        <w:spacing w:line="360" w:lineRule="auto"/>
        <w:jc w:val="both"/>
        <w:rPr>
          <w:rFonts w:cstheme="minorHAnsi"/>
        </w:rPr>
      </w:pPr>
      <w:r w:rsidRPr="00BE2C1D">
        <w:rPr>
          <w:rFonts w:cstheme="minorHAnsi"/>
        </w:rPr>
        <w:t xml:space="preserve">In a summary, contrary to the literature that has associated the bullying of disabled students with a shortage of friends, the above stories demonstrated how friendship was a major mean through which the participants counteracted violence. Not only did the participants’ friends fight back such violence in various ways e.g. telling others off, but the participants also had agency over their friends’ conduct, meaning that they were the ones to decide what the final course of action should be.  Moreover, the </w:t>
      </w:r>
      <w:r w:rsidRPr="00BE2C1D">
        <w:rPr>
          <w:rFonts w:cstheme="minorHAnsi"/>
        </w:rPr>
        <w:lastRenderedPageBreak/>
        <w:t xml:space="preserve">participants did not always identify with their friends’ reactions and they occasionally felt sorry for the repercussions that the individual who had attempted to bully them had to deal with.  These stories then invite us to reconsider and reclaim the role of friendship in the relation between bullying and disability. </w:t>
      </w:r>
      <w:r w:rsidRPr="00BE2C1D">
        <w:t xml:space="preserve">In the next and final section, I provide a summary of what was discussed in the chapter and the contributions of this chapter to the thesis.  </w:t>
      </w:r>
    </w:p>
    <w:p w14:paraId="78A3747F" w14:textId="77777777" w:rsidR="00BE2C1D" w:rsidRPr="00BE2C1D" w:rsidRDefault="00BE2C1D" w:rsidP="00BE2C1D">
      <w:pPr>
        <w:keepNext/>
        <w:keepLines/>
        <w:spacing w:before="40" w:after="0" w:line="360" w:lineRule="auto"/>
        <w:outlineLvl w:val="1"/>
        <w:rPr>
          <w:rFonts w:asciiTheme="majorHAnsi" w:eastAsiaTheme="majorEastAsia" w:hAnsiTheme="majorHAnsi" w:cstheme="majorBidi"/>
          <w:color w:val="2F5496" w:themeColor="accent1" w:themeShade="BF"/>
          <w:sz w:val="26"/>
          <w:szCs w:val="26"/>
        </w:rPr>
      </w:pPr>
      <w:bookmarkStart w:id="164" w:name="_Toc39585284"/>
      <w:r w:rsidRPr="00BE2C1D">
        <w:rPr>
          <w:rFonts w:asciiTheme="majorHAnsi" w:eastAsiaTheme="majorEastAsia" w:hAnsiTheme="majorHAnsi" w:cstheme="majorBidi"/>
          <w:color w:val="2F5496" w:themeColor="accent1" w:themeShade="BF"/>
          <w:sz w:val="26"/>
          <w:szCs w:val="26"/>
        </w:rPr>
        <w:t>Conclusions</w:t>
      </w:r>
      <w:bookmarkEnd w:id="164"/>
    </w:p>
    <w:p w14:paraId="31B91F87" w14:textId="77777777" w:rsidR="00BE2C1D" w:rsidRPr="00BE2C1D" w:rsidRDefault="00BE2C1D" w:rsidP="00BE2C1D">
      <w:pPr>
        <w:spacing w:line="360" w:lineRule="auto"/>
        <w:jc w:val="both"/>
      </w:pPr>
      <w:bookmarkStart w:id="165" w:name="_Hlk38909965"/>
      <w:r w:rsidRPr="00BE2C1D">
        <w:t xml:space="preserve">This chapter considered the different forms of violence participants encountered at schools. Starting with real violence, stories of physical and cultural violence were brought to the front; stories which captured non-disabled people’s feeling of entitlement to pick up and throw on the floor their disabled peers or to joke about them using derogative terms embedded in culture. However, the discussion of these stories did not take the easy route, which would be to charge this violence to aggressive or mean individuals, but it looked into the violence of disablism, which is perpetuated in and through culture. The real violence was not experienced only viscerally, but it was also felt, as shown through the stories of psycho-emotional violence. These stories revealed the psycho-emotional toll the real violence had on the participants. The female participants seemed to be more susceptible to psycho-emotional violence, although this might have to do with the fact that they were more willing to discuss it. </w:t>
      </w:r>
    </w:p>
    <w:p w14:paraId="25FB4D65" w14:textId="77777777" w:rsidR="00BE2C1D" w:rsidRPr="00BE2C1D" w:rsidRDefault="00BE2C1D" w:rsidP="00BE2C1D">
      <w:pPr>
        <w:spacing w:line="360" w:lineRule="auto"/>
        <w:jc w:val="both"/>
      </w:pPr>
      <w:r w:rsidRPr="00BE2C1D">
        <w:t xml:space="preserve">The violence the participants experienced was prolonged, which led to a discussion of how their schools dealt with it. Although the participants often adhered to the institutional norm of disclosing and reporting such incidents, such disclosure did not cease bullying. These were stories of systemic violence, meaning that the school as an institution also contributed to the maintenance of the violence against those young people. The tough realisation that disclosure made no difference also led participants to opt for other strategies to cease the violence against them. These were the stories of resistance. The participants referred to a range of strategies, from hitting and speaking back to social shielding. Moreover, friendship was also an effective mean of resistance, with their friends coming to their defence. </w:t>
      </w:r>
    </w:p>
    <w:p w14:paraId="34D4DCE1" w14:textId="77777777" w:rsidR="00BE2C1D" w:rsidRPr="00BE2C1D" w:rsidRDefault="00BE2C1D" w:rsidP="00BE2C1D">
      <w:pPr>
        <w:spacing w:line="360" w:lineRule="auto"/>
        <w:jc w:val="both"/>
      </w:pPr>
      <w:r w:rsidRPr="00BE2C1D">
        <w:t xml:space="preserve">How do these stories then shake up the discourses around disability and school violence? Firstly, these stories relied on the participants’ words, understanding and experiences of school violence (, without prescribing a-priori definitions of bullying, for instance (Bosacki et al. 2006). Secondly, these were counter-narratives, as they spoke back to certain master narratives that pathologised disabled young people. For instance, psychological discourses attributing the violence experienced by disabled young people to their lack of social skills and capital were questioned by the participants’ accounts of friendship. Moreover, while psychological discourses associated reactions to violence such as fighting back with a range of deficits e.g. cognitive, social etc., the participants’ stories showed that this </w:t>
      </w:r>
      <w:r w:rsidRPr="00BE2C1D">
        <w:lastRenderedPageBreak/>
        <w:t xml:space="preserve">reaction was the last resort for participants who endured prolonged violence and the school had done nothing about it. Finally, the participants were not ‘passive’ victims of violence, as often described by such discourses. Participants put different forms of labour (physical, emotional) to resist to the violence they faced and its repercussions.  </w:t>
      </w:r>
    </w:p>
    <w:p w14:paraId="652A7EA0" w14:textId="77777777" w:rsidR="00BE2C1D" w:rsidRPr="00BE2C1D" w:rsidRDefault="00BE2C1D" w:rsidP="00BE2C1D">
      <w:pPr>
        <w:spacing w:line="360" w:lineRule="auto"/>
        <w:jc w:val="both"/>
      </w:pPr>
      <w:r w:rsidRPr="00BE2C1D">
        <w:t xml:space="preserve">These stories, then, remind us that </w:t>
      </w:r>
    </w:p>
    <w:p w14:paraId="2A48A6A1" w14:textId="77777777" w:rsidR="00BE2C1D" w:rsidRPr="00BE2C1D" w:rsidRDefault="00BE2C1D" w:rsidP="00BE2C1D">
      <w:pPr>
        <w:spacing w:line="360" w:lineRule="auto"/>
        <w:ind w:left="720"/>
        <w:jc w:val="both"/>
        <w:rPr>
          <w:sz w:val="20"/>
          <w:szCs w:val="20"/>
        </w:rPr>
      </w:pPr>
      <w:r w:rsidRPr="00BE2C1D">
        <w:rPr>
          <w:sz w:val="20"/>
          <w:szCs w:val="20"/>
        </w:rPr>
        <w:t xml:space="preserve">To overcome bullying demands changes in our society, in our understandings of normality and  non-normality and in the way the school as an institutional setting is organised as part of broader societal structures such as e.g. race, ethnicity, class, gender and sexuality (Kousholt and Fisker 2015: 600). </w:t>
      </w:r>
    </w:p>
    <w:p w14:paraId="402D348C" w14:textId="77777777" w:rsidR="00BE2C1D" w:rsidRPr="00BE2C1D" w:rsidRDefault="00BE2C1D" w:rsidP="00BE2C1D">
      <w:pPr>
        <w:spacing w:line="360" w:lineRule="auto"/>
        <w:jc w:val="both"/>
      </w:pPr>
      <w:r w:rsidRPr="00BE2C1D">
        <w:t xml:space="preserve">And I would add disability too. </w:t>
      </w:r>
    </w:p>
    <w:bookmarkEnd w:id="165"/>
    <w:p w14:paraId="2145B255" w14:textId="77777777" w:rsidR="00BE2C1D" w:rsidRPr="00BE2C1D" w:rsidRDefault="00BE2C1D" w:rsidP="00BE2C1D">
      <w:pPr>
        <w:keepNext/>
        <w:keepLines/>
        <w:spacing w:before="240" w:after="0"/>
        <w:outlineLvl w:val="0"/>
        <w:rPr>
          <w:rFonts w:asciiTheme="majorHAnsi" w:eastAsiaTheme="majorEastAsia" w:hAnsiTheme="majorHAnsi" w:cstheme="majorBidi"/>
          <w:color w:val="2F5496" w:themeColor="accent1" w:themeShade="BF"/>
          <w:sz w:val="32"/>
          <w:szCs w:val="32"/>
          <w:lang w:eastAsia="zh-CN"/>
        </w:rPr>
      </w:pPr>
    </w:p>
    <w:p w14:paraId="09D727B2" w14:textId="77777777" w:rsidR="00BE2C1D" w:rsidRPr="00BE2C1D" w:rsidRDefault="00BE2C1D" w:rsidP="00BE2C1D">
      <w:pPr>
        <w:keepNext/>
        <w:keepLines/>
        <w:spacing w:before="240" w:after="0"/>
        <w:outlineLvl w:val="0"/>
        <w:rPr>
          <w:rFonts w:asciiTheme="majorHAnsi" w:eastAsiaTheme="majorEastAsia" w:hAnsiTheme="majorHAnsi" w:cstheme="majorBidi"/>
          <w:color w:val="2F5496" w:themeColor="accent1" w:themeShade="BF"/>
          <w:sz w:val="32"/>
          <w:szCs w:val="32"/>
          <w:lang w:eastAsia="zh-CN"/>
        </w:rPr>
      </w:pPr>
    </w:p>
    <w:p w14:paraId="1E1A8FB6" w14:textId="77777777" w:rsidR="00BE2C1D" w:rsidRPr="00BE2C1D" w:rsidRDefault="00BE2C1D" w:rsidP="00BE2C1D">
      <w:pPr>
        <w:keepNext/>
        <w:keepLines/>
        <w:spacing w:before="240" w:after="0"/>
        <w:outlineLvl w:val="0"/>
        <w:rPr>
          <w:rFonts w:asciiTheme="majorHAnsi" w:eastAsiaTheme="majorEastAsia" w:hAnsiTheme="majorHAnsi" w:cstheme="majorBidi"/>
          <w:color w:val="2F5496" w:themeColor="accent1" w:themeShade="BF"/>
          <w:sz w:val="32"/>
          <w:szCs w:val="32"/>
          <w:lang w:eastAsia="zh-CN"/>
        </w:rPr>
      </w:pPr>
    </w:p>
    <w:p w14:paraId="7C080DDC" w14:textId="77777777" w:rsidR="00BE2C1D" w:rsidRPr="00BE2C1D" w:rsidRDefault="00BE2C1D" w:rsidP="00BE2C1D">
      <w:pPr>
        <w:keepNext/>
        <w:keepLines/>
        <w:spacing w:before="240" w:after="0"/>
        <w:outlineLvl w:val="0"/>
        <w:rPr>
          <w:rFonts w:asciiTheme="majorHAnsi" w:eastAsiaTheme="majorEastAsia" w:hAnsiTheme="majorHAnsi" w:cstheme="majorBidi"/>
          <w:color w:val="2F5496" w:themeColor="accent1" w:themeShade="BF"/>
          <w:sz w:val="32"/>
          <w:szCs w:val="32"/>
          <w:lang w:eastAsia="zh-CN"/>
        </w:rPr>
      </w:pPr>
    </w:p>
    <w:p w14:paraId="5C089B78" w14:textId="39BB4D89" w:rsidR="00BE2C1D" w:rsidRDefault="00BE2C1D" w:rsidP="00BE2C1D">
      <w:pPr>
        <w:rPr>
          <w:lang w:eastAsia="zh-CN"/>
        </w:rPr>
      </w:pPr>
    </w:p>
    <w:p w14:paraId="619A58CF" w14:textId="794DE772" w:rsidR="00606298" w:rsidRDefault="00606298" w:rsidP="00BE2C1D">
      <w:pPr>
        <w:rPr>
          <w:lang w:eastAsia="zh-CN"/>
        </w:rPr>
      </w:pPr>
    </w:p>
    <w:p w14:paraId="3CB4EFFC" w14:textId="6A848B8F" w:rsidR="00606298" w:rsidRDefault="00606298" w:rsidP="00BE2C1D">
      <w:pPr>
        <w:rPr>
          <w:lang w:eastAsia="zh-CN"/>
        </w:rPr>
      </w:pPr>
    </w:p>
    <w:p w14:paraId="79EAEDF9" w14:textId="3079A777" w:rsidR="00606298" w:rsidRDefault="00606298" w:rsidP="00BE2C1D">
      <w:pPr>
        <w:rPr>
          <w:lang w:eastAsia="zh-CN"/>
        </w:rPr>
      </w:pPr>
    </w:p>
    <w:p w14:paraId="461A477D" w14:textId="2DF75BBE" w:rsidR="00606298" w:rsidRDefault="00606298" w:rsidP="00BE2C1D">
      <w:pPr>
        <w:rPr>
          <w:lang w:eastAsia="zh-CN"/>
        </w:rPr>
      </w:pPr>
    </w:p>
    <w:p w14:paraId="058751C2" w14:textId="76567152" w:rsidR="00606298" w:rsidRDefault="00606298" w:rsidP="00BE2C1D">
      <w:pPr>
        <w:rPr>
          <w:lang w:eastAsia="zh-CN"/>
        </w:rPr>
      </w:pPr>
    </w:p>
    <w:p w14:paraId="6D463EC9" w14:textId="5E970CF0" w:rsidR="00606298" w:rsidRDefault="00606298" w:rsidP="00BE2C1D">
      <w:pPr>
        <w:rPr>
          <w:lang w:eastAsia="zh-CN"/>
        </w:rPr>
      </w:pPr>
    </w:p>
    <w:p w14:paraId="63D833C5" w14:textId="462CC710" w:rsidR="00606298" w:rsidRDefault="00606298" w:rsidP="00BE2C1D">
      <w:pPr>
        <w:rPr>
          <w:lang w:eastAsia="zh-CN"/>
        </w:rPr>
      </w:pPr>
    </w:p>
    <w:p w14:paraId="3EDD797E" w14:textId="4D34AA6E" w:rsidR="00606298" w:rsidRDefault="00606298" w:rsidP="00BE2C1D">
      <w:pPr>
        <w:rPr>
          <w:lang w:eastAsia="zh-CN"/>
        </w:rPr>
      </w:pPr>
    </w:p>
    <w:p w14:paraId="787B0A89" w14:textId="4D634696" w:rsidR="00606298" w:rsidRDefault="00606298" w:rsidP="00BE2C1D">
      <w:pPr>
        <w:rPr>
          <w:lang w:eastAsia="zh-CN"/>
        </w:rPr>
      </w:pPr>
    </w:p>
    <w:p w14:paraId="7497B9A3" w14:textId="5676D78E" w:rsidR="00606298" w:rsidRDefault="00606298" w:rsidP="00BE2C1D">
      <w:pPr>
        <w:rPr>
          <w:lang w:eastAsia="zh-CN"/>
        </w:rPr>
      </w:pPr>
    </w:p>
    <w:p w14:paraId="283845F1" w14:textId="1B2E5B7C" w:rsidR="00606298" w:rsidRDefault="00606298" w:rsidP="00BE2C1D">
      <w:pPr>
        <w:rPr>
          <w:lang w:eastAsia="zh-CN"/>
        </w:rPr>
      </w:pPr>
    </w:p>
    <w:p w14:paraId="5C78568C" w14:textId="69798E94" w:rsidR="00606298" w:rsidRDefault="00606298" w:rsidP="00BE2C1D">
      <w:pPr>
        <w:rPr>
          <w:lang w:eastAsia="zh-CN"/>
        </w:rPr>
      </w:pPr>
    </w:p>
    <w:p w14:paraId="775FBD4C" w14:textId="77777777" w:rsidR="00606298" w:rsidRPr="00BE2C1D" w:rsidRDefault="00606298" w:rsidP="00BE2C1D">
      <w:pPr>
        <w:rPr>
          <w:lang w:eastAsia="zh-CN"/>
        </w:rPr>
      </w:pPr>
    </w:p>
    <w:p w14:paraId="51412FD2" w14:textId="77777777" w:rsidR="00BE2C1D" w:rsidRPr="00BE2C1D" w:rsidRDefault="00BE2C1D" w:rsidP="00BE2C1D">
      <w:pPr>
        <w:keepNext/>
        <w:keepLines/>
        <w:spacing w:before="240" w:after="0"/>
        <w:outlineLvl w:val="0"/>
        <w:rPr>
          <w:rFonts w:asciiTheme="majorHAnsi" w:eastAsiaTheme="majorEastAsia" w:hAnsiTheme="majorHAnsi" w:cstheme="majorBidi"/>
          <w:color w:val="2F5496" w:themeColor="accent1" w:themeShade="BF"/>
          <w:sz w:val="32"/>
          <w:szCs w:val="32"/>
          <w:lang w:eastAsia="zh-CN"/>
        </w:rPr>
      </w:pPr>
      <w:bookmarkStart w:id="166" w:name="_Toc39585285"/>
      <w:r w:rsidRPr="00BE2C1D">
        <w:rPr>
          <w:rFonts w:asciiTheme="majorHAnsi" w:eastAsiaTheme="majorEastAsia" w:hAnsiTheme="majorHAnsi" w:cstheme="majorBidi"/>
          <w:color w:val="2F5496" w:themeColor="accent1" w:themeShade="BF"/>
          <w:sz w:val="32"/>
          <w:szCs w:val="32"/>
          <w:lang w:eastAsia="zh-CN"/>
        </w:rPr>
        <w:lastRenderedPageBreak/>
        <w:t>Chapter 8: Conclusions</w:t>
      </w:r>
      <w:bookmarkEnd w:id="166"/>
      <w:r w:rsidRPr="00BE2C1D">
        <w:rPr>
          <w:rFonts w:asciiTheme="majorHAnsi" w:eastAsiaTheme="majorEastAsia" w:hAnsiTheme="majorHAnsi" w:cstheme="majorBidi"/>
          <w:color w:val="2F5496" w:themeColor="accent1" w:themeShade="BF"/>
          <w:sz w:val="32"/>
          <w:szCs w:val="32"/>
          <w:lang w:eastAsia="zh-CN"/>
        </w:rPr>
        <w:t xml:space="preserve">  </w:t>
      </w:r>
    </w:p>
    <w:p w14:paraId="4CD47457" w14:textId="77777777" w:rsidR="00BE2C1D" w:rsidRPr="00BE2C1D" w:rsidRDefault="00BE2C1D" w:rsidP="00BE2C1D">
      <w:pPr>
        <w:keepNext/>
        <w:keepLines/>
        <w:spacing w:before="40" w:after="0" w:line="360" w:lineRule="auto"/>
        <w:outlineLvl w:val="1"/>
        <w:rPr>
          <w:rFonts w:asciiTheme="majorHAnsi" w:eastAsiaTheme="majorEastAsia" w:hAnsiTheme="majorHAnsi" w:cstheme="majorBidi"/>
          <w:color w:val="2F5496" w:themeColor="accent1" w:themeShade="BF"/>
          <w:sz w:val="26"/>
          <w:szCs w:val="26"/>
          <w:lang w:eastAsia="zh-CN"/>
        </w:rPr>
      </w:pPr>
      <w:bookmarkStart w:id="167" w:name="_Toc39585286"/>
      <w:r w:rsidRPr="00BE2C1D">
        <w:rPr>
          <w:rFonts w:asciiTheme="majorHAnsi" w:eastAsiaTheme="majorEastAsia" w:hAnsiTheme="majorHAnsi" w:cstheme="majorBidi"/>
          <w:color w:val="2F5496" w:themeColor="accent1" w:themeShade="BF"/>
          <w:sz w:val="26"/>
          <w:szCs w:val="26"/>
          <w:lang w:eastAsia="zh-CN"/>
        </w:rPr>
        <w:t>Introduction</w:t>
      </w:r>
      <w:bookmarkEnd w:id="167"/>
      <w:r w:rsidRPr="00BE2C1D">
        <w:rPr>
          <w:rFonts w:asciiTheme="majorHAnsi" w:eastAsiaTheme="majorEastAsia" w:hAnsiTheme="majorHAnsi" w:cstheme="majorBidi"/>
          <w:color w:val="2F5496" w:themeColor="accent1" w:themeShade="BF"/>
          <w:sz w:val="26"/>
          <w:szCs w:val="26"/>
          <w:lang w:eastAsia="zh-CN"/>
        </w:rPr>
        <w:t xml:space="preserve"> </w:t>
      </w:r>
    </w:p>
    <w:p w14:paraId="0D7FFA69" w14:textId="77777777" w:rsidR="00BE2C1D" w:rsidRPr="00BE2C1D" w:rsidRDefault="00BE2C1D" w:rsidP="00BE2C1D">
      <w:pPr>
        <w:spacing w:line="360" w:lineRule="auto"/>
        <w:jc w:val="both"/>
        <w:rPr>
          <w:rFonts w:eastAsiaTheme="minorEastAsia"/>
          <w:lang w:eastAsia="zh-CN"/>
        </w:rPr>
      </w:pPr>
      <w:r w:rsidRPr="00BE2C1D">
        <w:rPr>
          <w:rFonts w:eastAsiaTheme="minorEastAsia"/>
          <w:lang w:eastAsia="zh-CN"/>
        </w:rPr>
        <w:t>This thesis set out to look into the schooling experiences of young people with Restricted Growth from their secondary education in the United Kingdom. I have to confess that I am concerned (but not surprised really</w:t>
      </w:r>
      <w:r w:rsidRPr="00BE2C1D">
        <w:rPr>
          <w:rFonts w:eastAsiaTheme="minorEastAsia"/>
          <w:vertAlign w:val="superscript"/>
          <w:lang w:eastAsia="zh-CN"/>
        </w:rPr>
        <w:footnoteReference w:id="142"/>
      </w:r>
      <w:r w:rsidRPr="00BE2C1D">
        <w:rPr>
          <w:rFonts w:eastAsiaTheme="minorEastAsia"/>
          <w:lang w:eastAsia="zh-CN"/>
        </w:rPr>
        <w:t xml:space="preserve">) with the bleak picture this thesis has depicted regarding such experiences, considering that we live in the ‘post-segregation era’, where disabled children are educated in ‘inclusive’, mainstream schools (Slee and Allan 2001). However, as Runswick-Cole (2011: 112) maintained: </w:t>
      </w:r>
    </w:p>
    <w:p w14:paraId="01B64898" w14:textId="77777777" w:rsidR="00BE2C1D" w:rsidRPr="00BE2C1D" w:rsidRDefault="00BE2C1D" w:rsidP="00BE2C1D">
      <w:pPr>
        <w:spacing w:line="360" w:lineRule="auto"/>
        <w:ind w:left="720"/>
        <w:jc w:val="both"/>
        <w:rPr>
          <w:rFonts w:eastAsiaTheme="minorEastAsia"/>
          <w:sz w:val="20"/>
          <w:szCs w:val="20"/>
          <w:lang w:eastAsia="zh-CN"/>
        </w:rPr>
      </w:pPr>
      <w:r w:rsidRPr="00BE2C1D">
        <w:rPr>
          <w:rFonts w:eastAsiaTheme="minorEastAsia"/>
          <w:sz w:val="20"/>
          <w:szCs w:val="20"/>
          <w:lang w:eastAsia="zh-CN"/>
        </w:rPr>
        <w:t>although there may have been an inclusive education policy rhetoric, this rhetoric is rooted in conceptual incongruities which, rather than promoting inclusion, undermine an inclusive approach to education.</w:t>
      </w:r>
    </w:p>
    <w:p w14:paraId="490B9668" w14:textId="77777777" w:rsidR="00BE2C1D" w:rsidRPr="00BE2C1D" w:rsidRDefault="00BE2C1D" w:rsidP="00BE2C1D">
      <w:pPr>
        <w:spacing w:line="360" w:lineRule="auto"/>
        <w:jc w:val="both"/>
        <w:rPr>
          <w:rFonts w:eastAsiaTheme="minorEastAsia"/>
          <w:lang w:eastAsia="zh-CN"/>
        </w:rPr>
      </w:pPr>
      <w:r w:rsidRPr="00BE2C1D">
        <w:rPr>
          <w:rFonts w:eastAsiaTheme="minorEastAsia"/>
          <w:lang w:eastAsia="zh-CN"/>
        </w:rPr>
        <w:t xml:space="preserve">This was also reflected in this picture, which illustrated that disabled young people were still ‘subjected to psychological, relational, systemic and cultural exclusion within so called inclusive spaces of school’ (Goodley and Runswick-Cole 2015a: 54). </w:t>
      </w:r>
    </w:p>
    <w:p w14:paraId="5C95ED8C" w14:textId="77777777" w:rsidR="00BE2C1D" w:rsidRPr="00BE2C1D" w:rsidRDefault="00BE2C1D" w:rsidP="00BE2C1D">
      <w:pPr>
        <w:spacing w:line="360" w:lineRule="auto"/>
        <w:jc w:val="both"/>
        <w:rPr>
          <w:rFonts w:eastAsiaTheme="minorEastAsia"/>
          <w:lang w:eastAsia="zh-CN"/>
        </w:rPr>
      </w:pPr>
      <w:r w:rsidRPr="00BE2C1D">
        <w:rPr>
          <w:rFonts w:eastAsiaTheme="minorEastAsia"/>
          <w:lang w:eastAsia="zh-CN"/>
        </w:rPr>
        <w:t xml:space="preserve">To bring the different parts of this picture together, this final chapter starts with a summary of the key findings of each analysis chapter alongside a discussion of the common themes of the analyses chapters. Then, the implications of this thesis on several levels are discussed. Specifically, I consider the theoretical implications (contributions to knowledge production), the methodological implications (contributions to research methodologies), the implications on educational policy and practitioners (recommendations for educational policymakers and practitioners) and the implications for future research (directions for future research inquiry). Finally, this thesis closes with some ultimate reflections. </w:t>
      </w:r>
    </w:p>
    <w:p w14:paraId="7EC6F590" w14:textId="77777777" w:rsidR="00BE2C1D" w:rsidRPr="00BE2C1D" w:rsidRDefault="00BE2C1D" w:rsidP="00BE2C1D">
      <w:pPr>
        <w:keepNext/>
        <w:keepLines/>
        <w:spacing w:before="40" w:after="0" w:line="360" w:lineRule="auto"/>
        <w:outlineLvl w:val="1"/>
        <w:rPr>
          <w:rFonts w:asciiTheme="majorHAnsi" w:eastAsiaTheme="majorEastAsia" w:hAnsiTheme="majorHAnsi" w:cstheme="majorBidi"/>
          <w:color w:val="2F5496" w:themeColor="accent1" w:themeShade="BF"/>
          <w:sz w:val="26"/>
          <w:szCs w:val="26"/>
          <w:lang w:eastAsia="zh-CN"/>
        </w:rPr>
      </w:pPr>
      <w:bookmarkStart w:id="168" w:name="_Toc39585287"/>
      <w:r w:rsidRPr="00BE2C1D">
        <w:rPr>
          <w:rFonts w:asciiTheme="majorHAnsi" w:eastAsiaTheme="majorEastAsia" w:hAnsiTheme="majorHAnsi" w:cstheme="majorBidi"/>
          <w:color w:val="2F5496" w:themeColor="accent1" w:themeShade="BF"/>
          <w:sz w:val="26"/>
          <w:szCs w:val="26"/>
          <w:lang w:eastAsia="zh-CN"/>
        </w:rPr>
        <w:t>Summary of Findings: Revisiting the Research Questions</w:t>
      </w:r>
      <w:bookmarkEnd w:id="168"/>
    </w:p>
    <w:p w14:paraId="31C7901F" w14:textId="77777777" w:rsidR="00BE2C1D" w:rsidRPr="00BE2C1D" w:rsidRDefault="00BE2C1D" w:rsidP="00BE2C1D">
      <w:pPr>
        <w:spacing w:line="360" w:lineRule="auto"/>
        <w:jc w:val="both"/>
        <w:rPr>
          <w:rFonts w:eastAsiaTheme="minorEastAsia"/>
          <w:lang w:eastAsia="zh-CN"/>
        </w:rPr>
      </w:pPr>
      <w:r w:rsidRPr="00BE2C1D">
        <w:rPr>
          <w:rFonts w:eastAsiaTheme="minorEastAsia"/>
          <w:lang w:eastAsia="zh-CN"/>
        </w:rPr>
        <w:t xml:space="preserve">In this part, I offer a summary of the key findings of each analysis chapter, considering the insights the participants’ stories provided into different aspects of their schooling experiences. Then, I focus on four cross-cutting themes that run through all analyses chapters, namely the (dys)appearance of disability, resistance, the disregard of disabled young people’s voice and input and the emotional and hidden labour in relation to psychoemotional disablism. </w:t>
      </w:r>
    </w:p>
    <w:p w14:paraId="4FF0C403" w14:textId="77777777" w:rsidR="00BE2C1D" w:rsidRPr="00BE2C1D" w:rsidRDefault="00BE2C1D" w:rsidP="00BE2C1D">
      <w:pPr>
        <w:keepNext/>
        <w:keepLines/>
        <w:spacing w:before="40" w:after="0" w:line="360" w:lineRule="auto"/>
        <w:outlineLvl w:val="2"/>
        <w:rPr>
          <w:rFonts w:asciiTheme="majorHAnsi" w:eastAsiaTheme="majorEastAsia" w:hAnsiTheme="majorHAnsi" w:cstheme="majorBidi"/>
          <w:color w:val="1F3763" w:themeColor="accent1" w:themeShade="7F"/>
          <w:sz w:val="24"/>
          <w:szCs w:val="24"/>
          <w:lang w:eastAsia="zh-CN"/>
        </w:rPr>
      </w:pPr>
      <w:bookmarkStart w:id="169" w:name="_Toc37963595"/>
      <w:bookmarkStart w:id="170" w:name="_Toc39337404"/>
      <w:bookmarkStart w:id="171" w:name="_Toc39340154"/>
      <w:bookmarkStart w:id="172" w:name="_Toc39585288"/>
      <w:r w:rsidRPr="00BE2C1D">
        <w:rPr>
          <w:rFonts w:asciiTheme="majorHAnsi" w:eastAsiaTheme="majorEastAsia" w:hAnsiTheme="majorHAnsi" w:cstheme="majorBidi"/>
          <w:color w:val="1F3763" w:themeColor="accent1" w:themeShade="7F"/>
          <w:sz w:val="24"/>
          <w:szCs w:val="24"/>
          <w:lang w:eastAsia="zh-CN"/>
        </w:rPr>
        <w:lastRenderedPageBreak/>
        <w:t>Research Question: How did young people with RG experience and navigate different school spaces of their secondary schools?</w:t>
      </w:r>
      <w:bookmarkEnd w:id="169"/>
      <w:bookmarkEnd w:id="170"/>
      <w:bookmarkEnd w:id="171"/>
      <w:bookmarkEnd w:id="172"/>
    </w:p>
    <w:p w14:paraId="629C7D41" w14:textId="77777777" w:rsidR="00BE2C1D" w:rsidRPr="00BE2C1D" w:rsidRDefault="00BE2C1D" w:rsidP="00BE2C1D">
      <w:pPr>
        <w:spacing w:line="360" w:lineRule="auto"/>
        <w:jc w:val="both"/>
        <w:rPr>
          <w:rFonts w:eastAsiaTheme="minorEastAsia"/>
          <w:lang w:eastAsia="zh-CN"/>
        </w:rPr>
      </w:pPr>
      <w:r w:rsidRPr="00BE2C1D">
        <w:rPr>
          <w:rFonts w:eastAsiaTheme="minorEastAsia"/>
          <w:lang w:eastAsia="zh-CN"/>
        </w:rPr>
        <w:t>Chapter 4 explored disabled young people’s ‘spatialities of disability’ (Goodley and Runswick-Cole 2015a: 53), that is, how they were expected to inhabit certain school spaces and whether they felt a sense of belonging in them. In particular, this chapter examined how young people experienced and navigated certain school spaces as ‘mature geographic subjects’, that is</w:t>
      </w:r>
    </w:p>
    <w:p w14:paraId="287E2279" w14:textId="77777777" w:rsidR="00BE2C1D" w:rsidRPr="00BE2C1D" w:rsidRDefault="00BE2C1D" w:rsidP="00BE2C1D">
      <w:pPr>
        <w:spacing w:line="360" w:lineRule="auto"/>
        <w:ind w:left="720"/>
        <w:jc w:val="both"/>
        <w:rPr>
          <w:rFonts w:eastAsiaTheme="minorEastAsia"/>
          <w:sz w:val="20"/>
          <w:szCs w:val="20"/>
          <w:lang w:eastAsia="zh-CN"/>
        </w:rPr>
      </w:pPr>
      <w:r w:rsidRPr="00BE2C1D">
        <w:rPr>
          <w:rFonts w:eastAsiaTheme="minorEastAsia"/>
          <w:sz w:val="20"/>
          <w:szCs w:val="20"/>
          <w:lang w:eastAsia="zh-CN"/>
        </w:rPr>
        <w:t>navigating environments (literally and figuratively) with insight, generating their own multiple subjectivities, adapting their identities to changing environments to generate the best possible fit in that given time and place (Stephens et al. 2015: 206).</w:t>
      </w:r>
    </w:p>
    <w:p w14:paraId="09FD391A" w14:textId="77777777" w:rsidR="00BE2C1D" w:rsidRPr="00BE2C1D" w:rsidRDefault="00BE2C1D" w:rsidP="00BE2C1D">
      <w:pPr>
        <w:spacing w:line="360" w:lineRule="auto"/>
        <w:jc w:val="both"/>
        <w:rPr>
          <w:rFonts w:eastAsiaTheme="minorEastAsia"/>
          <w:lang w:eastAsia="zh-CN"/>
        </w:rPr>
      </w:pPr>
      <w:r w:rsidRPr="00BE2C1D">
        <w:rPr>
          <w:rFonts w:eastAsiaTheme="minorEastAsia"/>
          <w:lang w:eastAsia="zh-CN"/>
        </w:rPr>
        <w:t xml:space="preserve">The school playground and the toilets were two spaces that were brought up in the participants’ stories. The playground was described and experienced by many participants as an inaccessible space, in terms of not accommodating their physical needs e.g. having somewhere to sit; as a panoptic space, where their bodies were exposed to their peers’ gaze; as an unsafe space, where they became the targets of real and cultural violence; as a gendered, hierarchical space, where their bodies (especially of male participants) were invalidated and marginalised. Due to these experiences, participants chose to spend their break-time in other spaces, such as classrooms and corridors, deprived of the opportunity to play and socialise in the space allocated for such activities. Regarding the school toilets, participants’ choices around which school toilet to use - the gender binary or the disabled toilet - varied, with some participants using exclusively the former or the latter and some having used both. Such choices were affected by a range of factors, such as the in/accessibility of the toilets, the social meanings attached to them (e.g. some participants distinguished between the disabled and the ‘normal’ toilets) and the issue of mediated access and mis/trust (teachers acting like the gatekeepers to the toilets, holding the key and regulating the access to them). These stories provided an insight into how both the school playground and the toilets were experienced as hierarchical (classifying gendered, disabled bodies), performative (performing one’s gender and dis/ability) and pedagogical (teaching and learning where someone belongs to and where not) spaces, where disability was either not welcome at all (playground) or had to be segregated (disabled toilets).       </w:t>
      </w:r>
    </w:p>
    <w:p w14:paraId="52845650" w14:textId="77777777" w:rsidR="00BE2C1D" w:rsidRPr="00BE2C1D" w:rsidRDefault="00BE2C1D" w:rsidP="00BE2C1D">
      <w:pPr>
        <w:spacing w:line="360" w:lineRule="auto"/>
        <w:jc w:val="both"/>
        <w:rPr>
          <w:rFonts w:eastAsiaTheme="minorEastAsia"/>
          <w:lang w:eastAsia="zh-CN"/>
        </w:rPr>
      </w:pPr>
      <w:r w:rsidRPr="00BE2C1D">
        <w:rPr>
          <w:rFonts w:eastAsiaTheme="minorEastAsia"/>
          <w:lang w:eastAsia="zh-CN"/>
        </w:rPr>
        <w:t xml:space="preserve">In the same chapter, I also considered the stories around the special chair some young people were provided with, as classrooms’ chairs were staturised (Kruse 2002), meaning that they were developed with the ‘typically developing’ child in mind (Imrie 2003; Pritchard 2016). Applying an assemblage analysis (Stephens et al. 2015; Feely 2019), the different, interactive components, both living (young people, peers, parents, SENCOs, Occupational Therapist) and non-living (special chairs, classroom design, furniture) were considered in terms of how they shaped the experience of this physical aid. </w:t>
      </w:r>
      <w:r w:rsidRPr="00BE2C1D">
        <w:rPr>
          <w:rFonts w:eastAsiaTheme="minorEastAsia"/>
          <w:lang w:eastAsia="zh-CN"/>
        </w:rPr>
        <w:lastRenderedPageBreak/>
        <w:t xml:space="preserve">The participants’ stories indicated that they acknowledged some of the benefits (e.g. for their posture) of it and the urgency for such equipment (e.g. to be able to perform daily tasks such as writing). However, they were also concerned about certain aspects of it, such as the fact that it stressed their difference and their peers’ hostile reactions to it. These stories  not only shed light on the ableist construction of school classrooms, which created the need for such physical aids in the first place, but also that the disabled young people valued other aspects of the special equipment, which went beyond the issues of physical health, such as not feeling that they were standing out. </w:t>
      </w:r>
    </w:p>
    <w:p w14:paraId="39F019EC" w14:textId="77777777" w:rsidR="00BE2C1D" w:rsidRPr="00BE2C1D" w:rsidRDefault="00BE2C1D" w:rsidP="00BE2C1D">
      <w:pPr>
        <w:spacing w:line="360" w:lineRule="auto"/>
        <w:jc w:val="both"/>
        <w:rPr>
          <w:rFonts w:eastAsiaTheme="minorEastAsia"/>
          <w:lang w:eastAsia="zh-CN"/>
        </w:rPr>
      </w:pPr>
      <w:r w:rsidRPr="00BE2C1D">
        <w:rPr>
          <w:rFonts w:eastAsiaTheme="minorEastAsia"/>
          <w:lang w:eastAsia="zh-CN"/>
        </w:rPr>
        <w:t xml:space="preserve">Moreover, with only one exception, they were not included in the discussion and the decision-making process about the equipment, with these aspects remaining silenced and with the young people being left to deal with their repercussions. The kind of support that the young people were provided with and the tensions that came with it was also an issue discussed in the next analysis chapter, which looked into the support the disabled young people received from their TAs. </w:t>
      </w:r>
    </w:p>
    <w:p w14:paraId="4B1F4AED" w14:textId="77777777" w:rsidR="00BE2C1D" w:rsidRPr="00BE2C1D" w:rsidRDefault="00BE2C1D" w:rsidP="00BE2C1D">
      <w:pPr>
        <w:keepNext/>
        <w:keepLines/>
        <w:spacing w:before="40" w:after="0" w:line="360" w:lineRule="auto"/>
        <w:outlineLvl w:val="2"/>
        <w:rPr>
          <w:sz w:val="24"/>
          <w:szCs w:val="24"/>
          <w:lang w:eastAsia="zh-CN"/>
        </w:rPr>
      </w:pPr>
      <w:bookmarkStart w:id="173" w:name="_Toc37963596"/>
      <w:bookmarkStart w:id="174" w:name="_Toc39337405"/>
      <w:bookmarkStart w:id="175" w:name="_Toc39340155"/>
      <w:bookmarkStart w:id="176" w:name="_Toc39585289"/>
      <w:r w:rsidRPr="00BE2C1D">
        <w:rPr>
          <w:rFonts w:asciiTheme="majorHAnsi" w:eastAsiaTheme="majorEastAsia" w:hAnsiTheme="majorHAnsi" w:cstheme="majorBidi"/>
          <w:color w:val="1F3763" w:themeColor="accent1" w:themeShade="7F"/>
          <w:sz w:val="24"/>
          <w:szCs w:val="24"/>
          <w:lang w:eastAsia="zh-CN"/>
        </w:rPr>
        <w:t xml:space="preserve">Research Question: </w:t>
      </w:r>
      <w:r w:rsidRPr="00BE2C1D">
        <w:rPr>
          <w:rFonts w:asciiTheme="majorHAnsi" w:hAnsiTheme="majorHAnsi" w:cstheme="majorBidi"/>
          <w:color w:val="1F3763" w:themeColor="accent1" w:themeShade="7F"/>
          <w:sz w:val="24"/>
          <w:szCs w:val="24"/>
          <w:lang w:eastAsia="zh-CN"/>
        </w:rPr>
        <w:t>What were the experiences of young people with RG with their teaching assistants?</w:t>
      </w:r>
      <w:bookmarkEnd w:id="173"/>
      <w:bookmarkEnd w:id="174"/>
      <w:bookmarkEnd w:id="175"/>
      <w:bookmarkEnd w:id="176"/>
      <w:r w:rsidRPr="00BE2C1D">
        <w:rPr>
          <w:rFonts w:asciiTheme="majorHAnsi" w:hAnsiTheme="majorHAnsi" w:cstheme="majorBidi"/>
          <w:color w:val="1F3763" w:themeColor="accent1" w:themeShade="7F"/>
          <w:sz w:val="24"/>
          <w:szCs w:val="24"/>
          <w:lang w:eastAsia="zh-CN"/>
        </w:rPr>
        <w:t xml:space="preserve">  </w:t>
      </w:r>
    </w:p>
    <w:p w14:paraId="0A8A37EC" w14:textId="77777777" w:rsidR="00BE2C1D" w:rsidRPr="00BE2C1D" w:rsidRDefault="00BE2C1D" w:rsidP="00BE2C1D">
      <w:pPr>
        <w:spacing w:line="360" w:lineRule="auto"/>
        <w:jc w:val="both"/>
        <w:rPr>
          <w:rFonts w:eastAsiaTheme="minorEastAsia"/>
          <w:lang w:eastAsia="zh-CN"/>
        </w:rPr>
      </w:pPr>
      <w:r w:rsidRPr="00BE2C1D">
        <w:rPr>
          <w:rFonts w:eastAsiaTheme="minorEastAsia"/>
          <w:lang w:eastAsia="zh-CN"/>
        </w:rPr>
        <w:t>Chapter 5 examined the effect TAs had on the participants’ schooling experiences, focusing specifically on the support the former provided the latter and their interactions. TAs constitute a key figure in the school life of disabled young people due to the time they spend together (</w:t>
      </w:r>
      <w:r w:rsidRPr="00BE2C1D">
        <w:rPr>
          <w:rFonts w:cstheme="minorHAnsi"/>
        </w:rPr>
        <w:t>Webster et al. 2010</w:t>
      </w:r>
      <w:r w:rsidRPr="00BE2C1D">
        <w:rPr>
          <w:rFonts w:eastAsiaTheme="minorEastAsia"/>
          <w:lang w:eastAsia="zh-CN"/>
        </w:rPr>
        <w:t>). The participants’ stories demonstrated the different forms of support they received from their TAs, from subject-specific and physical support to support with their learning, reflecting the fluidity of TAs’ role (Blatchford et al. 2009). Nevertheless, what was made clear through these stories was that while the participants welcomed certain forms of support e.g. physical support, they did not feel comfortable with other forms of support, such as with their learning, due to the implications and repercussions of such support. In particular, the participants were quite displeased when their TAs insisted on intervening with their learning, as it meant that they did not think of them as capable of doing their work independently. Also, the young people were worried that such an impression would be passed on to their peers and teachers.</w:t>
      </w:r>
    </w:p>
    <w:p w14:paraId="739019B2" w14:textId="77777777" w:rsidR="00BE2C1D" w:rsidRPr="00BE2C1D" w:rsidRDefault="00BE2C1D" w:rsidP="00BE2C1D">
      <w:pPr>
        <w:spacing w:line="360" w:lineRule="auto"/>
        <w:jc w:val="both"/>
        <w:rPr>
          <w:rFonts w:eastAsiaTheme="minorEastAsia"/>
          <w:lang w:eastAsia="zh-CN"/>
        </w:rPr>
      </w:pPr>
      <w:r w:rsidRPr="00BE2C1D">
        <w:rPr>
          <w:rFonts w:eastAsiaTheme="minorEastAsia"/>
          <w:lang w:eastAsia="zh-CN"/>
        </w:rPr>
        <w:t xml:space="preserve">Moreover, the participants expressed their concerns about the ‘threat’ TAs posed to their independence by questioning their capabilities to do certain things by themselves. Similar to support with learning, not only were participants concerned about not becoming independent, especially as they were approaching adulthood, but also because they did not want to be seen as dependent by others, including their teachers, their peers and their parents. These stories demonstrated how TAs’ support could function as a ‘double-edged sword’ (Mortier et al. 2010). On the one hand, such support enabled participants to navigate inaccessible spaces or accommodated for their impairment effects. </w:t>
      </w:r>
      <w:r w:rsidRPr="00BE2C1D">
        <w:rPr>
          <w:rFonts w:eastAsiaTheme="minorEastAsia"/>
          <w:lang w:eastAsia="zh-CN"/>
        </w:rPr>
        <w:lastRenderedPageBreak/>
        <w:t xml:space="preserve">On the other hand, it reinforced an understanding of them as always in need of help, as less smart, something they did not desire. Similar to the case of the equipment, these stories revealed dimensions of support that were not always visible or thought of, as articulated by the recipients of this support, the disabled young people themselves. Moreover, not only did participants not have any input into the kind of support they were provided with, but, even when they tried to clarify to their TAs what type of support they were happy with (and what not), they found themselves getting disciplined for not complying with TAs’ institutional power.   </w:t>
      </w:r>
    </w:p>
    <w:p w14:paraId="7A36AE02" w14:textId="77777777" w:rsidR="00BE2C1D" w:rsidRPr="00BE2C1D" w:rsidRDefault="00BE2C1D" w:rsidP="00BE2C1D">
      <w:pPr>
        <w:spacing w:line="360" w:lineRule="auto"/>
        <w:jc w:val="both"/>
        <w:rPr>
          <w:rFonts w:eastAsiaTheme="minorEastAsia"/>
          <w:lang w:eastAsia="zh-CN"/>
        </w:rPr>
      </w:pPr>
      <w:r w:rsidRPr="00BE2C1D">
        <w:rPr>
          <w:rFonts w:eastAsiaTheme="minorEastAsia"/>
          <w:lang w:eastAsia="zh-CN"/>
        </w:rPr>
        <w:t>Another key role TAs played was that they positioned the disabled young people under constant surveillance. Participants discussed the omnipresence of the TAs in their school life, as they did not leave them out of their sight, neither in the classroom nor in the playground. The aim of surveillance was the production of the docile, self-governed subject (Foucault 1977), with their TAs disciplining the participants when they did not conform with the school’s regulations. Participants also addressed the repercussions surveillance had on their school life, such as how the presence of TAs had an impact on different aspects of their relationships with their peers e.g. what they could discuss with them. Nevertheless, they resisted their surveillance and governance through various channels e.g. by reminding their TAs that they were not their teacher and, hence, they should not intervene with their learning. These stories illuminated a role of TAs (as agents of surveillance) that has drawn less attention (Allan 1996),  a role with which the disabled young people were the most annoyed and which they experienced as an asymmetrical power relationship e.g. through their hierarchical observation and the normalising gaze (Foucault 1977). Finally, the multisensory nature of surveillance, meaning that TAs did see and listen to everything participants did and said, was also raised in these stories</w:t>
      </w:r>
      <w:r w:rsidRPr="00BE2C1D">
        <w:rPr>
          <w:rFonts w:eastAsiaTheme="minorEastAsia"/>
          <w:color w:val="FF0000"/>
          <w:lang w:eastAsia="zh-CN"/>
        </w:rPr>
        <w:t xml:space="preserve">. </w:t>
      </w:r>
    </w:p>
    <w:p w14:paraId="1EBE75BE" w14:textId="77777777" w:rsidR="00BE2C1D" w:rsidRPr="00BE2C1D" w:rsidRDefault="00BE2C1D" w:rsidP="00BE2C1D">
      <w:pPr>
        <w:keepNext/>
        <w:keepLines/>
        <w:spacing w:before="40" w:after="0" w:line="360" w:lineRule="auto"/>
        <w:jc w:val="both"/>
        <w:outlineLvl w:val="2"/>
        <w:rPr>
          <w:rFonts w:asciiTheme="majorHAnsi" w:eastAsiaTheme="majorEastAsia" w:hAnsiTheme="majorHAnsi" w:cstheme="majorBidi"/>
          <w:color w:val="1F3763" w:themeColor="accent1" w:themeShade="7F"/>
          <w:sz w:val="24"/>
          <w:szCs w:val="24"/>
          <w:lang w:eastAsia="zh-CN"/>
        </w:rPr>
      </w:pPr>
      <w:bookmarkStart w:id="177" w:name="_Toc37963597"/>
      <w:bookmarkStart w:id="178" w:name="_Toc39337406"/>
      <w:bookmarkStart w:id="179" w:name="_Toc39340156"/>
      <w:bookmarkStart w:id="180" w:name="_Toc39585290"/>
      <w:r w:rsidRPr="00BE2C1D">
        <w:rPr>
          <w:rFonts w:asciiTheme="majorHAnsi" w:eastAsiaTheme="majorEastAsia" w:hAnsiTheme="majorHAnsi" w:cstheme="majorBidi"/>
          <w:color w:val="1F3763" w:themeColor="accent1" w:themeShade="7F"/>
          <w:sz w:val="24"/>
          <w:szCs w:val="24"/>
          <w:lang w:eastAsia="zh-CN"/>
        </w:rPr>
        <w:t>Research Question: What were the experiences of young people with RG with their class teachers?</w:t>
      </w:r>
      <w:bookmarkEnd w:id="177"/>
      <w:bookmarkEnd w:id="178"/>
      <w:bookmarkEnd w:id="179"/>
      <w:bookmarkEnd w:id="180"/>
    </w:p>
    <w:p w14:paraId="0BB7CCF9" w14:textId="77777777" w:rsidR="00BE2C1D" w:rsidRPr="00BE2C1D" w:rsidRDefault="00BE2C1D" w:rsidP="00BE2C1D">
      <w:pPr>
        <w:spacing w:line="360" w:lineRule="auto"/>
        <w:jc w:val="both"/>
        <w:rPr>
          <w:rFonts w:eastAsiaTheme="minorEastAsia"/>
          <w:lang w:eastAsia="zh-CN"/>
        </w:rPr>
      </w:pPr>
      <w:r w:rsidRPr="00BE2C1D">
        <w:rPr>
          <w:rFonts w:eastAsiaTheme="minorEastAsia"/>
          <w:lang w:eastAsia="zh-CN"/>
        </w:rPr>
        <w:t>In Chapter 6, the interactions of participants with their class teachers was the topic under investigation. Drawing on the concept of dys-appearance</w:t>
      </w:r>
      <w:r w:rsidRPr="00BE2C1D">
        <w:rPr>
          <w:rFonts w:eastAsiaTheme="minorEastAsia"/>
          <w:vertAlign w:val="superscript"/>
          <w:lang w:eastAsia="zh-CN"/>
        </w:rPr>
        <w:footnoteReference w:id="143"/>
      </w:r>
      <w:r w:rsidRPr="00BE2C1D">
        <w:rPr>
          <w:rFonts w:eastAsiaTheme="minorEastAsia"/>
          <w:lang w:eastAsia="zh-CN"/>
        </w:rPr>
        <w:t xml:space="preserve"> (Leder 1990), that is how disability made an appearance as a problem (Michalko 2009), I explored how teachers held the participants (‘bodies’) responsible for their dys-appearance. Participants considered how their bodies were pathologised by their teachers for appearing as ‘out of time’ and ‘out of place’. They appeared as ‘out of time’, when they did not conform to the rigid school timeframes, which adhered to the cultural standard time (Michalko 2010). They appeared as ‘out of place’, where they inhabited spaces that they were not supposed to do so due to the policies in place (e.g. direct disablism, including inaccessible spaces and health and safety regulations) or for not embodying the ‘typically developing’ child that such spaces </w:t>
      </w:r>
      <w:r w:rsidRPr="00BE2C1D">
        <w:rPr>
          <w:rFonts w:eastAsiaTheme="minorEastAsia"/>
          <w:lang w:eastAsia="zh-CN"/>
        </w:rPr>
        <w:lastRenderedPageBreak/>
        <w:t>were meant for</w:t>
      </w:r>
      <w:r w:rsidRPr="00BE2C1D">
        <w:rPr>
          <w:rFonts w:eastAsiaTheme="minorEastAsia"/>
          <w:vertAlign w:val="superscript"/>
          <w:lang w:eastAsia="zh-CN"/>
        </w:rPr>
        <w:footnoteReference w:id="144"/>
      </w:r>
      <w:r w:rsidRPr="00BE2C1D">
        <w:rPr>
          <w:rFonts w:eastAsiaTheme="minorEastAsia"/>
          <w:lang w:eastAsia="zh-CN"/>
        </w:rPr>
        <w:t xml:space="preserve"> (e.g. indirect disablism, including teachers questioning their presence in the class through staring). Not only did they appear in such ways, but the participants were also compelled by their teachers to confess and take responsibility in front of their peers for their dys-appearance, as if it was their fault. These stories illustrated how the structural organisation of inclusive schools, including their ableist time frames and spaces, reinforced an understanding of disability as an individual problem that had to be normalised, a discourse which was also adopted and reinforced by the teachers. </w:t>
      </w:r>
    </w:p>
    <w:p w14:paraId="253F22DB" w14:textId="77777777" w:rsidR="00BE2C1D" w:rsidRPr="00BE2C1D" w:rsidRDefault="00BE2C1D" w:rsidP="00BE2C1D">
      <w:pPr>
        <w:spacing w:line="360" w:lineRule="auto"/>
        <w:jc w:val="both"/>
        <w:rPr>
          <w:rFonts w:eastAsiaTheme="minorEastAsia"/>
          <w:lang w:eastAsia="zh-CN"/>
        </w:rPr>
      </w:pPr>
      <w:r w:rsidRPr="00BE2C1D">
        <w:rPr>
          <w:rFonts w:eastAsiaTheme="minorEastAsia"/>
          <w:lang w:eastAsia="zh-CN"/>
        </w:rPr>
        <w:t xml:space="preserve">Similar to the TAs, participants also spoke about how their capabilities were interrogated by their teachers. Such interrogation took different forms, such as having their abilities to perform daily tasks questioned or having their academic skills under the microscope. The interrogation was also followed up with further actions, such as teachers determining their place in the classroom or making participants feel that they had to prove themselves constantly. These stories demonstrated that teachers’ ‘judgements of ability are not value free’ (Davis and Watson, 2001: 684) and were based on fixed notions about the young people’s impairment (Davis and Watson 2001). </w:t>
      </w:r>
    </w:p>
    <w:p w14:paraId="02290075" w14:textId="77777777" w:rsidR="00BE2C1D" w:rsidRPr="00BE2C1D" w:rsidRDefault="00BE2C1D" w:rsidP="00BE2C1D">
      <w:pPr>
        <w:spacing w:line="360" w:lineRule="auto"/>
        <w:jc w:val="both"/>
        <w:rPr>
          <w:rFonts w:eastAsiaTheme="minorEastAsia"/>
          <w:lang w:eastAsia="zh-CN"/>
        </w:rPr>
      </w:pPr>
      <w:r w:rsidRPr="00BE2C1D">
        <w:rPr>
          <w:rFonts w:eastAsiaTheme="minorEastAsia"/>
          <w:lang w:eastAsia="zh-CN"/>
        </w:rPr>
        <w:t xml:space="preserve">Moreover, the disabled young people referred to their experiences of P.E. (and of P.E. teachers). They shared stories of exclusion, which indicated their exclusion from the P.E. lesson and the alternatives options they were provided with, such as staying in class; stories of accommodation, which showed the attempts of P.E. teachers to include the young people through the adaptation of some activities; and stories of invalidation, which demonstrated how the dominant sport culture (with the focus on football and rugby) led to the invalidation of the (male) participants’ bodies, whose sporty achievements were overlooked.  Not only did these stories capture the range of experiences the young people had from P.E., but they also illustrated the inherent ableism in sports (Evans 2004; Giese and Ruin 2018), which often remains unquestioned and unchallenged. Furthermore, the gendered dimension of dys-appearance was raised in these stories, with female participants being more often excluded from P.E. and the male participants being invalidated for not performing hegemonic masculinity through the participation in the exclusive dominant sport culture.             </w:t>
      </w:r>
    </w:p>
    <w:p w14:paraId="7A033442" w14:textId="77777777" w:rsidR="00BE2C1D" w:rsidRPr="00BE2C1D" w:rsidRDefault="00BE2C1D" w:rsidP="00BE2C1D">
      <w:pPr>
        <w:spacing w:line="360" w:lineRule="auto"/>
        <w:jc w:val="both"/>
        <w:rPr>
          <w:rFonts w:eastAsiaTheme="minorEastAsia"/>
          <w:lang w:eastAsia="zh-CN"/>
        </w:rPr>
      </w:pPr>
      <w:r w:rsidRPr="00BE2C1D">
        <w:rPr>
          <w:rFonts w:eastAsiaTheme="minorEastAsia"/>
          <w:lang w:eastAsia="zh-CN"/>
        </w:rPr>
        <w:t xml:space="preserve">Additionally, participants discussed how they responded to the dys-appearance of their bodies (what Leder (1990) referred to as ‘telic demand’). The two most common responses were resistance by removing the reason for their dys-appearance from their bodies to the disabling structures and attitudes of their teachers and, secondly, by putting hidden labour (Scully 2010) to prove themselves capable to their teachers.  </w:t>
      </w:r>
    </w:p>
    <w:p w14:paraId="67F8CB2D" w14:textId="77777777" w:rsidR="00BE2C1D" w:rsidRPr="00BE2C1D" w:rsidRDefault="00BE2C1D" w:rsidP="00BE2C1D">
      <w:pPr>
        <w:keepNext/>
        <w:keepLines/>
        <w:spacing w:before="40" w:after="0" w:line="360" w:lineRule="auto"/>
        <w:outlineLvl w:val="2"/>
        <w:rPr>
          <w:rFonts w:asciiTheme="majorHAnsi" w:eastAsiaTheme="majorEastAsia" w:hAnsiTheme="majorHAnsi" w:cstheme="majorBidi"/>
          <w:color w:val="1F3763" w:themeColor="accent1" w:themeShade="7F"/>
          <w:sz w:val="24"/>
          <w:szCs w:val="24"/>
          <w:lang w:eastAsia="zh-CN"/>
        </w:rPr>
      </w:pPr>
      <w:bookmarkStart w:id="182" w:name="_Toc37963598"/>
      <w:bookmarkStart w:id="183" w:name="_Toc39337407"/>
      <w:bookmarkStart w:id="184" w:name="_Toc39340157"/>
      <w:bookmarkStart w:id="185" w:name="_Toc39585291"/>
      <w:r w:rsidRPr="00BE2C1D">
        <w:rPr>
          <w:rFonts w:asciiTheme="majorHAnsi" w:eastAsiaTheme="majorEastAsia" w:hAnsiTheme="majorHAnsi" w:cstheme="majorBidi"/>
          <w:color w:val="1F3763" w:themeColor="accent1" w:themeShade="7F"/>
          <w:sz w:val="24"/>
          <w:szCs w:val="24"/>
          <w:lang w:eastAsia="zh-CN"/>
        </w:rPr>
        <w:lastRenderedPageBreak/>
        <w:t>Research Question: What were the experiences of young people with their peers?</w:t>
      </w:r>
      <w:bookmarkEnd w:id="182"/>
      <w:bookmarkEnd w:id="183"/>
      <w:bookmarkEnd w:id="184"/>
      <w:bookmarkEnd w:id="185"/>
    </w:p>
    <w:p w14:paraId="4E977036" w14:textId="77777777" w:rsidR="00BE2C1D" w:rsidRPr="00BE2C1D" w:rsidRDefault="00BE2C1D" w:rsidP="00BE2C1D">
      <w:pPr>
        <w:spacing w:line="360" w:lineRule="auto"/>
        <w:jc w:val="both"/>
        <w:rPr>
          <w:rFonts w:eastAsiaTheme="minorEastAsia"/>
          <w:lang w:eastAsia="zh-CN"/>
        </w:rPr>
      </w:pPr>
      <w:r w:rsidRPr="00BE2C1D">
        <w:rPr>
          <w:rFonts w:eastAsiaTheme="minorEastAsia"/>
          <w:lang w:eastAsia="zh-CN"/>
        </w:rPr>
        <w:t>Chapter 7 looked into the everyday violence the disabled young people endured at schools. Drawing on Goodley’s and Runswick-Cole’s (2011a) analytical distinction between the different - but overlapping - forms of violence, - the real, the cultural, the psycho-emotional and the systemic - I discussed participants’ experiences of such violence, its repercussions and how they dealt with it. Participants shared stories of real violence, such as being picked up and thrown away or getting punched and kicked by their peers; stories of cultural violence, including name calling and teasing through the use of derogative terms; stories of psycho-emotional violence, which illustrated the psycho-emotional toll of violence on their well-being, such as seeking their self-isolation, feeling hopeless or resigning; stories of systemic violence, which indicated how schools were also accountable for the violence they faced, meaning that the procedures they had in place to tackle violence and which the young people were compelled to follow proved ineffective. These stories, as hard as they were to listen to and to re-tell, provided a valuable insight into the multifaceted nature of violence of disablism at schools and how such violence was embodied, felt and perpetuated.</w:t>
      </w:r>
    </w:p>
    <w:p w14:paraId="22B8B2EB" w14:textId="77777777" w:rsidR="00BE2C1D" w:rsidRPr="00BE2C1D" w:rsidRDefault="00BE2C1D" w:rsidP="00BE2C1D">
      <w:pPr>
        <w:spacing w:line="360" w:lineRule="auto"/>
        <w:jc w:val="both"/>
        <w:rPr>
          <w:rFonts w:eastAsiaTheme="minorEastAsia"/>
          <w:lang w:eastAsia="zh-CN"/>
        </w:rPr>
      </w:pPr>
      <w:r w:rsidRPr="00BE2C1D">
        <w:rPr>
          <w:rFonts w:eastAsiaTheme="minorEastAsia"/>
          <w:lang w:eastAsia="zh-CN"/>
        </w:rPr>
        <w:t>In addition, participants referred to their resistance to such violence, demonstrating a wide repertoire of resisting strategies: from hitting and speaking back or joking and appearing unaffected from it to friends intervening in support of them, which worked against the narrative of disabled young people getting bullied precisely because of a lack of friends (</w:t>
      </w:r>
      <w:r w:rsidRPr="00BE2C1D">
        <w:rPr>
          <w:rFonts w:eastAsiaTheme="minorEastAsia" w:cstheme="minorHAnsi"/>
          <w:lang w:eastAsia="zh-CN"/>
        </w:rPr>
        <w:t>Espelage et al. 2015</w:t>
      </w:r>
      <w:r w:rsidRPr="00BE2C1D">
        <w:rPr>
          <w:rFonts w:eastAsiaTheme="minorEastAsia"/>
          <w:lang w:eastAsia="zh-CN"/>
        </w:rPr>
        <w:t>). In opposition to the construction of victims of bullying as passive, which has been exacerbated in the case of disabled young people due to the deficits attributed to the presence of disability (</w:t>
      </w:r>
      <w:r w:rsidRPr="00BE2C1D">
        <w:rPr>
          <w:rFonts w:eastAsiaTheme="minorEastAsia" w:cstheme="minorHAnsi"/>
          <w:lang w:eastAsia="zh-CN"/>
        </w:rPr>
        <w:t>Rose et al. 2015</w:t>
      </w:r>
      <w:r w:rsidRPr="00BE2C1D">
        <w:rPr>
          <w:rFonts w:eastAsiaTheme="minorEastAsia"/>
          <w:lang w:eastAsia="zh-CN"/>
        </w:rPr>
        <w:t xml:space="preserve">), these stories depicted disabled young people as agentic subjects, who engaged in various forms of resistance. Nevertheless, not only did resistance not always bring about the effects participants aimed at e.g. eliminating the violence against them, but it also left participants even more hopeless than before, making them lose any faith they might have had to the structures and the staff members. For instance, while certain participants were instructed to comply with the school procedures in relation to tackling bullying, which included disclosing the incident to a staff member, many of them found out that disclosure made no difference. Moreover, when they chose to use other strategies, such as hitting or speaking back, they found themselves getting disciplined (in the Foucauldian sense of the term) for not following the procedure in place. Therefore, besides the exhibition of agency from the participants, these stories also warned against the romanticisation of resistance as a solution to the problem of violence, showing how certain resisting strategies that did not comply with the school’s recommended strategies could position the young people in more precarious positions.    </w:t>
      </w:r>
    </w:p>
    <w:p w14:paraId="22B4990C" w14:textId="77777777" w:rsidR="00BE2C1D" w:rsidRPr="00BE2C1D" w:rsidRDefault="00BE2C1D" w:rsidP="00BE2C1D">
      <w:pPr>
        <w:spacing w:line="360" w:lineRule="auto"/>
        <w:jc w:val="both"/>
        <w:rPr>
          <w:rFonts w:eastAsiaTheme="minorEastAsia"/>
          <w:lang w:eastAsia="zh-CN"/>
        </w:rPr>
      </w:pPr>
      <w:r w:rsidRPr="00BE2C1D">
        <w:rPr>
          <w:rFonts w:eastAsiaTheme="minorEastAsia"/>
          <w:lang w:eastAsia="zh-CN"/>
        </w:rPr>
        <w:t xml:space="preserve">Finally, the discussion of these stories was not based on the pathologisation of perpetrators as mean individuals with disposition to violence (Thornberg 2018) or of bystanders, including teachers who </w:t>
      </w:r>
      <w:r w:rsidRPr="00BE2C1D">
        <w:rPr>
          <w:rFonts w:eastAsiaTheme="minorEastAsia"/>
          <w:lang w:eastAsia="zh-CN"/>
        </w:rPr>
        <w:lastRenderedPageBreak/>
        <w:t>witnessed such incidents. On the contrary, the analysis of the stories was premised on an understanding of violence as a structural, systemic and cultural product, rather than merely an individual (‘s) act. The violence these young people encountered was linked with the construction of ab/normality and dis/ability in schools (Kousholt and Fisker 2015) as well as to society’s contradictory discourses around dis/ability (Goodley and Runswick-Cole 2011a).</w:t>
      </w:r>
    </w:p>
    <w:p w14:paraId="05601344" w14:textId="77777777" w:rsidR="00BE2C1D" w:rsidRPr="00BE2C1D" w:rsidRDefault="00BE2C1D" w:rsidP="00BE2C1D">
      <w:pPr>
        <w:keepNext/>
        <w:keepLines/>
        <w:spacing w:before="40" w:after="0" w:line="360" w:lineRule="auto"/>
        <w:jc w:val="both"/>
        <w:outlineLvl w:val="2"/>
        <w:rPr>
          <w:rFonts w:asciiTheme="majorHAnsi" w:eastAsiaTheme="majorEastAsia" w:hAnsiTheme="majorHAnsi" w:cstheme="majorBidi"/>
          <w:color w:val="1F3763" w:themeColor="accent1" w:themeShade="7F"/>
          <w:sz w:val="24"/>
          <w:szCs w:val="24"/>
          <w:lang w:eastAsia="zh-CN"/>
        </w:rPr>
      </w:pPr>
      <w:bookmarkStart w:id="186" w:name="_Toc39585292"/>
      <w:r w:rsidRPr="00BE2C1D">
        <w:rPr>
          <w:rFonts w:asciiTheme="majorHAnsi" w:eastAsiaTheme="majorEastAsia" w:hAnsiTheme="majorHAnsi" w:cstheme="majorBidi"/>
          <w:color w:val="1F3763" w:themeColor="accent1" w:themeShade="7F"/>
          <w:sz w:val="24"/>
          <w:szCs w:val="24"/>
          <w:lang w:eastAsia="zh-CN"/>
        </w:rPr>
        <w:t>Common Themes across the Chapters</w:t>
      </w:r>
      <w:bookmarkEnd w:id="186"/>
      <w:r w:rsidRPr="00BE2C1D">
        <w:rPr>
          <w:rFonts w:asciiTheme="majorHAnsi" w:eastAsiaTheme="majorEastAsia" w:hAnsiTheme="majorHAnsi" w:cstheme="majorBidi"/>
          <w:color w:val="1F3763" w:themeColor="accent1" w:themeShade="7F"/>
          <w:sz w:val="24"/>
          <w:szCs w:val="24"/>
          <w:lang w:eastAsia="zh-CN"/>
        </w:rPr>
        <w:t xml:space="preserve">  </w:t>
      </w:r>
    </w:p>
    <w:p w14:paraId="51CFCA21" w14:textId="77777777" w:rsidR="00BE2C1D" w:rsidRPr="00BE2C1D" w:rsidRDefault="00BE2C1D" w:rsidP="00BE2C1D">
      <w:pPr>
        <w:spacing w:line="360" w:lineRule="auto"/>
        <w:jc w:val="both"/>
        <w:rPr>
          <w:rFonts w:eastAsiaTheme="minorEastAsia"/>
          <w:lang w:eastAsia="zh-CN"/>
        </w:rPr>
      </w:pPr>
      <w:r w:rsidRPr="00BE2C1D">
        <w:rPr>
          <w:rFonts w:eastAsiaTheme="minorEastAsia"/>
          <w:lang w:eastAsia="zh-CN"/>
        </w:rPr>
        <w:t xml:space="preserve">After discussing the key findings of each chapter, this section examines four common themes that ran through the analyses chapters: the (dys)appearance of disability, resistance, the disregard of disabled young people’s input and voice and the emotional and hidden labour in relation to psychoemotional disablism. </w:t>
      </w:r>
    </w:p>
    <w:p w14:paraId="2B8A3732" w14:textId="77777777" w:rsidR="00BE2C1D" w:rsidRPr="00BE2C1D" w:rsidRDefault="00BE2C1D" w:rsidP="00BE2C1D">
      <w:pPr>
        <w:spacing w:line="360" w:lineRule="auto"/>
        <w:jc w:val="both"/>
        <w:rPr>
          <w:rFonts w:eastAsiaTheme="minorEastAsia"/>
          <w:lang w:eastAsia="zh-CN"/>
        </w:rPr>
      </w:pPr>
      <w:r w:rsidRPr="00BE2C1D">
        <w:rPr>
          <w:rFonts w:eastAsiaTheme="minorEastAsia"/>
          <w:lang w:eastAsia="zh-CN"/>
        </w:rPr>
        <w:t xml:space="preserve">In all the analyses chapters, disability functioned as a source of </w:t>
      </w:r>
      <w:r w:rsidRPr="00BE2C1D">
        <w:rPr>
          <w:rFonts w:eastAsiaTheme="minorEastAsia"/>
          <w:b/>
          <w:bCs/>
          <w:i/>
          <w:iCs/>
          <w:lang w:eastAsia="zh-CN"/>
        </w:rPr>
        <w:t>dys-appearance</w:t>
      </w:r>
      <w:r w:rsidRPr="00BE2C1D">
        <w:rPr>
          <w:rFonts w:eastAsiaTheme="minorEastAsia"/>
          <w:lang w:eastAsia="zh-CN"/>
        </w:rPr>
        <w:t xml:space="preserve">, meaning that it appeared as a problem (Michalko 2009). Disability appeared as something in need of normalisation (see chapter on teaching assistants), governance (see chapter on teachers) and accommodation (see chapter on space). Disability was also segregated (e.g. break-time in the classroom or separate toilets), excluded (e.g. from the P.E. lessons), invalidated (e.g. one’s position in the playground) and provoked violence (see chapter on the en/counters with violence). Nevertheless, as the participants’ stories demonstrated, disability’s appearance as a problem did not have to do with their individual bodies, but with the school as an institution designed and organised for non-disabled children and young people. In particular, the reason behind dys-appearance was the ableist time frames, the disabling and ableist spaces, the disabling attitudes of teachers and TAs and the contradictory discourses held around dis/ability. Moreover, these stories indicated the disruptive potential of disability to schooling, that is ‘how the presence of dis/ability has the potential to ‘trouble, re-shape and re-fashion’ the conventions of schooling (Goodley and Runswick-Cole 2015b: 241). </w:t>
      </w:r>
    </w:p>
    <w:p w14:paraId="70743F85" w14:textId="77777777" w:rsidR="00BE2C1D" w:rsidRPr="00BE2C1D" w:rsidRDefault="00BE2C1D" w:rsidP="00BE2C1D">
      <w:pPr>
        <w:spacing w:line="360" w:lineRule="auto"/>
        <w:jc w:val="both"/>
        <w:rPr>
          <w:rFonts w:eastAsiaTheme="minorEastAsia"/>
          <w:lang w:eastAsia="zh-CN"/>
        </w:rPr>
      </w:pPr>
      <w:r w:rsidRPr="00BE2C1D">
        <w:rPr>
          <w:rFonts w:eastAsiaTheme="minorEastAsia"/>
          <w:lang w:eastAsia="zh-CN"/>
        </w:rPr>
        <w:t>Against the dys-appearance of their bodies, participants developed various resisting strategies, which was another common theme across the analyses chapters. Resistance was understood in its Foucauldian sense, meaning that</w:t>
      </w:r>
    </w:p>
    <w:p w14:paraId="36B5C0A9" w14:textId="77777777" w:rsidR="00BE2C1D" w:rsidRPr="00BE2C1D" w:rsidRDefault="00BE2C1D" w:rsidP="00BE2C1D">
      <w:pPr>
        <w:spacing w:line="360" w:lineRule="auto"/>
        <w:ind w:left="720"/>
        <w:jc w:val="both"/>
        <w:rPr>
          <w:rFonts w:eastAsiaTheme="minorEastAsia" w:cstheme="minorHAnsi"/>
          <w:sz w:val="20"/>
          <w:szCs w:val="20"/>
          <w:lang w:eastAsia="zh-CN"/>
        </w:rPr>
      </w:pPr>
      <w:r w:rsidRPr="00BE2C1D">
        <w:rPr>
          <w:rFonts w:eastAsiaTheme="minorEastAsia" w:cstheme="minorHAnsi"/>
          <w:sz w:val="20"/>
          <w:szCs w:val="20"/>
          <w:lang w:eastAsia="zh-CN"/>
        </w:rPr>
        <w:t xml:space="preserve">[We find] a plurality of resistances, each of them a special case: resistances that are possible, necessary, improbable; others that are spontaneous, savage, solitary, concerted, rampant, or violent; still others that are quick to compromise, interested, or sacrificial; by definition they can only exist in the strategic field of power relations (Foucault 1981: 95). </w:t>
      </w:r>
    </w:p>
    <w:p w14:paraId="75ACEA3C" w14:textId="77777777" w:rsidR="00BE2C1D" w:rsidRPr="00BE2C1D" w:rsidRDefault="00BE2C1D" w:rsidP="00BE2C1D">
      <w:pPr>
        <w:spacing w:line="360" w:lineRule="auto"/>
        <w:jc w:val="both"/>
        <w:rPr>
          <w:rFonts w:eastAsiaTheme="minorEastAsia" w:cstheme="minorHAnsi"/>
          <w:lang w:eastAsia="zh-CN"/>
        </w:rPr>
      </w:pPr>
      <w:r w:rsidRPr="00BE2C1D">
        <w:rPr>
          <w:rFonts w:eastAsiaTheme="minorEastAsia" w:cstheme="minorHAnsi"/>
          <w:lang w:eastAsia="zh-CN"/>
        </w:rPr>
        <w:t xml:space="preserve">Nuanced modes of </w:t>
      </w:r>
      <w:r w:rsidRPr="00BE2C1D">
        <w:rPr>
          <w:rFonts w:eastAsiaTheme="minorEastAsia" w:cstheme="minorHAnsi"/>
          <w:b/>
          <w:bCs/>
          <w:i/>
          <w:iCs/>
          <w:lang w:eastAsia="zh-CN"/>
        </w:rPr>
        <w:t>resistance</w:t>
      </w:r>
      <w:r w:rsidRPr="00BE2C1D">
        <w:rPr>
          <w:rFonts w:eastAsiaTheme="minorEastAsia" w:cstheme="minorHAnsi"/>
          <w:lang w:eastAsia="zh-CN"/>
        </w:rPr>
        <w:t xml:space="preserve"> were identified in the participants’ stories: resistance to their subjectification, that is to be interpellated in fixed subject positions, such as less capable,</w:t>
      </w:r>
      <w:r w:rsidRPr="00BE2C1D">
        <w:rPr>
          <w:rFonts w:eastAsiaTheme="minorEastAsia" w:cstheme="minorHAnsi"/>
          <w:color w:val="FF0000"/>
          <w:lang w:eastAsia="zh-CN"/>
        </w:rPr>
        <w:t xml:space="preserve"> </w:t>
      </w:r>
      <w:r w:rsidRPr="00BE2C1D">
        <w:rPr>
          <w:rFonts w:eastAsiaTheme="minorEastAsia" w:cstheme="minorHAnsi"/>
          <w:lang w:eastAsia="zh-CN"/>
        </w:rPr>
        <w:t xml:space="preserve">less smart, less independent; resistance to their (self)governance, that is to govern their conduct or to have their </w:t>
      </w:r>
      <w:r w:rsidRPr="00BE2C1D">
        <w:rPr>
          <w:rFonts w:eastAsiaTheme="minorEastAsia" w:cstheme="minorHAnsi"/>
          <w:lang w:eastAsia="zh-CN"/>
        </w:rPr>
        <w:lastRenderedPageBreak/>
        <w:t>conduct governed; resistance to disablism, referring to the disabling structures and attitudes that they encountered; resistance to violence, referring to the resisting strategies against the different forms of violence they dealt with. Nevertheless, resistance in these stories was not romanticised or idealised, as it is the case sometimes with the resistance of marginalised groups (Armstrong and Murphy 2012), but its repercussions were also considered. For instance, certain forms of resistance, such as speaking back to those in power or hitting back resulted in the participants getting disciplined through punishment for acting as unruly bodies (Erevelles 2000).</w:t>
      </w:r>
    </w:p>
    <w:p w14:paraId="05A2EDA5" w14:textId="77777777" w:rsidR="00BE2C1D" w:rsidRPr="00BE2C1D" w:rsidRDefault="00BE2C1D" w:rsidP="00BE2C1D">
      <w:pPr>
        <w:spacing w:line="360" w:lineRule="auto"/>
        <w:jc w:val="both"/>
        <w:rPr>
          <w:rFonts w:eastAsiaTheme="minorEastAsia"/>
          <w:lang w:eastAsia="zh-CN"/>
        </w:rPr>
      </w:pPr>
      <w:r w:rsidRPr="00BE2C1D">
        <w:rPr>
          <w:rFonts w:eastAsiaTheme="minorEastAsia"/>
          <w:lang w:eastAsia="zh-CN"/>
        </w:rPr>
        <w:t xml:space="preserve">The </w:t>
      </w:r>
      <w:r w:rsidRPr="00BE2C1D">
        <w:rPr>
          <w:rFonts w:eastAsiaTheme="minorEastAsia"/>
          <w:b/>
          <w:bCs/>
          <w:i/>
          <w:iCs/>
          <w:lang w:eastAsia="zh-CN"/>
        </w:rPr>
        <w:t>disregard of disabled young people’s input and voice</w:t>
      </w:r>
      <w:r w:rsidRPr="00BE2C1D">
        <w:rPr>
          <w:rFonts w:eastAsiaTheme="minorEastAsia"/>
          <w:lang w:eastAsia="zh-CN"/>
        </w:rPr>
        <w:t xml:space="preserve"> was another theme that came up in the four analyses chapters. For instance, the support that they received e.g. a special chair or support from TAs, was predetermined by adults such as the SENCOs, teachers and their TAs, without any input from them at all. Nevertheless, as their stories demonstrated, their experiences of support brought up aspects that had not probably been considered by the former (the adults), such as the stigma of support, meaning that support was functioning as an ‘additional marker of difference’ (</w:t>
      </w:r>
      <w:r w:rsidRPr="00BE2C1D">
        <w:rPr>
          <w:rFonts w:eastAsiaTheme="minorEastAsia" w:cstheme="minorHAnsi"/>
          <w:lang w:eastAsia="zh-CN"/>
        </w:rPr>
        <w:t>Stephens et al. 2015: 213</w:t>
      </w:r>
      <w:r w:rsidRPr="00BE2C1D">
        <w:rPr>
          <w:rFonts w:eastAsiaTheme="minorEastAsia"/>
          <w:lang w:eastAsia="zh-CN"/>
        </w:rPr>
        <w:t>), which worked against the need for social conformity (ibid). Not only did their insights into support demonstrate its different dimensions e.g. considering both physical and social inclusion (Stephens et al. 2017), but also included recommendations about how support could be the best fit for purpose e.g. a special chair designed with the same colour as the rest of the school chairs or the existence of stools in the gender-binary toilets. Nevertheless, this experiential knowledge, which generated recommendations, was not taken on board, indicating the adult-child, non-disabled/disabled power relations. Furthermore, when participants spoke openly to their teachers about the injustices they experienced, e.g. inaccessible spaces or disclosed the violence they dealt with, their utterances were once again dismissed.</w:t>
      </w:r>
    </w:p>
    <w:p w14:paraId="56839181" w14:textId="77777777" w:rsidR="00BE2C1D" w:rsidRPr="00BE2C1D" w:rsidRDefault="00BE2C1D" w:rsidP="00BE2C1D">
      <w:pPr>
        <w:spacing w:line="360" w:lineRule="auto"/>
        <w:jc w:val="both"/>
        <w:rPr>
          <w:rFonts w:eastAsiaTheme="minorEastAsia"/>
          <w:lang w:eastAsia="zh-CN"/>
        </w:rPr>
      </w:pPr>
      <w:r w:rsidRPr="00BE2C1D">
        <w:rPr>
          <w:rFonts w:eastAsiaTheme="minorEastAsia"/>
          <w:lang w:eastAsia="zh-CN"/>
        </w:rPr>
        <w:t xml:space="preserve">A final common theme was the </w:t>
      </w:r>
      <w:r w:rsidRPr="00BE2C1D">
        <w:rPr>
          <w:rFonts w:eastAsiaTheme="minorEastAsia"/>
          <w:b/>
          <w:bCs/>
          <w:i/>
          <w:iCs/>
          <w:lang w:eastAsia="zh-CN"/>
        </w:rPr>
        <w:t>psycho-emotional disablism</w:t>
      </w:r>
      <w:r w:rsidRPr="00BE2C1D">
        <w:rPr>
          <w:rFonts w:eastAsiaTheme="minorEastAsia"/>
          <w:lang w:eastAsia="zh-CN"/>
        </w:rPr>
        <w:t xml:space="preserve"> the participants experienced and the </w:t>
      </w:r>
      <w:r w:rsidRPr="00BE2C1D">
        <w:rPr>
          <w:rFonts w:eastAsiaTheme="minorEastAsia"/>
          <w:b/>
          <w:bCs/>
          <w:i/>
          <w:iCs/>
          <w:lang w:eastAsia="zh-CN"/>
        </w:rPr>
        <w:t>emotional</w:t>
      </w:r>
      <w:r w:rsidRPr="00BE2C1D">
        <w:rPr>
          <w:rFonts w:eastAsiaTheme="minorEastAsia"/>
          <w:lang w:eastAsia="zh-CN"/>
        </w:rPr>
        <w:t xml:space="preserve"> (Hochschild 1979; Liddiard 2018) and </w:t>
      </w:r>
      <w:r w:rsidRPr="00BE2C1D">
        <w:rPr>
          <w:rFonts w:eastAsiaTheme="minorEastAsia"/>
          <w:b/>
          <w:bCs/>
          <w:i/>
          <w:iCs/>
          <w:lang w:eastAsia="zh-CN"/>
        </w:rPr>
        <w:t>hidden labour</w:t>
      </w:r>
      <w:r w:rsidRPr="00BE2C1D">
        <w:rPr>
          <w:rFonts w:eastAsiaTheme="minorEastAsia"/>
          <w:lang w:eastAsia="zh-CN"/>
        </w:rPr>
        <w:t xml:space="preserve"> (Scully 2010) they put to deal with it. Psycho-emotional disablism was raised in many stories, such as the psycho-emotional toll of violence, the relationship between psycho-emotional disablism and dys-appearance (Reeve 2012) or the psycho-emotional disablism related to the peers’ reactions to the participants’ special chairs. In order to cope with the toll of psycho-emotional disablism, participants put both emotional and hidden labour that was not acknowledged. For instance, participants referred to the hidden labour they put to prove themselves capable to their TAs and their teachers or the emotional labour to cope with the violence they experienced. However, this labour was not a matter of demonstrating resilience, but it was essential to deal with the everyday disablism they encountered.             </w:t>
      </w:r>
    </w:p>
    <w:p w14:paraId="1071F568" w14:textId="77777777" w:rsidR="00BE2C1D" w:rsidRPr="00BE2C1D" w:rsidRDefault="00BE2C1D" w:rsidP="00BE2C1D">
      <w:pPr>
        <w:spacing w:line="360" w:lineRule="auto"/>
        <w:jc w:val="both"/>
        <w:rPr>
          <w:rFonts w:eastAsiaTheme="minorEastAsia"/>
          <w:lang w:eastAsia="zh-CN"/>
        </w:rPr>
      </w:pPr>
      <w:r w:rsidRPr="00BE2C1D">
        <w:rPr>
          <w:rFonts w:eastAsiaTheme="minorEastAsia"/>
          <w:lang w:eastAsia="zh-CN"/>
        </w:rPr>
        <w:lastRenderedPageBreak/>
        <w:t xml:space="preserve">Having summarised the key findings of the analyses chapters and discussed four common themes that ran through them, in the next section I consider the wider implications of this thesis, focusing in particular on the implications for knowledge production, research methodology, educational policy and practitioners and future research. </w:t>
      </w:r>
    </w:p>
    <w:p w14:paraId="7EE04DB3" w14:textId="77777777" w:rsidR="00BE2C1D" w:rsidRPr="00BE2C1D" w:rsidRDefault="00BE2C1D" w:rsidP="00BE2C1D">
      <w:pPr>
        <w:keepNext/>
        <w:keepLines/>
        <w:spacing w:before="40" w:after="0" w:line="360" w:lineRule="auto"/>
        <w:outlineLvl w:val="1"/>
        <w:rPr>
          <w:rFonts w:asciiTheme="majorHAnsi" w:eastAsiaTheme="majorEastAsia" w:hAnsiTheme="majorHAnsi" w:cstheme="majorBidi"/>
          <w:color w:val="2F5496" w:themeColor="accent1" w:themeShade="BF"/>
          <w:sz w:val="26"/>
          <w:szCs w:val="26"/>
          <w:lang w:eastAsia="zh-CN"/>
        </w:rPr>
      </w:pPr>
      <w:bookmarkStart w:id="187" w:name="_Toc39585293"/>
      <w:r w:rsidRPr="00BE2C1D">
        <w:rPr>
          <w:rFonts w:asciiTheme="majorHAnsi" w:eastAsiaTheme="majorEastAsia" w:hAnsiTheme="majorHAnsi" w:cstheme="majorBidi"/>
          <w:color w:val="2F5496" w:themeColor="accent1" w:themeShade="BF"/>
          <w:sz w:val="26"/>
          <w:szCs w:val="26"/>
          <w:lang w:eastAsia="zh-CN"/>
        </w:rPr>
        <w:t>Wider Implications of The Thesis</w:t>
      </w:r>
      <w:bookmarkEnd w:id="187"/>
    </w:p>
    <w:p w14:paraId="7E11D1B2" w14:textId="77777777" w:rsidR="00BE2C1D" w:rsidRPr="00BE2C1D" w:rsidRDefault="00BE2C1D" w:rsidP="00BE2C1D">
      <w:pPr>
        <w:spacing w:line="360" w:lineRule="auto"/>
        <w:jc w:val="both"/>
        <w:rPr>
          <w:rFonts w:eastAsiaTheme="minorEastAsia"/>
          <w:lang w:eastAsia="zh-CN"/>
        </w:rPr>
      </w:pPr>
      <w:r w:rsidRPr="00BE2C1D">
        <w:rPr>
          <w:rFonts w:eastAsiaTheme="minorEastAsia"/>
          <w:lang w:eastAsia="zh-CN"/>
        </w:rPr>
        <w:t xml:space="preserve">The wider implications of this thesis are considered in this  part of the thesis, including the implications for knowledge production (original contributions to knowledge), implications for methodologies (contributions to research methodologies), implications for educational policy and practitioners (recommendations for educational policymakers and practitioners) and implications for future research (directions for future research inquiry).  </w:t>
      </w:r>
    </w:p>
    <w:p w14:paraId="0CA69BAB" w14:textId="77777777" w:rsidR="00BE2C1D" w:rsidRPr="00BE2C1D" w:rsidRDefault="00BE2C1D" w:rsidP="00BE2C1D">
      <w:pPr>
        <w:keepNext/>
        <w:keepLines/>
        <w:spacing w:before="40" w:after="0" w:line="360" w:lineRule="auto"/>
        <w:outlineLvl w:val="2"/>
        <w:rPr>
          <w:rFonts w:asciiTheme="majorHAnsi" w:eastAsiaTheme="majorEastAsia" w:hAnsiTheme="majorHAnsi" w:cstheme="majorBidi"/>
          <w:color w:val="1F3763" w:themeColor="accent1" w:themeShade="7F"/>
          <w:sz w:val="24"/>
          <w:szCs w:val="24"/>
          <w:lang w:eastAsia="zh-CN"/>
        </w:rPr>
      </w:pPr>
      <w:bookmarkStart w:id="188" w:name="_Toc39585294"/>
      <w:r w:rsidRPr="00BE2C1D">
        <w:rPr>
          <w:rFonts w:asciiTheme="majorHAnsi" w:eastAsiaTheme="majorEastAsia" w:hAnsiTheme="majorHAnsi" w:cstheme="majorBidi"/>
          <w:color w:val="1F3763" w:themeColor="accent1" w:themeShade="7F"/>
          <w:sz w:val="24"/>
          <w:szCs w:val="24"/>
          <w:lang w:eastAsia="zh-CN"/>
        </w:rPr>
        <w:t>Implications for Knowledge Production/Development</w:t>
      </w:r>
      <w:bookmarkEnd w:id="188"/>
      <w:r w:rsidRPr="00BE2C1D">
        <w:rPr>
          <w:rFonts w:asciiTheme="majorHAnsi" w:eastAsiaTheme="majorEastAsia" w:hAnsiTheme="majorHAnsi" w:cstheme="majorBidi"/>
          <w:color w:val="1F3763" w:themeColor="accent1" w:themeShade="7F"/>
          <w:sz w:val="24"/>
          <w:szCs w:val="24"/>
          <w:lang w:eastAsia="zh-CN"/>
        </w:rPr>
        <w:t xml:space="preserve"> </w:t>
      </w:r>
    </w:p>
    <w:p w14:paraId="6EAEA84A" w14:textId="77777777" w:rsidR="00BE2C1D" w:rsidRPr="00BE2C1D" w:rsidRDefault="00BE2C1D" w:rsidP="00BE2C1D">
      <w:pPr>
        <w:spacing w:line="360" w:lineRule="auto"/>
        <w:ind w:left="720"/>
        <w:jc w:val="both"/>
        <w:rPr>
          <w:rFonts w:eastAsiaTheme="minorEastAsia"/>
          <w:sz w:val="20"/>
          <w:szCs w:val="20"/>
          <w:lang w:eastAsia="zh-CN"/>
        </w:rPr>
      </w:pPr>
      <w:r w:rsidRPr="00BE2C1D">
        <w:rPr>
          <w:rFonts w:eastAsiaTheme="minorEastAsia"/>
          <w:sz w:val="20"/>
          <w:szCs w:val="20"/>
          <w:lang w:eastAsia="zh-CN"/>
        </w:rPr>
        <w:t>Perhaps because it has rarely been seen as a major problem, there is a dearth of research, particularly robust social research, about restricted growth (Shakespeare et al. 2010: 20).</w:t>
      </w:r>
    </w:p>
    <w:p w14:paraId="3D7B0F6D" w14:textId="77777777" w:rsidR="00BE2C1D" w:rsidRPr="00BE2C1D" w:rsidRDefault="00BE2C1D" w:rsidP="00BE2C1D">
      <w:pPr>
        <w:spacing w:line="360" w:lineRule="auto"/>
        <w:jc w:val="both"/>
        <w:rPr>
          <w:rFonts w:eastAsiaTheme="minorEastAsia"/>
          <w:lang w:eastAsia="zh-CN"/>
        </w:rPr>
      </w:pPr>
      <w:r w:rsidRPr="00BE2C1D">
        <w:rPr>
          <w:rFonts w:eastAsiaTheme="minorEastAsia"/>
          <w:lang w:eastAsia="zh-CN"/>
        </w:rPr>
        <w:t xml:space="preserve">This was a direct quote used in the introduction of the thesis, which pointed out the lack of sociological research focusing on RG, and I proposed that this had been the case especially with the schooling experiences of young people with RG.  One of the original contributions of this thesis then was that it provided a robust sociological analysis of such schooling experiences, drawing on the narratives of twenty young people and framing them within CDS and DCCS. In opposition to how young people with RG were known through medical and psychological discourses - as lacking height, self-esteem, cognitive and social skills, with behavioural problems, suffering due to their bodies - and through cultural representations - as entertaining figures, caricatures (Shakespeare et al. 2010), this thesis depicted the young people as agentic, knowledgeable and resistant. Their (counter)narratives relocated the source of ‘suffering’ from their bodies to the everyday encounters with disablism and ableism (Goodley 2014; Ktenidis 2020), materialised in the disabling and ableist structures and attitudes. </w:t>
      </w:r>
    </w:p>
    <w:p w14:paraId="350B9BD8" w14:textId="77777777" w:rsidR="00BE2C1D" w:rsidRPr="00BE2C1D" w:rsidRDefault="00BE2C1D" w:rsidP="00BE2C1D">
      <w:pPr>
        <w:spacing w:line="360" w:lineRule="auto"/>
        <w:jc w:val="both"/>
        <w:rPr>
          <w:rFonts w:eastAsiaTheme="minorEastAsia"/>
          <w:lang w:eastAsia="zh-CN"/>
        </w:rPr>
      </w:pPr>
      <w:r w:rsidRPr="00BE2C1D">
        <w:rPr>
          <w:rFonts w:eastAsiaTheme="minorEastAsia"/>
          <w:lang w:eastAsia="zh-CN"/>
        </w:rPr>
        <w:t xml:space="preserve">Specifically, this thesis provided an assemblage analysis which captured the disabled young people’s experiences of physical aids, which aimed to facilitate their physical inclusion into an ableist space such as the classroom but hindered their social inclusion. It employed a poststructuralist analysis which demonstrated how certain spaces, such as the playground and the toilets, were experienced as panoptic spaces and the power relations in those spaces, which affected the sense of belonging in them. A poststructuralist analysis also illuminated the power relations between TAs and the young people with RG, with the latter being under the constant surveillance of the former, with discipline being the main aim of such surveillance. Moreover, a social relational analysis indicated the benefits </w:t>
      </w:r>
      <w:r w:rsidRPr="00BE2C1D">
        <w:rPr>
          <w:rFonts w:eastAsiaTheme="minorEastAsia"/>
          <w:lang w:eastAsia="zh-CN"/>
        </w:rPr>
        <w:lastRenderedPageBreak/>
        <w:t xml:space="preserve">and the drawbacks which came with TAs’ support, especially since participants were recipients of it rather than agents of it (Mortier et al. 2011). This thesis also engaged with a phenomenological analysis which shed light on how participants’ bodies appeared as a problem to their teachers in need of governance for not conforming to the exclusive norms (e.g. bodily norms -not embodying the typically developing body or structural norms, such as the ableist time frames) that the institution to which they were supposed to be included had established and adhered to. Furthermore, it delved into the roots of school violence and its different forms, illustrating graphically the real, cultural, psycho-emotional and systemic violence participants were exposed to and their attempts to resist it.    </w:t>
      </w:r>
    </w:p>
    <w:p w14:paraId="19667FBE" w14:textId="77777777" w:rsidR="00BE2C1D" w:rsidRPr="00BE2C1D" w:rsidRDefault="00BE2C1D" w:rsidP="00BE2C1D">
      <w:pPr>
        <w:spacing w:line="360" w:lineRule="auto"/>
        <w:jc w:val="both"/>
        <w:rPr>
          <w:rFonts w:eastAsiaTheme="minorEastAsia"/>
          <w:lang w:eastAsia="zh-CN"/>
        </w:rPr>
      </w:pPr>
      <w:r w:rsidRPr="00BE2C1D">
        <w:rPr>
          <w:rFonts w:eastAsiaTheme="minorEastAsia"/>
          <w:lang w:eastAsia="zh-CN"/>
        </w:rPr>
        <w:t xml:space="preserve">Theory had an integral role in this thesis.  As Goodley et al. (2012: 4) argued, </w:t>
      </w:r>
    </w:p>
    <w:p w14:paraId="0C3F6070" w14:textId="77777777" w:rsidR="00BE2C1D" w:rsidRPr="00BE2C1D" w:rsidRDefault="00BE2C1D" w:rsidP="00BE2C1D">
      <w:pPr>
        <w:spacing w:line="360" w:lineRule="auto"/>
        <w:ind w:left="720"/>
        <w:jc w:val="both"/>
        <w:rPr>
          <w:rFonts w:eastAsiaTheme="minorEastAsia"/>
          <w:sz w:val="20"/>
          <w:szCs w:val="20"/>
          <w:lang w:eastAsia="zh-CN"/>
        </w:rPr>
      </w:pPr>
      <w:r w:rsidRPr="00BE2C1D">
        <w:rPr>
          <w:rFonts w:eastAsiaTheme="minorEastAsia"/>
          <w:sz w:val="20"/>
          <w:szCs w:val="20"/>
          <w:lang w:eastAsia="zh-CN"/>
        </w:rPr>
        <w:t>Theory should do some things in the social world: enhance our awareness of inequality and, wherever possible, permit new ways of thinking affirmatively about disability. Theory can shift our focus away from the perceived pathologies of disabled people on to the deficiencies of a disabling society and an ableist culture.</w:t>
      </w:r>
    </w:p>
    <w:p w14:paraId="766355F1" w14:textId="77777777" w:rsidR="00BE2C1D" w:rsidRPr="00BE2C1D" w:rsidRDefault="00BE2C1D" w:rsidP="00BE2C1D">
      <w:pPr>
        <w:spacing w:line="360" w:lineRule="auto"/>
        <w:jc w:val="both"/>
        <w:rPr>
          <w:rFonts w:eastAsiaTheme="minorEastAsia"/>
          <w:lang w:eastAsia="zh-CN"/>
        </w:rPr>
      </w:pPr>
      <w:r w:rsidRPr="00BE2C1D">
        <w:rPr>
          <w:rFonts w:eastAsiaTheme="minorEastAsia"/>
          <w:lang w:eastAsia="zh-CN"/>
        </w:rPr>
        <w:t>Contrary to the empiricism of DS (Hughes et al. 2012), the theorisation of the experiences of the disabled young people was at the front. Following Hughes et al. (2012: 315), I used ‘plunder as a method’, meaning that a range of theoretical frameworks -CDS, DCCS, poststructuralism, phenomenology, feminism, psychopolitics (among others) - were brought together to make sense and theorise the stories of the young people.</w:t>
      </w:r>
      <w:r w:rsidRPr="00BE2C1D">
        <w:rPr>
          <w:rFonts w:eastAsiaTheme="minorEastAsia"/>
          <w:vertAlign w:val="superscript"/>
          <w:lang w:eastAsia="zh-CN"/>
        </w:rPr>
        <w:footnoteReference w:id="145"/>
      </w:r>
      <w:r w:rsidRPr="00BE2C1D">
        <w:rPr>
          <w:rFonts w:eastAsiaTheme="minorEastAsia"/>
          <w:lang w:eastAsia="zh-CN"/>
        </w:rPr>
        <w:t xml:space="preserve"> Nevertheless, it is worth noting here CDS’ openness and inclusiveness of various critical theories on the one hand, and the marginalisation of disability within critical theories (Goodley et al. 2019). This was a common pattern across the analysis chapters. For instance, in the psychological literature on bullying, disability made an appearance as a problem, meaning that disabled young people were depicted either as aggressive bullies or provocative victims (Espalage et al. 2015). Even in more critical, intersectional approaches to bullying (Kousholt and Fisker 2015), disability was still rarely brought up (for exceptions Watts and Erevelles 2004). Similarly, Leder’s (1990) phenomenology and his concept of dys-appearance, which were utilised in the chapter on teachers, relied on a medicalised, deficit understanding of disability (Reeve 2012). It was only after engaging with the critiques of his work and the reworking of it through feminist (Yates et al. 2018) and Disability Studies scholars (Hughes and Paterson 1997) that the dys-appearance of the disabled body was politicised. Similar was the case with children’s geographies, which had neglected disabled children’s and young people’s experiences of space (Goodley and Ruswick-Cole 2015a) despite their disruptive potential.      </w:t>
      </w:r>
    </w:p>
    <w:p w14:paraId="5BE4F3AA" w14:textId="77777777" w:rsidR="00BE2C1D" w:rsidRPr="00BE2C1D" w:rsidRDefault="00BE2C1D" w:rsidP="00BE2C1D">
      <w:pPr>
        <w:spacing w:line="360" w:lineRule="auto"/>
        <w:jc w:val="both"/>
        <w:rPr>
          <w:rFonts w:eastAsiaTheme="minorEastAsia"/>
          <w:lang w:eastAsia="zh-CN"/>
        </w:rPr>
      </w:pPr>
      <w:r w:rsidRPr="00BE2C1D">
        <w:rPr>
          <w:rFonts w:eastAsiaTheme="minorEastAsia"/>
          <w:lang w:eastAsia="zh-CN"/>
        </w:rPr>
        <w:lastRenderedPageBreak/>
        <w:t xml:space="preserve">Another original contribution of this thesis was that it addressed the somatophobia of DS (Shakespeare and Watson 2001) by paying attention to the bodies of the disabled young people, that is, how they experienced their bodies as well as how their bodies shaped their experiences of the world. In doing so, I followed Paechter’s (2011: 139) suggestion, who proposed that   </w:t>
      </w:r>
    </w:p>
    <w:p w14:paraId="796496FF" w14:textId="77777777" w:rsidR="00BE2C1D" w:rsidRPr="00BE2C1D" w:rsidRDefault="00BE2C1D" w:rsidP="00BE2C1D">
      <w:pPr>
        <w:spacing w:line="360" w:lineRule="auto"/>
        <w:ind w:left="720"/>
        <w:jc w:val="both"/>
        <w:rPr>
          <w:rFonts w:eastAsiaTheme="minorEastAsia"/>
          <w:sz w:val="20"/>
          <w:szCs w:val="20"/>
          <w:lang w:eastAsia="zh-CN"/>
        </w:rPr>
      </w:pPr>
      <w:r w:rsidRPr="00BE2C1D">
        <w:rPr>
          <w:rFonts w:eastAsiaTheme="minorEastAsia"/>
          <w:sz w:val="20"/>
          <w:szCs w:val="20"/>
          <w:lang w:eastAsia="zh-CN"/>
        </w:rPr>
        <w:t>Overtly researching embodiment is, as I have argued, more difficult, but it may be possible to approach it by being open which children about the nature of pathologised bodies and discussing with them why this phenomenon occurs, thus simultaneously making problematic the pathology while researching its manifestations and effects.</w:t>
      </w:r>
    </w:p>
    <w:p w14:paraId="2301B777" w14:textId="77777777" w:rsidR="00BE2C1D" w:rsidRPr="00BE2C1D" w:rsidRDefault="00BE2C1D" w:rsidP="00BE2C1D">
      <w:pPr>
        <w:spacing w:line="360" w:lineRule="auto"/>
        <w:jc w:val="both"/>
        <w:rPr>
          <w:rFonts w:eastAsiaTheme="minorEastAsia"/>
          <w:lang w:eastAsia="zh-CN"/>
        </w:rPr>
      </w:pPr>
      <w:r w:rsidRPr="00BE2C1D">
        <w:rPr>
          <w:rFonts w:eastAsiaTheme="minorEastAsia"/>
          <w:lang w:eastAsia="zh-CN"/>
        </w:rPr>
        <w:t xml:space="preserve">Each analysis chapter offered insights into how the young people experienced their disabled bodies: the disabled body in space, which looked into the phenomenological, embodied and subjective encounters with space’ (Goodley and Runswick-Cole 2015a: 53); the disabled body under surveillance, which explored how TAs disciplined the unruly bodies of the young people with RG; the dys-appearance of the disabled body, which examined how the disabled body appeared as a problem to the teachers for not conforming to the ableist timeframes, not fitting into disabling spaces or not embodying the typically developing child; and the disabled body as a site of violence, which investigated how violence was exercised on the body and how it was felt through the body. The theorisation of these experiences pointed to the politicisation of the disabled body, demonstrating the social origins of its oppression. My eclectic theoretical approach was not a neutral choice, but it demanded thorough consideration and engagement with theory and resonated with what Goodley and Runswick-Cole (2013: 2) had argued: </w:t>
      </w:r>
    </w:p>
    <w:p w14:paraId="13E80967" w14:textId="77777777" w:rsidR="00BE2C1D" w:rsidRPr="00BE2C1D" w:rsidRDefault="00BE2C1D" w:rsidP="00BE2C1D">
      <w:pPr>
        <w:spacing w:line="360" w:lineRule="auto"/>
        <w:ind w:left="720"/>
        <w:jc w:val="both"/>
        <w:rPr>
          <w:rFonts w:eastAsiaTheme="minorEastAsia"/>
          <w:lang w:eastAsia="zh-CN"/>
        </w:rPr>
      </w:pPr>
      <w:r w:rsidRPr="00BE2C1D">
        <w:rPr>
          <w:rFonts w:eastAsiaTheme="minorEastAsia"/>
          <w:sz w:val="20"/>
          <w:szCs w:val="20"/>
          <w:lang w:eastAsia="zh-CN"/>
        </w:rPr>
        <w:t>Through listening to the stories of children we have found ourselves searching for disability theory that could not only make sense of their narratives but develop our own sensitivities to their reflections on and their personal experiences of their bodies.</w:t>
      </w:r>
    </w:p>
    <w:p w14:paraId="47BD7E99" w14:textId="77777777" w:rsidR="00BE2C1D" w:rsidRPr="00BE2C1D" w:rsidRDefault="00BE2C1D" w:rsidP="00BE2C1D">
      <w:pPr>
        <w:keepNext/>
        <w:keepLines/>
        <w:spacing w:before="40" w:after="0" w:line="360" w:lineRule="auto"/>
        <w:outlineLvl w:val="2"/>
        <w:rPr>
          <w:rFonts w:asciiTheme="majorHAnsi" w:eastAsiaTheme="majorEastAsia" w:hAnsiTheme="majorHAnsi" w:cstheme="majorBidi"/>
          <w:color w:val="1F3763" w:themeColor="accent1" w:themeShade="7F"/>
          <w:sz w:val="24"/>
          <w:szCs w:val="24"/>
          <w:lang w:eastAsia="zh-CN"/>
        </w:rPr>
      </w:pPr>
      <w:bookmarkStart w:id="189" w:name="_Toc39585295"/>
      <w:r w:rsidRPr="00BE2C1D">
        <w:rPr>
          <w:rFonts w:asciiTheme="majorHAnsi" w:eastAsiaTheme="majorEastAsia" w:hAnsiTheme="majorHAnsi" w:cstheme="majorBidi"/>
          <w:color w:val="1F3763" w:themeColor="accent1" w:themeShade="7F"/>
          <w:sz w:val="24"/>
          <w:szCs w:val="24"/>
          <w:lang w:eastAsia="zh-CN"/>
        </w:rPr>
        <w:t>Implications</w:t>
      </w:r>
      <w:r w:rsidRPr="00BE2C1D">
        <w:rPr>
          <w:rFonts w:asciiTheme="majorHAnsi" w:eastAsiaTheme="majorEastAsia" w:hAnsiTheme="majorHAnsi" w:cstheme="majorBidi"/>
          <w:color w:val="1F3763" w:themeColor="accent1" w:themeShade="7F"/>
          <w:sz w:val="24"/>
          <w:szCs w:val="24"/>
          <w:vertAlign w:val="superscript"/>
          <w:lang w:eastAsia="zh-CN"/>
        </w:rPr>
        <w:footnoteReference w:id="146"/>
      </w:r>
      <w:r w:rsidRPr="00BE2C1D">
        <w:rPr>
          <w:rFonts w:asciiTheme="majorHAnsi" w:eastAsiaTheme="majorEastAsia" w:hAnsiTheme="majorHAnsi" w:cstheme="majorBidi"/>
          <w:color w:val="1F3763" w:themeColor="accent1" w:themeShade="7F"/>
          <w:sz w:val="24"/>
          <w:szCs w:val="24"/>
          <w:lang w:eastAsia="zh-CN"/>
        </w:rPr>
        <w:t xml:space="preserve"> for Research Methodologies</w:t>
      </w:r>
      <w:bookmarkEnd w:id="189"/>
      <w:r w:rsidRPr="00BE2C1D">
        <w:rPr>
          <w:rFonts w:asciiTheme="majorHAnsi" w:eastAsiaTheme="majorEastAsia" w:hAnsiTheme="majorHAnsi" w:cstheme="majorBidi"/>
          <w:color w:val="1F3763" w:themeColor="accent1" w:themeShade="7F"/>
          <w:sz w:val="24"/>
          <w:szCs w:val="24"/>
          <w:lang w:eastAsia="zh-CN"/>
        </w:rPr>
        <w:t xml:space="preserve"> </w:t>
      </w:r>
    </w:p>
    <w:p w14:paraId="4BAE86AD" w14:textId="77777777" w:rsidR="00BE2C1D" w:rsidRPr="00BE2C1D" w:rsidRDefault="00BE2C1D" w:rsidP="00BE2C1D">
      <w:pPr>
        <w:spacing w:line="360" w:lineRule="auto"/>
        <w:jc w:val="both"/>
        <w:rPr>
          <w:rFonts w:eastAsiaTheme="minorEastAsia"/>
          <w:lang w:eastAsia="zh-CN"/>
        </w:rPr>
      </w:pPr>
      <w:r w:rsidRPr="00BE2C1D">
        <w:rPr>
          <w:rFonts w:eastAsiaTheme="minorEastAsia"/>
          <w:lang w:eastAsia="zh-CN"/>
        </w:rPr>
        <w:t xml:space="preserve">In addition to the theoretical contributions to knowledge production, I consider here the implications of the thesis for qualitative research methodologies, with the focus being on the following topics: the value of rapport, the flexibility of the researcher in relation to the methods they had proposed initially and the need for the messy story. </w:t>
      </w:r>
    </w:p>
    <w:p w14:paraId="0171858D" w14:textId="77777777" w:rsidR="00BE2C1D" w:rsidRPr="00BE2C1D" w:rsidRDefault="00BE2C1D" w:rsidP="00BE2C1D">
      <w:pPr>
        <w:keepNext/>
        <w:keepLines/>
        <w:spacing w:before="40" w:after="0" w:line="360" w:lineRule="auto"/>
        <w:outlineLvl w:val="3"/>
        <w:rPr>
          <w:rFonts w:asciiTheme="majorHAnsi" w:eastAsiaTheme="majorEastAsia" w:hAnsiTheme="majorHAnsi" w:cstheme="majorBidi"/>
          <w:i/>
          <w:iCs/>
          <w:color w:val="2F5496" w:themeColor="accent1" w:themeShade="BF"/>
          <w:lang w:eastAsia="zh-CN"/>
        </w:rPr>
      </w:pPr>
      <w:r w:rsidRPr="00BE2C1D">
        <w:rPr>
          <w:rFonts w:asciiTheme="majorHAnsi" w:eastAsiaTheme="majorEastAsia" w:hAnsiTheme="majorHAnsi" w:cstheme="majorBidi"/>
          <w:i/>
          <w:iCs/>
          <w:color w:val="2F5496" w:themeColor="accent1" w:themeShade="BF"/>
          <w:lang w:eastAsia="zh-CN"/>
        </w:rPr>
        <w:t xml:space="preserve">The value of Rapport </w:t>
      </w:r>
    </w:p>
    <w:p w14:paraId="7B1D1882" w14:textId="77777777" w:rsidR="00BE2C1D" w:rsidRPr="00BE2C1D" w:rsidRDefault="00BE2C1D" w:rsidP="00BE2C1D">
      <w:pPr>
        <w:spacing w:line="360" w:lineRule="auto"/>
        <w:jc w:val="both"/>
        <w:rPr>
          <w:rFonts w:eastAsiaTheme="minorEastAsia"/>
          <w:lang w:eastAsia="zh-CN"/>
        </w:rPr>
      </w:pPr>
      <w:r w:rsidRPr="00BE2C1D">
        <w:rPr>
          <w:rFonts w:eastAsiaTheme="minorEastAsia"/>
          <w:lang w:eastAsia="zh-CN"/>
        </w:rPr>
        <w:t xml:space="preserve">One of the main lessons  I have learned from doing this research was that ‘relationships come before methods’ (Van Hove and De Schauwer 2020), meaning that building a rapport with the gatekeepers </w:t>
      </w:r>
      <w:r w:rsidRPr="00BE2C1D">
        <w:rPr>
          <w:rFonts w:eastAsiaTheme="minorEastAsia"/>
          <w:lang w:eastAsia="zh-CN"/>
        </w:rPr>
        <w:lastRenderedPageBreak/>
        <w:t>and potential participants proved to be much more important than the actual methods I had proposed. Before elaborating on the above argument with some examples from the fieldwork, I consider it crucial to refer briefly to how ‘rapport’ has been considered in social research and particularly from a feminist stance.</w:t>
      </w:r>
    </w:p>
    <w:p w14:paraId="26422C77" w14:textId="77777777" w:rsidR="00BE2C1D" w:rsidRPr="00BE2C1D" w:rsidRDefault="00BE2C1D" w:rsidP="00BE2C1D">
      <w:pPr>
        <w:spacing w:line="360" w:lineRule="auto"/>
        <w:jc w:val="both"/>
        <w:rPr>
          <w:rFonts w:eastAsiaTheme="minorEastAsia"/>
          <w:lang w:eastAsia="zh-CN"/>
        </w:rPr>
      </w:pPr>
      <w:r w:rsidRPr="00BE2C1D">
        <w:rPr>
          <w:rFonts w:eastAsiaTheme="minorEastAsia"/>
          <w:lang w:eastAsia="zh-CN"/>
        </w:rPr>
        <w:t>Building rapport has been discussed in social research instrumentally, that is as essential both in relation to being provided with access to the field by gatekeepers (gaining gatekeepers’ trust) as well as for gaining ‘rich’ data during the process of interviewing (gaining participants’ trust) (Gajparia 2017). Precisely because of the importance of rapport, method textbooks usually devoted a brief section on the skills and strategies to achieve rapport. However, as Oakley (1981) suggested, rapport in these books was discussed in purely instrumental, hierarchical and non-reciprocal ways. Duncombe and Jessop (2002) also discussed the notion of ‘doing rapport’ to consider the commodification of rapport as a form of ‘faking friendship’ for the researcher’s benefit and Gajparia (2017) regarded how rapport has become capitalised within neoliberal academia. She (ibid: 5) proposed that the term ‘capitalisation of rapport’</w:t>
      </w:r>
    </w:p>
    <w:p w14:paraId="53B08C33" w14:textId="77777777" w:rsidR="00BE2C1D" w:rsidRPr="00BE2C1D" w:rsidRDefault="00BE2C1D" w:rsidP="00BE2C1D">
      <w:pPr>
        <w:spacing w:line="360" w:lineRule="auto"/>
        <w:ind w:left="720"/>
        <w:jc w:val="both"/>
        <w:rPr>
          <w:rFonts w:eastAsiaTheme="minorEastAsia"/>
          <w:lang w:eastAsia="zh-CN"/>
        </w:rPr>
      </w:pPr>
      <w:r w:rsidRPr="00BE2C1D">
        <w:rPr>
          <w:rFonts w:eastAsiaTheme="minorEastAsia"/>
          <w:sz w:val="20"/>
          <w:szCs w:val="20"/>
          <w:lang w:eastAsia="zh-CN"/>
        </w:rPr>
        <w:t xml:space="preserve">aims to capture the emotions of unease, discomfort and guilt in engaging, even colluding with neoliberal values of profiting at any cost to complete (doctoral) research projects with the pressures of time and limited or no funding. Therefore, the concept within the context of neoliberalism, encourages researchers to question how we think about rapport and how we use it as a means to an end with little regard for who we might be colluding with so to attain research objectives. </w:t>
      </w:r>
    </w:p>
    <w:p w14:paraId="36FF587E" w14:textId="77777777" w:rsidR="00BE2C1D" w:rsidRPr="00BE2C1D" w:rsidRDefault="00BE2C1D" w:rsidP="00BE2C1D">
      <w:pPr>
        <w:spacing w:line="360" w:lineRule="auto"/>
        <w:jc w:val="both"/>
        <w:rPr>
          <w:rFonts w:eastAsiaTheme="minorEastAsia"/>
          <w:lang w:eastAsia="zh-CN"/>
        </w:rPr>
      </w:pPr>
      <w:r w:rsidRPr="00BE2C1D">
        <w:rPr>
          <w:rFonts w:eastAsiaTheme="minorEastAsia"/>
          <w:lang w:eastAsia="zh-CN"/>
        </w:rPr>
        <w:t xml:space="preserve">While Gajparia discussed in her university ethics application her strategies to ‘manufacture’ rapport with her potential participants, all these tactics were abandoned when she embarked on her fieldwork. As she wrote, ‘What may seem insignificant interactions enabled me to establish trust and build rapport effortlessly’ (ibid: 7). Similar was the case with my research, as illustrated in the following example. </w:t>
      </w:r>
    </w:p>
    <w:p w14:paraId="7CF2BD0D" w14:textId="77777777" w:rsidR="00BE2C1D" w:rsidRPr="00BE2C1D" w:rsidRDefault="00BE2C1D" w:rsidP="00BE2C1D">
      <w:pPr>
        <w:spacing w:line="360" w:lineRule="auto"/>
        <w:jc w:val="both"/>
        <w:rPr>
          <w:rFonts w:eastAsiaTheme="minorEastAsia"/>
          <w:lang w:eastAsia="zh-CN"/>
        </w:rPr>
      </w:pPr>
      <w:r w:rsidRPr="00BE2C1D">
        <w:rPr>
          <w:rFonts w:eastAsiaTheme="minorEastAsia"/>
          <w:lang w:eastAsia="zh-CN"/>
        </w:rPr>
        <w:t xml:space="preserve">One participant to whom our in-person interactions were crucial in his decision to participate in the research was Paul. Paul was the participant who I had initially messaged on Messenger, but I never heard back. Nevertheless, when we met during a three-day event of one association, he was the one who approached me first, sharing his concern about fake accounts on online spaces. In these three days, Paul and I built a rapport with each other by talking (whilst drinking a beer) about our common interests e.g. video games and music, participating together in activities, such as dancing on the dance floor and skateboarding etc. I need to clarify here, though, that these activities were not part of me ‘building rapport’ (Duncombe and Jessop 2002), but building a genuine rapport with another human being, who also happened to be a potential participant. This bonding certainly affected Paul’s final </w:t>
      </w:r>
      <w:r w:rsidRPr="00BE2C1D">
        <w:rPr>
          <w:rFonts w:eastAsiaTheme="minorEastAsia"/>
          <w:lang w:eastAsia="zh-CN"/>
        </w:rPr>
        <w:lastRenderedPageBreak/>
        <w:t>decision to participate in the research, and it further influenced the interview we had about his schooling experiences. Amid the Skype interview and just before entering a difficult discussion (about bullying), Paul admitted that he would discuss everything openly, because he saw me as a friend (and so did I). He then proceeded to share some really difficult stories of violence, difficult both to tell and to hear (Tholander et al. 2019). After the interview, this rapport did not cease to exist, as recommended by method textbooks and implied in the institutional ethics under the idea of ‘leaving the fieldwork’. We are still in touch regularly, checking on each other.</w:t>
      </w:r>
    </w:p>
    <w:p w14:paraId="074B8F6A" w14:textId="77777777" w:rsidR="00BE2C1D" w:rsidRPr="00BE2C1D" w:rsidRDefault="00BE2C1D" w:rsidP="00BE2C1D">
      <w:pPr>
        <w:spacing w:line="360" w:lineRule="auto"/>
        <w:jc w:val="both"/>
        <w:rPr>
          <w:rFonts w:eastAsiaTheme="minorEastAsia"/>
          <w:lang w:eastAsia="zh-CN"/>
        </w:rPr>
      </w:pPr>
      <w:r w:rsidRPr="00BE2C1D">
        <w:rPr>
          <w:rFonts w:eastAsiaTheme="minorEastAsia"/>
          <w:lang w:eastAsia="zh-CN"/>
        </w:rPr>
        <w:t xml:space="preserve">In a nutshell, although I did share Gajparia’s (2017) concerns about what it feels like to do research in the neoliberal university and Duncombe’s and Jessop’s (2002) insights into the idea of ‘building rapport’, the rapport I developed with the people who were involved in the research one way or another, such as gatekeepers, participants, associations, was not premised on such grounds. The rapport we developed was reciprocal and was based on a genuine friendship (Oakley 2016). </w:t>
      </w:r>
    </w:p>
    <w:p w14:paraId="78C99A5D" w14:textId="77777777" w:rsidR="00BE2C1D" w:rsidRPr="00BE2C1D" w:rsidRDefault="00BE2C1D" w:rsidP="00BE2C1D">
      <w:pPr>
        <w:keepNext/>
        <w:keepLines/>
        <w:spacing w:before="40" w:after="0" w:line="360" w:lineRule="auto"/>
        <w:outlineLvl w:val="3"/>
        <w:rPr>
          <w:rFonts w:asciiTheme="majorHAnsi" w:eastAsiaTheme="majorEastAsia" w:hAnsiTheme="majorHAnsi" w:cstheme="majorBidi"/>
          <w:i/>
          <w:iCs/>
          <w:color w:val="2F5496" w:themeColor="accent1" w:themeShade="BF"/>
          <w:lang w:eastAsia="zh-CN"/>
        </w:rPr>
      </w:pPr>
      <w:r w:rsidRPr="00BE2C1D">
        <w:rPr>
          <w:rFonts w:asciiTheme="majorHAnsi" w:eastAsiaTheme="majorEastAsia" w:hAnsiTheme="majorHAnsi" w:cstheme="majorBidi"/>
          <w:i/>
          <w:iCs/>
          <w:color w:val="2F5496" w:themeColor="accent1" w:themeShade="BF"/>
          <w:lang w:eastAsia="zh-CN"/>
        </w:rPr>
        <w:t>Flexibility and Methods</w:t>
      </w:r>
    </w:p>
    <w:p w14:paraId="6933DF37" w14:textId="77777777" w:rsidR="00BE2C1D" w:rsidRPr="00BE2C1D" w:rsidRDefault="00BE2C1D" w:rsidP="00BE2C1D">
      <w:pPr>
        <w:spacing w:line="360" w:lineRule="auto"/>
        <w:jc w:val="both"/>
        <w:rPr>
          <w:rFonts w:eastAsiaTheme="minorEastAsia"/>
          <w:lang w:eastAsia="zh-CN"/>
        </w:rPr>
      </w:pPr>
      <w:r w:rsidRPr="00BE2C1D">
        <w:rPr>
          <w:rFonts w:eastAsiaTheme="minorEastAsia"/>
          <w:lang w:eastAsia="zh-CN"/>
        </w:rPr>
        <w:t>A second lesson I learned from this research was that things do not always go according to plan, and that is okay. My initial research design involved two interviews with each teenage participant, one at the beginning of the school year and one at the end of it. However, soon after doing the first couple of interviews with teenage participants, I realised that this was not feasible due to a number of reasons that I had not considered before, including the busy schedules of both the parents of the teenage participants and of the participants (some of them were preparing for their GCSE exams or A levels)</w:t>
      </w:r>
      <w:r w:rsidRPr="00BE2C1D">
        <w:rPr>
          <w:rFonts w:eastAsiaTheme="minorEastAsia"/>
          <w:vertAlign w:val="superscript"/>
          <w:lang w:eastAsia="zh-CN"/>
        </w:rPr>
        <w:footnoteReference w:id="147"/>
      </w:r>
      <w:r w:rsidRPr="00BE2C1D">
        <w:rPr>
          <w:rFonts w:eastAsiaTheme="minorEastAsia"/>
          <w:lang w:eastAsia="zh-CN"/>
        </w:rPr>
        <w:t xml:space="preserve">. Moreover, while I had not considered the idea of focus groups or joint interviews, these formats were proposed by some of the teenage participants, who preferred to be interviewed together. It was my (ethical) duty to listen to and respect such preferences, including how many people would be present in an interview (chaperones, friends) and where and when interviews would take place (home, library, in person, online). On these occasions, I was reminded that the responsibility for flexibility lies mostly on the researcher, not the participants (Pultz 2018). </w:t>
      </w:r>
    </w:p>
    <w:p w14:paraId="06071D85" w14:textId="77777777" w:rsidR="00BE2C1D" w:rsidRPr="00BE2C1D" w:rsidRDefault="00BE2C1D" w:rsidP="00BE2C1D">
      <w:pPr>
        <w:spacing w:line="360" w:lineRule="auto"/>
        <w:jc w:val="both"/>
        <w:rPr>
          <w:rFonts w:eastAsiaTheme="minorEastAsia"/>
          <w:lang w:eastAsia="zh-CN"/>
        </w:rPr>
      </w:pPr>
      <w:r w:rsidRPr="00BE2C1D">
        <w:rPr>
          <w:rFonts w:eastAsiaTheme="minorEastAsia"/>
          <w:lang w:eastAsia="zh-CN"/>
        </w:rPr>
        <w:t xml:space="preserve">Online methods also proved to be such a useful tool in terms of flexibility as well as considerate of the participants’ preferences and needs (Liddiard et al., 2019; Whitney and Liddiard, 2020). For instance, considering the mockery and staring people with RG receive in public spaces (Pritchard 2014; Shakespeare et al. 2010), the interviews through Skype proved to be invaluable, as participants were at their homes, and they also had the option to show (or not) themselves in front of the camera. In a </w:t>
      </w:r>
      <w:r w:rsidRPr="00BE2C1D">
        <w:rPr>
          <w:rFonts w:eastAsiaTheme="minorEastAsia"/>
          <w:lang w:eastAsia="zh-CN"/>
        </w:rPr>
        <w:lastRenderedPageBreak/>
        <w:t>summary, this research stands for methods that are inclusive, flexible, considerate and respectful of participants’ needs and choices.</w:t>
      </w:r>
    </w:p>
    <w:p w14:paraId="5A04374E" w14:textId="77777777" w:rsidR="00BE2C1D" w:rsidRPr="00BE2C1D" w:rsidRDefault="00BE2C1D" w:rsidP="00BE2C1D">
      <w:pPr>
        <w:keepNext/>
        <w:keepLines/>
        <w:spacing w:before="40" w:after="0" w:line="360" w:lineRule="auto"/>
        <w:outlineLvl w:val="3"/>
        <w:rPr>
          <w:rFonts w:asciiTheme="majorHAnsi" w:eastAsiaTheme="majorEastAsia" w:hAnsiTheme="majorHAnsi" w:cstheme="majorBidi"/>
          <w:i/>
          <w:iCs/>
          <w:color w:val="2F5496" w:themeColor="accent1" w:themeShade="BF"/>
          <w:lang w:eastAsia="zh-CN"/>
        </w:rPr>
      </w:pPr>
      <w:r w:rsidRPr="00BE2C1D">
        <w:rPr>
          <w:rFonts w:asciiTheme="majorHAnsi" w:eastAsiaTheme="majorEastAsia" w:hAnsiTheme="majorHAnsi" w:cstheme="majorBidi"/>
          <w:i/>
          <w:iCs/>
          <w:color w:val="2F5496" w:themeColor="accent1" w:themeShade="BF"/>
          <w:lang w:eastAsia="zh-CN"/>
        </w:rPr>
        <w:t>The Need for the Messy Story</w:t>
      </w:r>
    </w:p>
    <w:p w14:paraId="6ECA89D1" w14:textId="77777777" w:rsidR="00BE2C1D" w:rsidRPr="00BE2C1D" w:rsidRDefault="00BE2C1D" w:rsidP="00BE2C1D">
      <w:pPr>
        <w:spacing w:line="360" w:lineRule="auto"/>
        <w:jc w:val="both"/>
        <w:rPr>
          <w:rFonts w:eastAsiaTheme="minorEastAsia"/>
          <w:lang w:eastAsia="zh-CN"/>
        </w:rPr>
      </w:pPr>
      <w:r w:rsidRPr="00BE2C1D">
        <w:rPr>
          <w:rFonts w:eastAsiaTheme="minorEastAsia"/>
          <w:lang w:eastAsia="zh-CN"/>
        </w:rPr>
        <w:t xml:space="preserve"> The last methodological issue that this research calls for more attention to be paid is the need for the ‘messy story’. My methodology chapter was divided into two parts: the ‘neat’ and the ‘messy’ story. This distinction was drawn following Ellingson (2017: 31), who proposed that ‘We neaten up our stories of "what happened" to sound credible and get published. The rejection of the messy details of research is a legacy of positivism.’ While the neat story is useful in providing a ‘clear’ account of our methodological choices and the completion of the fieldwork, the messy story is equally valuable, as it refuses to embellish or conceal the difficulties and complexities of doing qualitative research.  </w:t>
      </w:r>
    </w:p>
    <w:p w14:paraId="6B161900" w14:textId="77777777" w:rsidR="00BE2C1D" w:rsidRPr="00BE2C1D" w:rsidRDefault="00BE2C1D" w:rsidP="00BE2C1D">
      <w:pPr>
        <w:spacing w:line="360" w:lineRule="auto"/>
        <w:jc w:val="both"/>
        <w:rPr>
          <w:rFonts w:eastAsiaTheme="minorEastAsia"/>
          <w:lang w:eastAsia="zh-CN"/>
        </w:rPr>
      </w:pPr>
      <w:r w:rsidRPr="00BE2C1D">
        <w:rPr>
          <w:rFonts w:eastAsiaTheme="minorEastAsia"/>
          <w:lang w:eastAsia="zh-CN"/>
        </w:rPr>
        <w:t xml:space="preserve">For the messy story to unravel, I engaged with a feminist tool, the ‘reflexivity of discomfort’ (Pillow 2003: 187), which enabled me to discuss the various dilemmas I dealt with in different stages of this research, from the ethics application and the access to and recruitment of potential participants to the ethical issues of analysis. Nuanced approaches complimented the reflexivity of discomfort, such as a poststructuralist understanding of gatekeeping and gatekeepers (Crowhurst 2013;  Crowhust and kennedy-macfoy 2013), embodied reflexivity (to discuss my own positionality (Burns 2003; Ellingson, 2006) and feminist ethics to consider the complexities of the analysis (Alcoff 1991; hooks 1990).  Similar to the way I learned from other scholars who shared their messy stories around their fieldwork and engaged into the difficult (sometimes ‘polemic’) discussions around positionality (Liddiard 2013; Scott 2013), I hope this thesis has contributed to these debates with the provision of useful tools that will encourage other researchers to think these through. </w:t>
      </w:r>
    </w:p>
    <w:p w14:paraId="49C9FB6D" w14:textId="77777777" w:rsidR="00BE2C1D" w:rsidRPr="00BE2C1D" w:rsidRDefault="00BE2C1D" w:rsidP="00BE2C1D">
      <w:pPr>
        <w:keepNext/>
        <w:keepLines/>
        <w:spacing w:before="40" w:after="0" w:line="360" w:lineRule="auto"/>
        <w:outlineLvl w:val="2"/>
        <w:rPr>
          <w:rFonts w:asciiTheme="majorHAnsi" w:eastAsiaTheme="majorEastAsia" w:hAnsiTheme="majorHAnsi" w:cstheme="majorBidi"/>
          <w:color w:val="1F3763" w:themeColor="accent1" w:themeShade="7F"/>
          <w:sz w:val="24"/>
          <w:szCs w:val="24"/>
          <w:lang w:eastAsia="zh-CN"/>
        </w:rPr>
      </w:pPr>
      <w:bookmarkStart w:id="190" w:name="_Toc39585296"/>
      <w:r w:rsidRPr="00BE2C1D">
        <w:rPr>
          <w:rFonts w:asciiTheme="majorHAnsi" w:eastAsiaTheme="majorEastAsia" w:hAnsiTheme="majorHAnsi" w:cstheme="majorBidi"/>
          <w:color w:val="1F3763" w:themeColor="accent1" w:themeShade="7F"/>
          <w:sz w:val="24"/>
          <w:szCs w:val="24"/>
          <w:lang w:eastAsia="zh-CN"/>
        </w:rPr>
        <w:t>Implications for Educational Policy and Practitioners</w:t>
      </w:r>
      <w:bookmarkEnd w:id="190"/>
      <w:r w:rsidRPr="00BE2C1D">
        <w:rPr>
          <w:rFonts w:asciiTheme="majorHAnsi" w:eastAsiaTheme="majorEastAsia" w:hAnsiTheme="majorHAnsi" w:cstheme="majorBidi"/>
          <w:color w:val="1F3763" w:themeColor="accent1" w:themeShade="7F"/>
          <w:sz w:val="24"/>
          <w:szCs w:val="24"/>
          <w:lang w:eastAsia="zh-CN"/>
        </w:rPr>
        <w:t xml:space="preserve">  </w:t>
      </w:r>
    </w:p>
    <w:p w14:paraId="64BF6A20" w14:textId="77777777" w:rsidR="00BE2C1D" w:rsidRPr="00BE2C1D" w:rsidRDefault="00BE2C1D" w:rsidP="00BE2C1D">
      <w:pPr>
        <w:spacing w:line="360" w:lineRule="auto"/>
        <w:ind w:left="720"/>
        <w:jc w:val="both"/>
        <w:rPr>
          <w:rFonts w:eastAsiaTheme="minorEastAsia"/>
          <w:sz w:val="20"/>
          <w:szCs w:val="20"/>
          <w:lang w:eastAsia="zh-CN"/>
        </w:rPr>
      </w:pPr>
      <w:r w:rsidRPr="00BE2C1D">
        <w:rPr>
          <w:rFonts w:eastAsiaTheme="minorEastAsia"/>
          <w:sz w:val="20"/>
          <w:szCs w:val="20"/>
          <w:lang w:eastAsia="zh-CN"/>
        </w:rPr>
        <w:t xml:space="preserve">We are mindful that by merely listening to children, and failing to act on what they say, this is yet another form of exploitation and exclusion (Curran and Runswick-Cole 2013: 646). </w:t>
      </w:r>
    </w:p>
    <w:p w14:paraId="1E572C30" w14:textId="77777777" w:rsidR="00BE2C1D" w:rsidRPr="00BE2C1D" w:rsidRDefault="00BE2C1D" w:rsidP="00BE2C1D">
      <w:pPr>
        <w:spacing w:line="360" w:lineRule="auto"/>
        <w:jc w:val="both"/>
        <w:rPr>
          <w:rFonts w:eastAsiaTheme="minorEastAsia"/>
          <w:lang w:eastAsia="zh-CN"/>
        </w:rPr>
      </w:pPr>
      <w:r w:rsidRPr="00BE2C1D">
        <w:rPr>
          <w:rFonts w:eastAsiaTheme="minorEastAsia"/>
          <w:lang w:eastAsia="zh-CN"/>
        </w:rPr>
        <w:t xml:space="preserve">Besides the theoretical and methodological implications of this thesis, it is important to consider the implications for educational policy and practitioners. This is partly a response to the need to act by putting together some (practical) recommendations for educational policymakers and practitioners. </w:t>
      </w:r>
    </w:p>
    <w:p w14:paraId="1146E9C2" w14:textId="77777777" w:rsidR="00BE2C1D" w:rsidRPr="00BE2C1D" w:rsidRDefault="00BE2C1D" w:rsidP="00BE2C1D">
      <w:pPr>
        <w:spacing w:line="360" w:lineRule="auto"/>
        <w:jc w:val="both"/>
        <w:rPr>
          <w:rFonts w:eastAsiaTheme="minorEastAsia"/>
          <w:lang w:eastAsia="zh-CN"/>
        </w:rPr>
      </w:pPr>
      <w:r w:rsidRPr="00BE2C1D">
        <w:rPr>
          <w:rFonts w:eastAsiaTheme="minorEastAsia"/>
          <w:lang w:eastAsia="zh-CN"/>
        </w:rPr>
        <w:t xml:space="preserve">One of the findings discussed earlier was the tensions the disabled young people experienced in relation to the support -non-human e.g. special chairs, and human support e.g. TAs - they received. What was common in the disabled young people’s stories was that they did not have any input into what support they would like to be provided with, as such decisions were made exclusively by adults. However, according to Article 7 of the Convention on the Rights of Persons with Disabilities (2006: n. p.): </w:t>
      </w:r>
    </w:p>
    <w:p w14:paraId="6882736B" w14:textId="77777777" w:rsidR="00BE2C1D" w:rsidRPr="00BE2C1D" w:rsidRDefault="00BE2C1D" w:rsidP="00BE2C1D">
      <w:pPr>
        <w:spacing w:line="360" w:lineRule="auto"/>
        <w:ind w:left="720"/>
        <w:jc w:val="both"/>
        <w:rPr>
          <w:rFonts w:eastAsiaTheme="minorEastAsia"/>
          <w:sz w:val="20"/>
          <w:szCs w:val="20"/>
          <w:lang w:eastAsia="zh-CN"/>
        </w:rPr>
      </w:pPr>
      <w:r w:rsidRPr="00BE2C1D">
        <w:rPr>
          <w:rFonts w:eastAsiaTheme="minorEastAsia"/>
          <w:sz w:val="20"/>
          <w:szCs w:val="20"/>
          <w:lang w:eastAsia="zh-CN"/>
        </w:rPr>
        <w:lastRenderedPageBreak/>
        <w:t>States Parties shall ensure that children with disabilities have the right to express their views  freely on all matters affecting them, their views being given due weight in accordance with their age and maturity, on an equal basis with other children, and to be provided with disability and age-appropriate assistance to realize that right.</w:t>
      </w:r>
    </w:p>
    <w:p w14:paraId="6F92B5B2" w14:textId="77777777" w:rsidR="00BE2C1D" w:rsidRPr="00BE2C1D" w:rsidRDefault="00BE2C1D" w:rsidP="00BE2C1D">
      <w:pPr>
        <w:spacing w:line="360" w:lineRule="auto"/>
        <w:jc w:val="both"/>
        <w:rPr>
          <w:rFonts w:eastAsiaTheme="minorEastAsia"/>
          <w:lang w:eastAsia="zh-CN"/>
        </w:rPr>
      </w:pPr>
      <w:r w:rsidRPr="00BE2C1D">
        <w:rPr>
          <w:rFonts w:eastAsiaTheme="minorEastAsia"/>
          <w:lang w:eastAsia="zh-CN"/>
        </w:rPr>
        <w:t xml:space="preserve">Therefore, what I am proposing here is that the experiential knowledge of disabled young people should be sought, valued and integrated into decisions about support provision. As Mortier et al. (2011: 218) maintained, ‘listening to children as chief partners and taking their lived experience as guiding information can be a way to avoid possible negative consequences and pursue the personal outcomes that they value”. Mortier et al. (2011) have described this as a transition from recipients of supports to agents of it.  This would involve young people working in collaboration with their TAs on how best to support them as well as being part of the designing process of any equipment they need to use. </w:t>
      </w:r>
    </w:p>
    <w:p w14:paraId="6A516818" w14:textId="77777777" w:rsidR="00BE2C1D" w:rsidRPr="00BE2C1D" w:rsidRDefault="00BE2C1D" w:rsidP="00BE2C1D">
      <w:pPr>
        <w:spacing w:line="360" w:lineRule="auto"/>
        <w:jc w:val="both"/>
        <w:rPr>
          <w:rFonts w:eastAsiaTheme="minorEastAsia"/>
          <w:lang w:eastAsia="zh-CN"/>
        </w:rPr>
      </w:pPr>
      <w:r w:rsidRPr="00BE2C1D">
        <w:rPr>
          <w:rFonts w:eastAsiaTheme="minorEastAsia"/>
          <w:lang w:eastAsia="zh-CN"/>
        </w:rPr>
        <w:t xml:space="preserve">Moreover, the findings of this research confirmed that the current education system still adheres to an inclusive education policy rhetoric (Runswick-Cole 2011), with exclusion within the so-called inclusive schools taking other forms e.g. exclusion from the playground, exclusion from the class, no sense of belonging (Slee 2019). I argue that, in order to move from an inclusive rhetoric to inclusive action, disabled children and young people need to be listened to and their experiences and recommendations to be taken into serious consideration, a position proposed by Disabled Children’s Childhood Studies (Curran and Runswick-Cole 2014) too. For instance, for anti-bulling policies to be effective, they should start with how (disabled) young people’s understand bullying rather than imposing adult-centric definitions of bullying (Duncan 2013); with acknowledging the complexities of the proposed strategies, such as disclosure, rather than punishing bullied individuals for not following them; and with tackling the real roots of such violence e.g. the construction of ab/normality in schools rather than merely punishing and pathologising individuals‘ acts.  </w:t>
      </w:r>
    </w:p>
    <w:p w14:paraId="5013596D" w14:textId="77777777" w:rsidR="00BE2C1D" w:rsidRPr="00BE2C1D" w:rsidRDefault="00BE2C1D" w:rsidP="00BE2C1D">
      <w:pPr>
        <w:spacing w:line="360" w:lineRule="auto"/>
        <w:jc w:val="both"/>
        <w:rPr>
          <w:rFonts w:eastAsiaTheme="minorEastAsia"/>
          <w:lang w:eastAsia="zh-CN"/>
        </w:rPr>
      </w:pPr>
      <w:r w:rsidRPr="00BE2C1D">
        <w:rPr>
          <w:rFonts w:eastAsiaTheme="minorEastAsia"/>
          <w:lang w:eastAsia="zh-CN"/>
        </w:rPr>
        <w:t>The implications for educational policy are closely connected with the implications for practitioners, as it is the latter who enact it. The use of the word enactment here (rather than implementation) is intentional, as it points out that ‘policies are interpreted and ‘translated’ by diverse policy actors in the school environment’ (Braun et al. 2010: 547)</w:t>
      </w:r>
      <w:r w:rsidRPr="00BE2C1D">
        <w:rPr>
          <w:rFonts w:eastAsiaTheme="minorEastAsia"/>
          <w:vertAlign w:val="superscript"/>
          <w:lang w:eastAsia="zh-CN"/>
        </w:rPr>
        <w:footnoteReference w:id="148"/>
      </w:r>
      <w:r w:rsidRPr="00BE2C1D">
        <w:rPr>
          <w:rFonts w:eastAsiaTheme="minorEastAsia"/>
          <w:lang w:eastAsia="zh-CN"/>
        </w:rPr>
        <w:t xml:space="preserve">, including teachers and TAs. The inclusive education policy rhetoric (Runswick-Cole 2011) also translates into an inclusive rhetoric by those who enact it. For instance, Sikes et al. (2007) referred to a ‘yes, but…’ approach in relation to inclusion, proposing that TAs were in support of inclusion in principle, but they were uncertain if it worked in everyday practice. Therefore, how education policy is enacted by practitioners is mediated by a range </w:t>
      </w:r>
      <w:r w:rsidRPr="00BE2C1D">
        <w:rPr>
          <w:rFonts w:eastAsiaTheme="minorEastAsia"/>
          <w:lang w:eastAsia="zh-CN"/>
        </w:rPr>
        <w:lastRenderedPageBreak/>
        <w:t>of factors, including their personal views of disability and inclusion (MacKenzie 2011;</w:t>
      </w:r>
      <w:r w:rsidRPr="00BE2C1D">
        <w:rPr>
          <w:rFonts w:eastAsiaTheme="minorEastAsia"/>
          <w:color w:val="FF0000"/>
          <w:lang w:eastAsia="zh-CN"/>
        </w:rPr>
        <w:t xml:space="preserve"> </w:t>
      </w:r>
      <w:r w:rsidRPr="00BE2C1D">
        <w:rPr>
          <w:rFonts w:eastAsiaTheme="minorEastAsia"/>
          <w:lang w:eastAsia="zh-CN"/>
        </w:rPr>
        <w:t xml:space="preserve">Hodge and Runswick-Cole 2008). For instance, as I proposed in the analysis chapters on teachers, teachers’ disposition to help the young people did not necessarily come from a bad place, but its implications e.g. the young people being perceived as in need of help, were not considered. </w:t>
      </w:r>
    </w:p>
    <w:p w14:paraId="115A9C58" w14:textId="77777777" w:rsidR="00BE2C1D" w:rsidRPr="00BE2C1D" w:rsidRDefault="00BE2C1D" w:rsidP="00BE2C1D">
      <w:pPr>
        <w:spacing w:line="360" w:lineRule="auto"/>
        <w:jc w:val="both"/>
        <w:rPr>
          <w:rFonts w:eastAsiaTheme="minorEastAsia"/>
          <w:lang w:eastAsia="zh-CN"/>
        </w:rPr>
      </w:pPr>
      <w:r w:rsidRPr="00BE2C1D">
        <w:rPr>
          <w:rFonts w:eastAsiaTheme="minorEastAsia"/>
          <w:lang w:eastAsia="zh-CN"/>
        </w:rPr>
        <w:t xml:space="preserve">However, as I made clear in the analysis chapters, it was not my intention to pathologise the teachers and the TAs of the young people by suggesting they were not doing their work right. I remain cognisant of the institutional restrains within which practitioners work and the terrors of performativity (Ball 2003). What I am proposing here though is what Davis and Watson (2001: 16) referred to as ‘adults as reflexive practitioners who questioned their own professional practices and cultural assumptions’. Practitioners should be taught these reflexive skills during their training and should be encouraged and provided with the time and space to critically reflect on their own practice, its implications and effects. Regarding teacher training, for instance, Rice (2006: 251) referred to the need for Disability Studies to be part of the core curriculum of teacher education because of their potential to promote ‘epistemic fissures’ in teachers’ perspectives of disability. Corcoran et al. (2019) also maintained that educational practitioners should be allocated more time to reflect on their own practice and the paradoxes of inclusive education.  Finally, reflexivity should not be an individualistic task, but it should also include those affected by one’s practice, meaning that practitioners should listen to the disabled young people more thoroughly. </w:t>
      </w:r>
    </w:p>
    <w:p w14:paraId="5C2C851A" w14:textId="77777777" w:rsidR="00BE2C1D" w:rsidRPr="00BE2C1D" w:rsidRDefault="00BE2C1D" w:rsidP="00BE2C1D">
      <w:pPr>
        <w:keepNext/>
        <w:keepLines/>
        <w:spacing w:before="40" w:after="0" w:line="360" w:lineRule="auto"/>
        <w:outlineLvl w:val="2"/>
        <w:rPr>
          <w:rFonts w:asciiTheme="majorHAnsi" w:eastAsiaTheme="majorEastAsia" w:hAnsiTheme="majorHAnsi" w:cstheme="majorBidi"/>
          <w:color w:val="1F3763" w:themeColor="accent1" w:themeShade="7F"/>
          <w:sz w:val="24"/>
          <w:szCs w:val="24"/>
          <w:lang w:eastAsia="zh-CN"/>
        </w:rPr>
      </w:pPr>
      <w:bookmarkStart w:id="191" w:name="_Toc39585297"/>
      <w:r w:rsidRPr="00BE2C1D">
        <w:rPr>
          <w:rFonts w:asciiTheme="majorHAnsi" w:eastAsiaTheme="majorEastAsia" w:hAnsiTheme="majorHAnsi" w:cstheme="majorBidi"/>
          <w:color w:val="1F3763" w:themeColor="accent1" w:themeShade="7F"/>
          <w:sz w:val="24"/>
          <w:szCs w:val="24"/>
          <w:lang w:eastAsia="zh-CN"/>
        </w:rPr>
        <w:t>Implications for Future Research</w:t>
      </w:r>
      <w:bookmarkEnd w:id="191"/>
      <w:r w:rsidRPr="00BE2C1D">
        <w:rPr>
          <w:rFonts w:asciiTheme="majorHAnsi" w:eastAsiaTheme="majorEastAsia" w:hAnsiTheme="majorHAnsi" w:cstheme="majorBidi"/>
          <w:color w:val="1F3763" w:themeColor="accent1" w:themeShade="7F"/>
          <w:sz w:val="24"/>
          <w:szCs w:val="24"/>
          <w:lang w:eastAsia="zh-CN"/>
        </w:rPr>
        <w:t xml:space="preserve"> </w:t>
      </w:r>
    </w:p>
    <w:p w14:paraId="32FB2BEF" w14:textId="77777777" w:rsidR="00BE2C1D" w:rsidRPr="00BE2C1D" w:rsidRDefault="00BE2C1D" w:rsidP="00BE2C1D">
      <w:pPr>
        <w:spacing w:line="360" w:lineRule="auto"/>
        <w:jc w:val="both"/>
        <w:rPr>
          <w:rFonts w:eastAsiaTheme="minorEastAsia"/>
          <w:lang w:eastAsia="zh-CN"/>
        </w:rPr>
      </w:pPr>
      <w:r w:rsidRPr="00BE2C1D">
        <w:rPr>
          <w:rFonts w:eastAsiaTheme="minorEastAsia"/>
          <w:lang w:eastAsia="zh-CN"/>
        </w:rPr>
        <w:t xml:space="preserve">A final task of this thesis is to point to some directions that future research could take. Partly, these directions are the product of themes that were touched upon within the thesis, but they were not developed further, either because they were beyond the scope of the thesis or there was not the space to do so.  </w:t>
      </w:r>
    </w:p>
    <w:p w14:paraId="68D14278" w14:textId="77777777" w:rsidR="00BE2C1D" w:rsidRPr="00BE2C1D" w:rsidRDefault="00BE2C1D" w:rsidP="00BE2C1D">
      <w:pPr>
        <w:spacing w:line="360" w:lineRule="auto"/>
        <w:jc w:val="both"/>
        <w:rPr>
          <w:rFonts w:eastAsiaTheme="minorEastAsia"/>
          <w:lang w:eastAsia="zh-CN"/>
        </w:rPr>
      </w:pPr>
      <w:r w:rsidRPr="00BE2C1D">
        <w:rPr>
          <w:rFonts w:eastAsiaTheme="minorEastAsia"/>
          <w:lang w:eastAsia="zh-CN"/>
        </w:rPr>
        <w:t xml:space="preserve">One such topic was the issue of height and heightism in the context of schooling, with future research taking two possible directions. Firstly, a section of the literature review looked at how teachers were prejudiced against short children and how their height affected their assessment of their academic skills (Black and Kassenboemer 2007; Cinnirella et al. 2009; Smith and Niemi 2007). This was also a finding of this research, with some young people proposing that the fact they were small led staff members, such as teachers and TAs, to think of them as less smart or less independent. Feldman’s (1971) vision of a Sociology of Stature still remains unfulfilled, though, and this is a direction future research could take. My own scholarship aims to introduce ‘Short Studies’ (Ktenidis 2017), inspired from Fat Studies (Bordo 2003; Rothblum and Solovay 2009), looking into areas such as the medicalisation, pathologisation and pharmaceuticalisation of short stature and the production of the </w:t>
      </w:r>
      <w:r w:rsidRPr="00BE2C1D">
        <w:rPr>
          <w:rFonts w:eastAsiaTheme="minorEastAsia"/>
          <w:lang w:eastAsia="zh-CN"/>
        </w:rPr>
        <w:lastRenderedPageBreak/>
        <w:t xml:space="preserve">ab/normal growth, as well as the existence and recognition of heightism in everyday life, including schools (see for instance Osensky 2017). Short studies could also examine the intersection between heightism and ableism, that is how height is also a feature of the ‘species typical’ corporeal standard (Campbell 2008a). </w:t>
      </w:r>
    </w:p>
    <w:p w14:paraId="3EEFDCD8" w14:textId="77777777" w:rsidR="00BE2C1D" w:rsidRPr="00BE2C1D" w:rsidRDefault="00BE2C1D" w:rsidP="00BE2C1D">
      <w:pPr>
        <w:spacing w:line="360" w:lineRule="auto"/>
        <w:jc w:val="both"/>
        <w:rPr>
          <w:rFonts w:eastAsiaTheme="minorEastAsia"/>
          <w:lang w:eastAsia="zh-CN"/>
        </w:rPr>
      </w:pPr>
      <w:r w:rsidRPr="00BE2C1D">
        <w:rPr>
          <w:rFonts w:eastAsiaTheme="minorEastAsia"/>
          <w:lang w:eastAsia="zh-CN"/>
        </w:rPr>
        <w:t xml:space="preserve">Secondly, RG presents a unique case for the exploration of the intersection between disability and body size and, in particular height. This was brought up by one participant, Melrose, who was a wheelchair-user, and she noted that her height was never an issue for her, as it went unnoticed. While there has been some research on the intersection between disability and fatness (Aphramor 2009; Herndon 2002), height has not made it (or has not had a place) in the agenda of intersectionality so far. However, the intersection of height with other identity categories, such as gender (e.g. the Napoleon syndrome), class, race, sexuality and disability can open new spaces of inquiry.   </w:t>
      </w:r>
    </w:p>
    <w:p w14:paraId="12F82FDA" w14:textId="77777777" w:rsidR="00BE2C1D" w:rsidRPr="00BE2C1D" w:rsidRDefault="00BE2C1D" w:rsidP="00BE2C1D">
      <w:pPr>
        <w:spacing w:line="360" w:lineRule="auto"/>
        <w:jc w:val="both"/>
        <w:rPr>
          <w:rFonts w:eastAsiaTheme="minorEastAsia"/>
          <w:lang w:eastAsia="zh-CN"/>
        </w:rPr>
      </w:pPr>
      <w:r w:rsidRPr="00BE2C1D">
        <w:rPr>
          <w:rFonts w:eastAsiaTheme="minorEastAsia"/>
          <w:lang w:eastAsia="zh-CN"/>
        </w:rPr>
        <w:t xml:space="preserve">A second theme that was raised in the stories of participants was the intersection of youth and disability, or simply put, what it is like to be a disabled young person. Some participants discussed how the way their disability was understood got on their way in relation to acting as typical teenagers. Similarly, some participants referred to how activities which commonly take place during puberty, such as flirting, came later in their life. As Slater (2013) noted, youth studies have left disability out and disability studies have left out youth. When disabled youth is discussed, it is considered as a transition period from childhood to adulthood rather than a time with its own value. Therefore, research has focused on the transition of disabled young people to adulthood, without looking at what it means to be a disabled young person (for exception see Slater 2016). Similar to DCCS then, there either should be Disabled Young People’s Youth studies or disabled young people should also be researched within such a framework. </w:t>
      </w:r>
    </w:p>
    <w:p w14:paraId="56506874" w14:textId="77777777" w:rsidR="00BE2C1D" w:rsidRPr="00BE2C1D" w:rsidRDefault="00BE2C1D" w:rsidP="00BE2C1D">
      <w:pPr>
        <w:spacing w:line="360" w:lineRule="auto"/>
        <w:jc w:val="both"/>
        <w:rPr>
          <w:rFonts w:eastAsiaTheme="minorEastAsia"/>
          <w:lang w:eastAsia="zh-CN"/>
        </w:rPr>
      </w:pPr>
      <w:r w:rsidRPr="00BE2C1D">
        <w:rPr>
          <w:rFonts w:eastAsiaTheme="minorEastAsia"/>
          <w:lang w:eastAsia="zh-CN"/>
        </w:rPr>
        <w:t xml:space="preserve">Another theme that was not discussed extensively within the thesis was the aspirations, dreams and desires of the disabled young people. As I proposed in the beginning of this chapter, this thesis has provided a somewhat bleak picture, focusing on the multiple and multifaceted encounters of the participants with disablism and ableism. Nevertheless, during the interviews, the participants also discussed their future plans, aspirations etc. This is in line with the DCCS agenda (Curran and Runswick-Cole 2014) and more research needs to focus on these areas. </w:t>
      </w:r>
    </w:p>
    <w:p w14:paraId="65C41510" w14:textId="77777777" w:rsidR="00BE2C1D" w:rsidRPr="00BE2C1D" w:rsidRDefault="00BE2C1D" w:rsidP="00BE2C1D">
      <w:pPr>
        <w:spacing w:line="360" w:lineRule="auto"/>
        <w:jc w:val="both"/>
        <w:rPr>
          <w:rFonts w:eastAsiaTheme="minorEastAsia"/>
          <w:lang w:eastAsia="zh-CN"/>
        </w:rPr>
      </w:pPr>
      <w:r w:rsidRPr="00BE2C1D">
        <w:rPr>
          <w:rFonts w:eastAsiaTheme="minorEastAsia"/>
          <w:lang w:eastAsia="zh-CN"/>
        </w:rPr>
        <w:t xml:space="preserve">Last but not least, another topic that more attention should be paid to is the role of the body in narrative inquiry (Hyden 2013). As Sparkes and Smith (2011: 359) proposed, ‘the kind of body that one has and is becomes crucial to the kind of story told’. This was evident in participants’ stories, in which their bodies occupied a central role, as illustrated through the analysis chapters. As Smith (2007: 395) argued, </w:t>
      </w:r>
    </w:p>
    <w:p w14:paraId="2E68E85F" w14:textId="77777777" w:rsidR="00BE2C1D" w:rsidRPr="00BE2C1D" w:rsidRDefault="00BE2C1D" w:rsidP="00BE2C1D">
      <w:pPr>
        <w:spacing w:line="360" w:lineRule="auto"/>
        <w:ind w:left="720"/>
        <w:jc w:val="both"/>
        <w:rPr>
          <w:rFonts w:eastAsiaTheme="minorEastAsia"/>
          <w:sz w:val="20"/>
          <w:szCs w:val="20"/>
          <w:lang w:eastAsia="zh-CN"/>
        </w:rPr>
      </w:pPr>
      <w:r w:rsidRPr="00BE2C1D">
        <w:rPr>
          <w:rFonts w:eastAsiaTheme="minorEastAsia"/>
          <w:sz w:val="20"/>
          <w:szCs w:val="20"/>
          <w:lang w:eastAsia="zh-CN"/>
        </w:rPr>
        <w:lastRenderedPageBreak/>
        <w:t xml:space="preserve">Narrative researchers should not simply be content with theories and conceptual musing on and about the body. We also might turn our attention to generating stories from and with actual lived and living human bodies (Smith &amp;Sparkes, in press b). Bodies are partly connected and ‘known’ through narrative -the stories they tell. Indeed, we tell stories about, in, out of, and through our bodies. [..]This is a call, in effect, for an embodied rather than a disembodied narrative inquiry.” </w:t>
      </w:r>
    </w:p>
    <w:p w14:paraId="09A74B06" w14:textId="77777777" w:rsidR="00BE2C1D" w:rsidRPr="00BE2C1D" w:rsidRDefault="00BE2C1D" w:rsidP="00BE2C1D">
      <w:pPr>
        <w:spacing w:line="360" w:lineRule="auto"/>
        <w:jc w:val="both"/>
        <w:rPr>
          <w:rFonts w:eastAsiaTheme="minorEastAsia"/>
          <w:lang w:eastAsia="zh-CN"/>
        </w:rPr>
      </w:pPr>
      <w:r w:rsidRPr="00BE2C1D">
        <w:rPr>
          <w:rFonts w:eastAsiaTheme="minorEastAsia"/>
          <w:lang w:eastAsia="zh-CN"/>
        </w:rPr>
        <w:t xml:space="preserve">This call for an embodied narrative inquiry should also be responded to. </w:t>
      </w:r>
    </w:p>
    <w:p w14:paraId="71F5D5BB" w14:textId="77777777" w:rsidR="00BE2C1D" w:rsidRPr="00BE2C1D" w:rsidRDefault="00BE2C1D" w:rsidP="00BE2C1D">
      <w:pPr>
        <w:keepNext/>
        <w:keepLines/>
        <w:spacing w:before="40" w:after="0" w:line="360" w:lineRule="auto"/>
        <w:outlineLvl w:val="1"/>
        <w:rPr>
          <w:rFonts w:asciiTheme="majorHAnsi" w:eastAsiaTheme="majorEastAsia" w:hAnsiTheme="majorHAnsi" w:cstheme="majorBidi"/>
          <w:color w:val="2F5496" w:themeColor="accent1" w:themeShade="BF"/>
          <w:sz w:val="26"/>
          <w:szCs w:val="26"/>
          <w:lang w:eastAsia="zh-CN"/>
        </w:rPr>
      </w:pPr>
      <w:bookmarkStart w:id="192" w:name="_Toc39585298"/>
      <w:r w:rsidRPr="00BE2C1D">
        <w:rPr>
          <w:rFonts w:asciiTheme="majorHAnsi" w:eastAsiaTheme="majorEastAsia" w:hAnsiTheme="majorHAnsi" w:cstheme="majorBidi"/>
          <w:color w:val="2F5496" w:themeColor="accent1" w:themeShade="BF"/>
          <w:sz w:val="26"/>
          <w:szCs w:val="26"/>
          <w:lang w:eastAsia="zh-CN"/>
        </w:rPr>
        <w:t>Conclusions</w:t>
      </w:r>
      <w:bookmarkEnd w:id="192"/>
      <w:r w:rsidRPr="00BE2C1D">
        <w:rPr>
          <w:rFonts w:asciiTheme="majorHAnsi" w:eastAsiaTheme="majorEastAsia" w:hAnsiTheme="majorHAnsi" w:cstheme="majorBidi"/>
          <w:color w:val="2F5496" w:themeColor="accent1" w:themeShade="BF"/>
          <w:sz w:val="26"/>
          <w:szCs w:val="26"/>
          <w:lang w:eastAsia="zh-CN"/>
        </w:rPr>
        <w:t xml:space="preserve"> </w:t>
      </w:r>
    </w:p>
    <w:p w14:paraId="7F155BBE" w14:textId="77777777" w:rsidR="00BE2C1D" w:rsidRPr="00BE2C1D" w:rsidRDefault="00BE2C1D" w:rsidP="00BE2C1D">
      <w:pPr>
        <w:spacing w:line="360" w:lineRule="auto"/>
        <w:jc w:val="both"/>
        <w:rPr>
          <w:rFonts w:eastAsiaTheme="minorEastAsia"/>
          <w:lang w:eastAsia="zh-CN"/>
        </w:rPr>
      </w:pPr>
      <w:r w:rsidRPr="00BE2C1D">
        <w:rPr>
          <w:rFonts w:eastAsiaTheme="minorEastAsia"/>
          <w:lang w:eastAsia="zh-CN"/>
        </w:rPr>
        <w:t xml:space="preserve">By this point, this final chapter should have accomplished its goals: to provide a summary of the key findings of each analysis chapter and the common themes across the chapters of this thesis as well as to discuss the wider implications of this thesis in relation to knowledge production, research methodologies, educational policy, practitioners, and future research. This brief section draws the thesis to a close. To do so, I would like to share one last reflection, remaining faithful to the feminist orientation of this thesis, similar to how this thesis opened.  </w:t>
      </w:r>
    </w:p>
    <w:p w14:paraId="716D8F1E" w14:textId="77777777" w:rsidR="00BE2C1D" w:rsidRPr="00BE2C1D" w:rsidRDefault="00BE2C1D" w:rsidP="00BE2C1D">
      <w:pPr>
        <w:spacing w:line="360" w:lineRule="auto"/>
        <w:jc w:val="both"/>
        <w:rPr>
          <w:rFonts w:eastAsiaTheme="minorEastAsia"/>
          <w:lang w:eastAsia="zh-CN"/>
        </w:rPr>
      </w:pPr>
      <w:r w:rsidRPr="00BE2C1D">
        <w:rPr>
          <w:rFonts w:eastAsiaTheme="minorEastAsia"/>
          <w:lang w:eastAsia="zh-CN"/>
        </w:rPr>
        <w:t xml:space="preserve">Limerick et al. (1996: 458, italics in the original) proposed that ‘the interview’ should be conceptualised ‘as a </w:t>
      </w:r>
      <w:r w:rsidRPr="00BE2C1D">
        <w:rPr>
          <w:rFonts w:eastAsiaTheme="minorEastAsia"/>
          <w:i/>
          <w:iCs/>
          <w:lang w:eastAsia="zh-CN"/>
        </w:rPr>
        <w:t xml:space="preserve">gift </w:t>
      </w:r>
      <w:r w:rsidRPr="00BE2C1D">
        <w:rPr>
          <w:rFonts w:eastAsiaTheme="minorEastAsia"/>
          <w:lang w:eastAsia="zh-CN"/>
        </w:rPr>
        <w:t xml:space="preserve">of time, of text, and of understanding, that the interviewee gives to the interviewer.’ They added: </w:t>
      </w:r>
    </w:p>
    <w:p w14:paraId="13185EEC" w14:textId="77777777" w:rsidR="00BE2C1D" w:rsidRPr="00BE2C1D" w:rsidRDefault="00BE2C1D" w:rsidP="00BE2C1D">
      <w:pPr>
        <w:spacing w:line="360" w:lineRule="auto"/>
        <w:ind w:left="720"/>
        <w:jc w:val="both"/>
        <w:rPr>
          <w:rFonts w:eastAsiaTheme="minorEastAsia"/>
          <w:sz w:val="20"/>
          <w:szCs w:val="20"/>
          <w:lang w:eastAsia="zh-CN"/>
        </w:rPr>
      </w:pPr>
      <w:r w:rsidRPr="00BE2C1D">
        <w:rPr>
          <w:rFonts w:eastAsiaTheme="minorEastAsia"/>
          <w:sz w:val="20"/>
          <w:szCs w:val="20"/>
          <w:lang w:eastAsia="zh-CN"/>
        </w:rPr>
        <w:t>This gift is being entrusted to the care of the researcher as there is an ingredient of trust, on part of the interviewees, that the researcher will not betray them, abuse their power, or misuse their words. Adopting the metaphor of a gift compels the researcher to treat data with a degree of respect and to be continually sensitive to the giver. The notion of gift does not suggest a unidirectional power relationship in which the researcher is a passive receiver of the interviewees' stories, but rather commands a reconceptualization of the researcher as the conduit of the interviewees' stories, affording those interviewed a voice in the literature and the community (ibid: 458).</w:t>
      </w:r>
    </w:p>
    <w:p w14:paraId="28FE424D" w14:textId="77777777" w:rsidR="00BE2C1D" w:rsidRPr="00BE2C1D" w:rsidRDefault="00BE2C1D" w:rsidP="00BE2C1D">
      <w:pPr>
        <w:spacing w:line="360" w:lineRule="auto"/>
        <w:jc w:val="both"/>
        <w:rPr>
          <w:rFonts w:eastAsiaTheme="minorEastAsia"/>
          <w:lang w:eastAsia="zh-CN"/>
        </w:rPr>
      </w:pPr>
      <w:r w:rsidRPr="00BE2C1D">
        <w:rPr>
          <w:rFonts w:eastAsiaTheme="minorEastAsia"/>
          <w:lang w:eastAsia="zh-CN"/>
        </w:rPr>
        <w:t xml:space="preserve">The participants of this research blessed me with their stories, which they shared generously as gifts.  Without them, this thesis would not exist in the first place. I am beyond grateful for having been entrusted with these gifts.  Being gifted with these stories, though, also came with two responsibilities. Firstly, these gifts should be treated with respect and sensitivity, as Limerick et al. (1996) suggested. I hope that this thesis achieved this, that is, it took good care of these gifts and did justice to them. Secondly, as Curran et al. (2018: 47) argued, ‘If we invite young people to tell their stories and take no action, we risk exploiting their experience and repeating indifference.’ My responsibility did/does not only lie on treating these stories with respect, but also doing something with them, so some of these stories are not repeated. One such action is to share these findings (in an accessible format) with the disability associations and charities I worked with (and not only) - which already take action towards </w:t>
      </w:r>
      <w:r w:rsidRPr="00BE2C1D">
        <w:rPr>
          <w:rFonts w:eastAsiaTheme="minorEastAsia"/>
          <w:lang w:eastAsia="zh-CN"/>
        </w:rPr>
        <w:lastRenderedPageBreak/>
        <w:t>that direction, and work in collaboration with them with the purpose of ‘flipping the narrative’. Moreover, I would like these stories to reach a wider audience, for people to become aware of the injustices taking place in the current education system. To do so, a range of formats - research publications, podcasts - to communicate the findings of this research will be utilised. Furthermore, as hopeful as it might sound, I would like this research to reach the UK parliament. Equipping myself with the relevant training, which is provided by the university training</w:t>
      </w:r>
      <w:r w:rsidRPr="00BE2C1D">
        <w:rPr>
          <w:rFonts w:eastAsiaTheme="minorEastAsia"/>
          <w:vertAlign w:val="superscript"/>
          <w:lang w:eastAsia="zh-CN"/>
        </w:rPr>
        <w:footnoteReference w:id="149"/>
      </w:r>
      <w:r w:rsidRPr="00BE2C1D">
        <w:rPr>
          <w:rFonts w:eastAsiaTheme="minorEastAsia"/>
          <w:lang w:eastAsia="zh-CN"/>
        </w:rPr>
        <w:t xml:space="preserve"> (and making the right moves for this to be achieved (identifying and following the steps to do so) is what I aim to do next. The chances of this research to have an impact on educational policy by presenting it in the Parliament would potentially be higher. In a nutshell, the second responsibility is an ongoing task that will carry on beyond the completion of this thesis. Finally, I would like to state that the participants of this research did not only gift me with their stories, but also with their friendship. Both gifts - their stories and our friendship - have been priceless.   </w:t>
      </w:r>
    </w:p>
    <w:p w14:paraId="3D425126" w14:textId="77777777" w:rsidR="00BE2C1D" w:rsidRPr="00BE2C1D" w:rsidRDefault="00BE2C1D" w:rsidP="00BE2C1D">
      <w:pPr>
        <w:keepNext/>
        <w:keepLines/>
        <w:spacing w:before="240" w:after="0"/>
        <w:outlineLvl w:val="0"/>
        <w:rPr>
          <w:rFonts w:asciiTheme="majorHAnsi" w:eastAsiaTheme="majorEastAsia" w:hAnsiTheme="majorHAnsi" w:cstheme="majorBidi"/>
          <w:color w:val="2F5496" w:themeColor="accent1" w:themeShade="BF"/>
          <w:sz w:val="32"/>
          <w:szCs w:val="32"/>
        </w:rPr>
      </w:pPr>
    </w:p>
    <w:p w14:paraId="342FFC17" w14:textId="77777777" w:rsidR="00BE2C1D" w:rsidRPr="00BE2C1D" w:rsidRDefault="00BE2C1D" w:rsidP="00BE2C1D">
      <w:pPr>
        <w:keepNext/>
        <w:keepLines/>
        <w:spacing w:before="240" w:after="0"/>
        <w:outlineLvl w:val="0"/>
        <w:rPr>
          <w:rFonts w:asciiTheme="majorHAnsi" w:eastAsiaTheme="majorEastAsia" w:hAnsiTheme="majorHAnsi" w:cstheme="majorBidi"/>
          <w:color w:val="2F5496" w:themeColor="accent1" w:themeShade="BF"/>
          <w:sz w:val="32"/>
          <w:szCs w:val="32"/>
        </w:rPr>
      </w:pPr>
    </w:p>
    <w:p w14:paraId="2FE6DDAA" w14:textId="77777777" w:rsidR="00BE2C1D" w:rsidRPr="00BE2C1D" w:rsidRDefault="00BE2C1D" w:rsidP="00BE2C1D">
      <w:pPr>
        <w:keepNext/>
        <w:keepLines/>
        <w:spacing w:before="240" w:after="0"/>
        <w:outlineLvl w:val="0"/>
        <w:rPr>
          <w:rFonts w:asciiTheme="majorHAnsi" w:eastAsiaTheme="majorEastAsia" w:hAnsiTheme="majorHAnsi" w:cstheme="majorBidi"/>
          <w:color w:val="2F5496" w:themeColor="accent1" w:themeShade="BF"/>
          <w:sz w:val="32"/>
          <w:szCs w:val="32"/>
        </w:rPr>
      </w:pPr>
    </w:p>
    <w:p w14:paraId="46D29E65" w14:textId="77777777" w:rsidR="00BE2C1D" w:rsidRPr="00BE2C1D" w:rsidRDefault="00BE2C1D" w:rsidP="00BE2C1D">
      <w:pPr>
        <w:keepNext/>
        <w:keepLines/>
        <w:spacing w:before="240" w:after="0"/>
        <w:outlineLvl w:val="0"/>
        <w:rPr>
          <w:rFonts w:asciiTheme="majorHAnsi" w:eastAsiaTheme="majorEastAsia" w:hAnsiTheme="majorHAnsi" w:cstheme="majorBidi"/>
          <w:color w:val="2F5496" w:themeColor="accent1" w:themeShade="BF"/>
          <w:sz w:val="32"/>
          <w:szCs w:val="32"/>
        </w:rPr>
      </w:pPr>
    </w:p>
    <w:p w14:paraId="19136827" w14:textId="77777777" w:rsidR="00BE2C1D" w:rsidRPr="00BE2C1D" w:rsidRDefault="00BE2C1D" w:rsidP="00BE2C1D">
      <w:pPr>
        <w:keepNext/>
        <w:keepLines/>
        <w:spacing w:before="240" w:after="0"/>
        <w:outlineLvl w:val="0"/>
        <w:rPr>
          <w:rFonts w:asciiTheme="majorHAnsi" w:eastAsiaTheme="majorEastAsia" w:hAnsiTheme="majorHAnsi" w:cstheme="majorBidi"/>
          <w:color w:val="2F5496" w:themeColor="accent1" w:themeShade="BF"/>
          <w:sz w:val="32"/>
          <w:szCs w:val="32"/>
        </w:rPr>
      </w:pPr>
    </w:p>
    <w:p w14:paraId="188F6362" w14:textId="77777777" w:rsidR="00BE2C1D" w:rsidRPr="00BE2C1D" w:rsidRDefault="00BE2C1D" w:rsidP="00BE2C1D">
      <w:pPr>
        <w:keepNext/>
        <w:keepLines/>
        <w:spacing w:before="240" w:after="0"/>
        <w:outlineLvl w:val="0"/>
        <w:rPr>
          <w:rFonts w:asciiTheme="majorHAnsi" w:eastAsiaTheme="majorEastAsia" w:hAnsiTheme="majorHAnsi" w:cstheme="majorBidi"/>
          <w:color w:val="2F5496" w:themeColor="accent1" w:themeShade="BF"/>
          <w:sz w:val="32"/>
          <w:szCs w:val="32"/>
        </w:rPr>
      </w:pPr>
    </w:p>
    <w:p w14:paraId="4FE45774" w14:textId="77777777" w:rsidR="00BE2C1D" w:rsidRPr="00BE2C1D" w:rsidRDefault="00BE2C1D" w:rsidP="00BE2C1D">
      <w:pPr>
        <w:keepNext/>
        <w:keepLines/>
        <w:spacing w:before="240" w:after="0"/>
        <w:outlineLvl w:val="0"/>
        <w:rPr>
          <w:rFonts w:asciiTheme="majorHAnsi" w:eastAsiaTheme="majorEastAsia" w:hAnsiTheme="majorHAnsi" w:cstheme="majorBidi"/>
          <w:color w:val="2F5496" w:themeColor="accent1" w:themeShade="BF"/>
          <w:sz w:val="32"/>
          <w:szCs w:val="32"/>
        </w:rPr>
      </w:pPr>
    </w:p>
    <w:p w14:paraId="05FBE778" w14:textId="77777777" w:rsidR="00BE2C1D" w:rsidRPr="00BE2C1D" w:rsidRDefault="00BE2C1D" w:rsidP="00BE2C1D">
      <w:pPr>
        <w:keepNext/>
        <w:keepLines/>
        <w:spacing w:before="240" w:after="0"/>
        <w:outlineLvl w:val="0"/>
        <w:rPr>
          <w:rFonts w:asciiTheme="majorHAnsi" w:eastAsiaTheme="majorEastAsia" w:hAnsiTheme="majorHAnsi" w:cstheme="majorBidi"/>
          <w:color w:val="2F5496" w:themeColor="accent1" w:themeShade="BF"/>
          <w:sz w:val="32"/>
          <w:szCs w:val="32"/>
        </w:rPr>
      </w:pPr>
    </w:p>
    <w:p w14:paraId="2BEB9068" w14:textId="77777777" w:rsidR="00BE2C1D" w:rsidRPr="00BE2C1D" w:rsidRDefault="00BE2C1D" w:rsidP="00BE2C1D">
      <w:pPr>
        <w:keepNext/>
        <w:keepLines/>
        <w:spacing w:before="240" w:after="0"/>
        <w:outlineLvl w:val="0"/>
        <w:rPr>
          <w:rFonts w:asciiTheme="majorHAnsi" w:eastAsiaTheme="majorEastAsia" w:hAnsiTheme="majorHAnsi" w:cstheme="majorBidi"/>
          <w:color w:val="2F5496" w:themeColor="accent1" w:themeShade="BF"/>
          <w:sz w:val="32"/>
          <w:szCs w:val="32"/>
        </w:rPr>
      </w:pPr>
    </w:p>
    <w:p w14:paraId="070FA6E6" w14:textId="77777777" w:rsidR="00BE2C1D" w:rsidRPr="00BE2C1D" w:rsidRDefault="00BE2C1D" w:rsidP="00BE2C1D">
      <w:pPr>
        <w:keepNext/>
        <w:keepLines/>
        <w:spacing w:before="240" w:after="0"/>
        <w:outlineLvl w:val="0"/>
        <w:rPr>
          <w:rFonts w:asciiTheme="majorHAnsi" w:eastAsiaTheme="majorEastAsia" w:hAnsiTheme="majorHAnsi" w:cstheme="majorBidi"/>
          <w:color w:val="2F5496" w:themeColor="accent1" w:themeShade="BF"/>
          <w:sz w:val="32"/>
          <w:szCs w:val="32"/>
        </w:rPr>
      </w:pPr>
    </w:p>
    <w:p w14:paraId="7E82731C" w14:textId="77777777" w:rsidR="00BE2C1D" w:rsidRPr="00BE2C1D" w:rsidRDefault="00BE2C1D" w:rsidP="00BE2C1D">
      <w:pPr>
        <w:keepNext/>
        <w:keepLines/>
        <w:spacing w:before="240" w:after="0"/>
        <w:outlineLvl w:val="0"/>
        <w:rPr>
          <w:rFonts w:asciiTheme="majorHAnsi" w:eastAsiaTheme="majorEastAsia" w:hAnsiTheme="majorHAnsi" w:cstheme="majorBidi"/>
          <w:color w:val="2F5496" w:themeColor="accent1" w:themeShade="BF"/>
          <w:sz w:val="32"/>
          <w:szCs w:val="32"/>
        </w:rPr>
      </w:pPr>
    </w:p>
    <w:p w14:paraId="6D86E3CB" w14:textId="77777777" w:rsidR="00BE2C1D" w:rsidRPr="00BE2C1D" w:rsidRDefault="00BE2C1D" w:rsidP="00BE2C1D"/>
    <w:p w14:paraId="6ADDCEDE" w14:textId="77777777" w:rsidR="00BE2C1D" w:rsidRPr="00BE2C1D" w:rsidRDefault="00BE2C1D" w:rsidP="00BE2C1D"/>
    <w:p w14:paraId="5A55F8AF" w14:textId="77777777" w:rsidR="00BE2C1D" w:rsidRPr="00BE2C1D" w:rsidRDefault="00BE2C1D" w:rsidP="00BE2C1D">
      <w:pPr>
        <w:keepNext/>
        <w:keepLines/>
        <w:spacing w:before="240" w:after="0" w:line="360" w:lineRule="auto"/>
        <w:outlineLvl w:val="0"/>
        <w:rPr>
          <w:rFonts w:asciiTheme="majorHAnsi" w:eastAsiaTheme="majorEastAsia" w:hAnsiTheme="majorHAnsi" w:cstheme="majorBidi"/>
          <w:color w:val="2F5496" w:themeColor="accent1" w:themeShade="BF"/>
          <w:sz w:val="32"/>
          <w:szCs w:val="32"/>
        </w:rPr>
      </w:pPr>
      <w:bookmarkStart w:id="193" w:name="_Toc39585299"/>
      <w:r w:rsidRPr="00BE2C1D">
        <w:rPr>
          <w:rFonts w:asciiTheme="majorHAnsi" w:eastAsiaTheme="majorEastAsia" w:hAnsiTheme="majorHAnsi" w:cstheme="majorBidi"/>
          <w:color w:val="2F5496" w:themeColor="accent1" w:themeShade="BF"/>
          <w:sz w:val="32"/>
          <w:szCs w:val="32"/>
        </w:rPr>
        <w:lastRenderedPageBreak/>
        <w:t>References</w:t>
      </w:r>
      <w:bookmarkEnd w:id="193"/>
      <w:r w:rsidRPr="00BE2C1D">
        <w:rPr>
          <w:rFonts w:asciiTheme="majorHAnsi" w:eastAsiaTheme="majorEastAsia" w:hAnsiTheme="majorHAnsi" w:cstheme="majorBidi"/>
          <w:color w:val="2F5496" w:themeColor="accent1" w:themeShade="BF"/>
          <w:sz w:val="32"/>
          <w:szCs w:val="32"/>
        </w:rPr>
        <w:t xml:space="preserve"> </w:t>
      </w:r>
      <w:bookmarkStart w:id="194" w:name="_Hlk36742549"/>
      <w:bookmarkStart w:id="195" w:name="_Hlk37013196"/>
    </w:p>
    <w:p w14:paraId="2F3229EB" w14:textId="77777777" w:rsidR="00BE2C1D" w:rsidRPr="00BE2C1D" w:rsidRDefault="00BE2C1D" w:rsidP="00BE2C1D">
      <w:pPr>
        <w:spacing w:line="360" w:lineRule="auto"/>
        <w:jc w:val="both"/>
      </w:pPr>
      <w:r w:rsidRPr="00BE2C1D">
        <w:rPr>
          <w:rFonts w:eastAsia="Times New Roman"/>
          <w:bCs/>
          <w:lang w:eastAsia="en-GB"/>
        </w:rPr>
        <w:t xml:space="preserve">Abbott, D., 2012. </w:t>
      </w:r>
      <w:r w:rsidRPr="00BE2C1D">
        <w:t xml:space="preserve">Other Voices, Other Rooms: Reflections on Talking to Young Men with Duchenne Muscular Dystrophy and Their Families About Transition to Adulthood. </w:t>
      </w:r>
      <w:r w:rsidRPr="00BE2C1D">
        <w:rPr>
          <w:i/>
          <w:iCs/>
        </w:rPr>
        <w:t>Childhood &amp; Society</w:t>
      </w:r>
      <w:r w:rsidRPr="00BE2C1D">
        <w:t xml:space="preserve">. </w:t>
      </w:r>
      <w:r w:rsidRPr="00BE2C1D">
        <w:rPr>
          <w:b/>
          <w:bCs/>
        </w:rPr>
        <w:t>26</w:t>
      </w:r>
      <w:r w:rsidRPr="00BE2C1D">
        <w:t xml:space="preserve">(3), 241-250. </w:t>
      </w:r>
    </w:p>
    <w:p w14:paraId="327ED5C4" w14:textId="77777777" w:rsidR="00BE2C1D" w:rsidRPr="00BE2C1D" w:rsidRDefault="00BE2C1D" w:rsidP="00BE2C1D">
      <w:pPr>
        <w:spacing w:line="360" w:lineRule="auto"/>
        <w:jc w:val="both"/>
      </w:pPr>
      <w:r w:rsidRPr="00BE2C1D">
        <w:t xml:space="preserve">Abbott, D., (2013). Who says what, where, why and how? Doing real-world research with disabled children, young people and family members. In T. Curran and K. Runswick-Cole, eds. </w:t>
      </w:r>
      <w:r w:rsidRPr="00BE2C1D">
        <w:rPr>
          <w:i/>
          <w:iCs/>
        </w:rPr>
        <w:t>Disabled Children’s Childhood Studies: Critical Approaches in a global context</w:t>
      </w:r>
      <w:r w:rsidRPr="00BE2C1D">
        <w:t xml:space="preserve">. Basingstoke: Palgrave Macmillan. pp. 39-56. </w:t>
      </w:r>
    </w:p>
    <w:p w14:paraId="46DB9F49" w14:textId="77777777" w:rsidR="00BE2C1D" w:rsidRPr="00BE2C1D" w:rsidRDefault="00BE2C1D" w:rsidP="00BE2C1D">
      <w:pPr>
        <w:spacing w:line="360" w:lineRule="auto"/>
        <w:jc w:val="both"/>
        <w:rPr>
          <w:lang w:eastAsia="en-GB"/>
        </w:rPr>
      </w:pPr>
      <w:r w:rsidRPr="00BE2C1D">
        <w:t xml:space="preserve">Abbott, D. and Carpenter, J., 2014. ‘Wasting precious time’: young men with Duchenne muscular dystrophy negotiate the transition to adulthood. </w:t>
      </w:r>
      <w:r w:rsidRPr="00BE2C1D">
        <w:rPr>
          <w:i/>
          <w:iCs/>
        </w:rPr>
        <w:t>Disability &amp; Society.</w:t>
      </w:r>
      <w:r w:rsidRPr="00BE2C1D">
        <w:t xml:space="preserve"> </w:t>
      </w:r>
      <w:r w:rsidRPr="00BE2C1D">
        <w:rPr>
          <w:b/>
          <w:bCs/>
        </w:rPr>
        <w:t>29</w:t>
      </w:r>
      <w:r w:rsidRPr="00BE2C1D">
        <w:t>(8), 1192-1205.</w:t>
      </w:r>
    </w:p>
    <w:p w14:paraId="727AA09D" w14:textId="77777777" w:rsidR="00BE2C1D" w:rsidRPr="00BE2C1D" w:rsidRDefault="00BE2C1D" w:rsidP="00BE2C1D">
      <w:pPr>
        <w:spacing w:line="360" w:lineRule="auto"/>
        <w:jc w:val="both"/>
        <w:rPr>
          <w:lang w:eastAsia="en-GB"/>
        </w:rPr>
      </w:pPr>
      <w:r w:rsidRPr="00BE2C1D">
        <w:t xml:space="preserve">Abbott, D. and Carpenter, J., 2015. The Things that are Inside of You are Horrible: Children and Young Men with Duchenne Muscular Dystrophy Talk about the Impact of Living with a Long-term Condition. </w:t>
      </w:r>
      <w:r w:rsidRPr="00BE2C1D">
        <w:rPr>
          <w:i/>
          <w:iCs/>
        </w:rPr>
        <w:t>Child Care in Practice</w:t>
      </w:r>
      <w:r w:rsidRPr="00BE2C1D">
        <w:t xml:space="preserve">. </w:t>
      </w:r>
      <w:r w:rsidRPr="00BE2C1D">
        <w:rPr>
          <w:b/>
          <w:bCs/>
        </w:rPr>
        <w:t>21</w:t>
      </w:r>
      <w:r w:rsidRPr="00BE2C1D">
        <w:t>(1), 67-77.</w:t>
      </w:r>
    </w:p>
    <w:p w14:paraId="657092DB" w14:textId="77777777" w:rsidR="00BE2C1D" w:rsidRPr="00BE2C1D" w:rsidRDefault="00BE2C1D" w:rsidP="00BE2C1D">
      <w:pPr>
        <w:spacing w:line="360" w:lineRule="auto"/>
        <w:jc w:val="both"/>
        <w:rPr>
          <w:lang w:eastAsia="en-GB"/>
        </w:rPr>
      </w:pPr>
      <w:r w:rsidRPr="00BE2C1D">
        <w:rPr>
          <w:rFonts w:cstheme="minorHAnsi"/>
          <w:shd w:val="clear" w:color="auto" w:fill="FFFFFF"/>
        </w:rPr>
        <w:t>Abbott, D., Rotnem, D., Genel, M. and Cohen, D.J., 1982. Cognitive and emotional functioning in hypopituitary short-statured children. </w:t>
      </w:r>
      <w:r w:rsidRPr="00BE2C1D">
        <w:rPr>
          <w:rFonts w:cstheme="minorHAnsi"/>
          <w:i/>
          <w:iCs/>
          <w:shd w:val="clear" w:color="auto" w:fill="FFFFFF"/>
        </w:rPr>
        <w:t>Schizophrenia Bulletin</w:t>
      </w:r>
      <w:r w:rsidRPr="00BE2C1D">
        <w:rPr>
          <w:rFonts w:cstheme="minorHAnsi"/>
          <w:shd w:val="clear" w:color="auto" w:fill="FFFFFF"/>
        </w:rPr>
        <w:t>.  </w:t>
      </w:r>
      <w:r w:rsidRPr="00BE2C1D">
        <w:rPr>
          <w:rFonts w:cstheme="minorHAnsi"/>
          <w:b/>
          <w:bCs/>
          <w:shd w:val="clear" w:color="auto" w:fill="FFFFFF"/>
        </w:rPr>
        <w:t>8</w:t>
      </w:r>
      <w:r w:rsidRPr="00BE2C1D">
        <w:rPr>
          <w:rFonts w:cstheme="minorHAnsi"/>
          <w:shd w:val="clear" w:color="auto" w:fill="FFFFFF"/>
        </w:rPr>
        <w:t>(2), 310-319.</w:t>
      </w:r>
    </w:p>
    <w:p w14:paraId="2ABEC416" w14:textId="77777777" w:rsidR="00BE2C1D" w:rsidRPr="00BE2C1D" w:rsidRDefault="00BE2C1D" w:rsidP="00BE2C1D">
      <w:pPr>
        <w:spacing w:line="360" w:lineRule="auto"/>
        <w:jc w:val="both"/>
        <w:rPr>
          <w:rFonts w:cstheme="minorHAnsi"/>
          <w:shd w:val="clear" w:color="auto" w:fill="FFFFFF"/>
        </w:rPr>
      </w:pPr>
      <w:r w:rsidRPr="00BE2C1D">
        <w:rPr>
          <w:rFonts w:cstheme="minorHAnsi"/>
          <w:shd w:val="clear" w:color="auto" w:fill="FFFFFF"/>
        </w:rPr>
        <w:t>Abell, J., Locke, A., Condor, S., Gibson, S. and Stevenson, C., 2006. Trying similarity, doing difference: the role of interviewer self-disclosure in interview talk with young people. </w:t>
      </w:r>
      <w:r w:rsidRPr="00BE2C1D">
        <w:rPr>
          <w:rFonts w:cstheme="minorHAnsi"/>
          <w:i/>
          <w:iCs/>
          <w:shd w:val="clear" w:color="auto" w:fill="FFFFFF"/>
        </w:rPr>
        <w:t>Qualitative Research</w:t>
      </w:r>
      <w:r w:rsidRPr="00BE2C1D">
        <w:rPr>
          <w:rFonts w:cstheme="minorHAnsi"/>
          <w:shd w:val="clear" w:color="auto" w:fill="FFFFFF"/>
        </w:rPr>
        <w:t>. </w:t>
      </w:r>
      <w:r w:rsidRPr="00BE2C1D">
        <w:rPr>
          <w:rFonts w:cstheme="minorHAnsi"/>
          <w:b/>
          <w:bCs/>
          <w:shd w:val="clear" w:color="auto" w:fill="FFFFFF"/>
        </w:rPr>
        <w:t>6</w:t>
      </w:r>
      <w:r w:rsidRPr="00BE2C1D">
        <w:rPr>
          <w:rFonts w:cstheme="minorHAnsi"/>
          <w:shd w:val="clear" w:color="auto" w:fill="FFFFFF"/>
        </w:rPr>
        <w:t>(2), 221-244.</w:t>
      </w:r>
    </w:p>
    <w:p w14:paraId="73754260" w14:textId="77777777" w:rsidR="00BE2C1D" w:rsidRPr="00BE2C1D" w:rsidRDefault="00BE2C1D" w:rsidP="00BE2C1D">
      <w:pPr>
        <w:spacing w:line="360" w:lineRule="auto"/>
        <w:jc w:val="both"/>
        <w:rPr>
          <w:rFonts w:cstheme="minorHAnsi"/>
          <w:shd w:val="clear" w:color="auto" w:fill="FFFFFF"/>
        </w:rPr>
      </w:pPr>
      <w:r w:rsidRPr="00BE2C1D">
        <w:rPr>
          <w:rFonts w:cstheme="minorHAnsi"/>
          <w:shd w:val="clear" w:color="auto" w:fill="FFFFFF"/>
        </w:rPr>
        <w:t>Ablon, J., (1984). </w:t>
      </w:r>
      <w:r w:rsidRPr="00BE2C1D">
        <w:rPr>
          <w:rFonts w:cstheme="minorHAnsi"/>
          <w:i/>
          <w:iCs/>
          <w:shd w:val="clear" w:color="auto" w:fill="FFFFFF"/>
        </w:rPr>
        <w:t>Little people in America: The social dimension of dwarfism</w:t>
      </w:r>
      <w:r w:rsidRPr="00BE2C1D">
        <w:rPr>
          <w:rFonts w:cstheme="minorHAnsi"/>
          <w:shd w:val="clear" w:color="auto" w:fill="FFFFFF"/>
        </w:rPr>
        <w:t>. New York: Praeger.</w:t>
      </w:r>
    </w:p>
    <w:p w14:paraId="74805A87" w14:textId="77777777" w:rsidR="00BE2C1D" w:rsidRPr="00BE2C1D" w:rsidRDefault="00BE2C1D" w:rsidP="00BE2C1D">
      <w:pPr>
        <w:spacing w:line="360" w:lineRule="auto"/>
        <w:jc w:val="both"/>
        <w:rPr>
          <w:rFonts w:cstheme="minorHAnsi"/>
          <w:shd w:val="clear" w:color="auto" w:fill="FFFFFF"/>
        </w:rPr>
      </w:pPr>
      <w:r w:rsidRPr="00BE2C1D">
        <w:rPr>
          <w:rFonts w:cstheme="minorHAnsi"/>
          <w:shd w:val="clear" w:color="auto" w:fill="FFFFFF"/>
        </w:rPr>
        <w:t>Ablon, J., (1988). </w:t>
      </w:r>
      <w:r w:rsidRPr="00BE2C1D">
        <w:rPr>
          <w:rFonts w:cstheme="minorHAnsi"/>
          <w:i/>
          <w:iCs/>
          <w:shd w:val="clear" w:color="auto" w:fill="FFFFFF"/>
        </w:rPr>
        <w:t>Living with difference: Families with dwarf children</w:t>
      </w:r>
      <w:r w:rsidRPr="00BE2C1D">
        <w:rPr>
          <w:rFonts w:cstheme="minorHAnsi"/>
          <w:shd w:val="clear" w:color="auto" w:fill="FFFFFF"/>
        </w:rPr>
        <w:t>. New York: Praeger Publishers.</w:t>
      </w:r>
    </w:p>
    <w:p w14:paraId="7B1DDE68" w14:textId="77777777" w:rsidR="00BE2C1D" w:rsidRPr="00BE2C1D" w:rsidRDefault="00BE2C1D" w:rsidP="00BE2C1D">
      <w:pPr>
        <w:spacing w:line="360" w:lineRule="auto"/>
        <w:jc w:val="both"/>
        <w:rPr>
          <w:rFonts w:cstheme="minorHAnsi"/>
          <w:shd w:val="clear" w:color="auto" w:fill="FFFFFF"/>
        </w:rPr>
      </w:pPr>
      <w:r w:rsidRPr="00BE2C1D">
        <w:rPr>
          <w:rFonts w:cstheme="minorHAnsi"/>
          <w:shd w:val="clear" w:color="auto" w:fill="FFFFFF"/>
        </w:rPr>
        <w:t>Ablon, J., 1990. Ambiguity and difference: Families with dwarf children. </w:t>
      </w:r>
      <w:r w:rsidRPr="00BE2C1D">
        <w:rPr>
          <w:rFonts w:cstheme="minorHAnsi"/>
          <w:i/>
          <w:iCs/>
          <w:shd w:val="clear" w:color="auto" w:fill="FFFFFF"/>
        </w:rPr>
        <w:t>Social Science &amp; Medicine</w:t>
      </w:r>
      <w:r w:rsidRPr="00BE2C1D">
        <w:rPr>
          <w:rFonts w:cstheme="minorHAnsi"/>
          <w:shd w:val="clear" w:color="auto" w:fill="FFFFFF"/>
        </w:rPr>
        <w:t>. </w:t>
      </w:r>
      <w:r w:rsidRPr="00BE2C1D">
        <w:rPr>
          <w:rFonts w:cstheme="minorHAnsi"/>
          <w:b/>
          <w:bCs/>
          <w:shd w:val="clear" w:color="auto" w:fill="FFFFFF"/>
        </w:rPr>
        <w:t>30</w:t>
      </w:r>
      <w:r w:rsidRPr="00BE2C1D">
        <w:rPr>
          <w:rFonts w:cstheme="minorHAnsi"/>
          <w:shd w:val="clear" w:color="auto" w:fill="FFFFFF"/>
        </w:rPr>
        <w:t>(8), 879-887.</w:t>
      </w:r>
    </w:p>
    <w:p w14:paraId="43EA353D" w14:textId="77777777" w:rsidR="00BE2C1D" w:rsidRPr="00BE2C1D" w:rsidRDefault="00BE2C1D" w:rsidP="00BE2C1D">
      <w:pPr>
        <w:spacing w:line="360" w:lineRule="auto"/>
        <w:rPr>
          <w:rFonts w:cstheme="minorHAnsi"/>
          <w:shd w:val="clear" w:color="auto" w:fill="FFFFFF"/>
        </w:rPr>
      </w:pPr>
      <w:r w:rsidRPr="00BE2C1D">
        <w:rPr>
          <w:rFonts w:cstheme="minorHAnsi"/>
          <w:shd w:val="clear" w:color="auto" w:fill="FFFFFF"/>
        </w:rPr>
        <w:t>Abrams, T., Abbott, D. and Mistry, B., 2020. Ableist Constructions of Time? Boys and Men with Duchenne Muscular Dystrophy Managing the Uncertainty of a Shorter Life. </w:t>
      </w:r>
      <w:r w:rsidRPr="00BE2C1D">
        <w:rPr>
          <w:rFonts w:cstheme="minorHAnsi"/>
          <w:i/>
          <w:iCs/>
          <w:bdr w:val="none" w:sz="0" w:space="0" w:color="auto" w:frame="1"/>
          <w:shd w:val="clear" w:color="auto" w:fill="FFFFFF"/>
        </w:rPr>
        <w:t>Scandinavian Journal of Disability Research</w:t>
      </w:r>
      <w:r w:rsidRPr="00BE2C1D">
        <w:rPr>
          <w:rFonts w:cstheme="minorHAnsi"/>
          <w:shd w:val="clear" w:color="auto" w:fill="FFFFFF"/>
        </w:rPr>
        <w:t xml:space="preserve">. </w:t>
      </w:r>
      <w:r w:rsidRPr="00BE2C1D">
        <w:rPr>
          <w:rFonts w:cstheme="minorHAnsi"/>
          <w:b/>
          <w:bCs/>
          <w:shd w:val="clear" w:color="auto" w:fill="FFFFFF"/>
        </w:rPr>
        <w:t>22</w:t>
      </w:r>
      <w:r w:rsidRPr="00BE2C1D">
        <w:rPr>
          <w:rFonts w:cstheme="minorHAnsi"/>
          <w:shd w:val="clear" w:color="auto" w:fill="FFFFFF"/>
        </w:rPr>
        <w:t>(1), 48–57.</w:t>
      </w:r>
    </w:p>
    <w:p w14:paraId="0B094FF0" w14:textId="77777777" w:rsidR="00BE2C1D" w:rsidRPr="00BE2C1D" w:rsidRDefault="00BE2C1D" w:rsidP="00BE2C1D">
      <w:pPr>
        <w:spacing w:line="360" w:lineRule="auto"/>
        <w:jc w:val="both"/>
        <w:rPr>
          <w:rFonts w:cstheme="minorHAnsi"/>
          <w:lang w:eastAsia="en-GB"/>
        </w:rPr>
      </w:pPr>
      <w:r w:rsidRPr="00BE2C1D">
        <w:rPr>
          <w:rFonts w:cstheme="minorHAnsi"/>
          <w:shd w:val="clear" w:color="auto" w:fill="FFFFFF"/>
        </w:rPr>
        <w:t>Adelson, B., 2005a. Dwarfs: The changing lives of archetypal 'curiosities'—and echoes of the past. </w:t>
      </w:r>
      <w:r w:rsidRPr="00BE2C1D">
        <w:rPr>
          <w:rFonts w:cstheme="minorHAnsi"/>
          <w:i/>
          <w:iCs/>
          <w:shd w:val="clear" w:color="auto" w:fill="FFFFFF"/>
        </w:rPr>
        <w:t>Disability Studies Quarterly</w:t>
      </w:r>
      <w:r w:rsidRPr="00BE2C1D">
        <w:rPr>
          <w:rFonts w:cstheme="minorHAnsi"/>
          <w:shd w:val="clear" w:color="auto" w:fill="FFFFFF"/>
        </w:rPr>
        <w:t>. </w:t>
      </w:r>
      <w:r w:rsidRPr="00BE2C1D">
        <w:rPr>
          <w:rFonts w:cstheme="minorHAnsi"/>
          <w:b/>
          <w:bCs/>
          <w:shd w:val="clear" w:color="auto" w:fill="FFFFFF"/>
        </w:rPr>
        <w:t>25</w:t>
      </w:r>
      <w:r w:rsidRPr="00BE2C1D">
        <w:rPr>
          <w:rFonts w:cstheme="minorHAnsi"/>
          <w:shd w:val="clear" w:color="auto" w:fill="FFFFFF"/>
        </w:rPr>
        <w:t xml:space="preserve">(3), n.p. </w:t>
      </w:r>
    </w:p>
    <w:p w14:paraId="7F4C5771" w14:textId="77777777" w:rsidR="00BE2C1D" w:rsidRPr="00BE2C1D" w:rsidRDefault="00BE2C1D" w:rsidP="00BE2C1D">
      <w:pPr>
        <w:spacing w:line="360" w:lineRule="auto"/>
        <w:rPr>
          <w:rFonts w:cstheme="minorHAnsi"/>
          <w:shd w:val="clear" w:color="auto" w:fill="FFFFFF"/>
        </w:rPr>
      </w:pPr>
      <w:r w:rsidRPr="00BE2C1D">
        <w:rPr>
          <w:rFonts w:cstheme="minorHAnsi"/>
          <w:shd w:val="clear" w:color="auto" w:fill="FFFFFF"/>
        </w:rPr>
        <w:t>Adelson, B.M., (2005b). </w:t>
      </w:r>
      <w:r w:rsidRPr="00BE2C1D">
        <w:rPr>
          <w:rFonts w:cstheme="minorHAnsi"/>
          <w:i/>
          <w:iCs/>
          <w:shd w:val="clear" w:color="auto" w:fill="FFFFFF"/>
        </w:rPr>
        <w:t>The lives of dwarfs: Their journey from public curiosity toward social liberation</w:t>
      </w:r>
      <w:r w:rsidRPr="00BE2C1D">
        <w:rPr>
          <w:rFonts w:cstheme="minorHAnsi"/>
          <w:shd w:val="clear" w:color="auto" w:fill="FFFFFF"/>
        </w:rPr>
        <w:t xml:space="preserve">. </w:t>
      </w:r>
      <w:r w:rsidRPr="00BE2C1D">
        <w:rPr>
          <w:rFonts w:cstheme="minorHAnsi"/>
        </w:rPr>
        <w:t xml:space="preserve">New Brunswick: </w:t>
      </w:r>
      <w:r w:rsidRPr="00BE2C1D">
        <w:rPr>
          <w:rFonts w:cstheme="minorHAnsi"/>
          <w:shd w:val="clear" w:color="auto" w:fill="FFFFFF"/>
        </w:rPr>
        <w:t>Rutgers University Press.</w:t>
      </w:r>
    </w:p>
    <w:p w14:paraId="2EC37F2A" w14:textId="77777777" w:rsidR="00BE2C1D" w:rsidRPr="00BE2C1D" w:rsidRDefault="00BE2C1D" w:rsidP="00BE2C1D">
      <w:pPr>
        <w:spacing w:line="360" w:lineRule="auto"/>
        <w:rPr>
          <w:rFonts w:cstheme="minorHAnsi"/>
          <w:shd w:val="clear" w:color="auto" w:fill="FFFFFF"/>
        </w:rPr>
      </w:pPr>
      <w:r w:rsidRPr="00BE2C1D">
        <w:rPr>
          <w:rFonts w:cstheme="minorHAnsi"/>
          <w:shd w:val="clear" w:color="auto" w:fill="FFFFFF"/>
        </w:rPr>
        <w:lastRenderedPageBreak/>
        <w:t>Adelson, B.M., (2005c). </w:t>
      </w:r>
      <w:r w:rsidRPr="00BE2C1D">
        <w:rPr>
          <w:rFonts w:cstheme="minorHAnsi"/>
          <w:i/>
          <w:iCs/>
          <w:shd w:val="clear" w:color="auto" w:fill="FFFFFF"/>
        </w:rPr>
        <w:t>Dwarfism: medical and psychosocial aspects of profound short stature</w:t>
      </w:r>
      <w:r w:rsidRPr="00BE2C1D">
        <w:rPr>
          <w:rFonts w:cstheme="minorHAnsi"/>
          <w:shd w:val="clear" w:color="auto" w:fill="FFFFFF"/>
        </w:rPr>
        <w:t>. Baltimore: John Hopkins University Press.</w:t>
      </w:r>
    </w:p>
    <w:p w14:paraId="1CF24481" w14:textId="77777777" w:rsidR="00BE2C1D" w:rsidRPr="00BE2C1D" w:rsidRDefault="00BE2C1D" w:rsidP="00BE2C1D">
      <w:pPr>
        <w:spacing w:line="360" w:lineRule="auto"/>
        <w:rPr>
          <w:rFonts w:cstheme="minorHAnsi"/>
          <w:shd w:val="clear" w:color="auto" w:fill="FFFFFF"/>
        </w:rPr>
      </w:pPr>
      <w:r w:rsidRPr="00BE2C1D">
        <w:rPr>
          <w:rFonts w:cstheme="minorHAnsi"/>
          <w:shd w:val="clear" w:color="auto" w:fill="FFFFFF"/>
        </w:rPr>
        <w:t>Agbebiyi, A., 2013. Tiers of gatekeepers and ethical practice: researching adolescent students and sexually explicit online material. </w:t>
      </w:r>
      <w:r w:rsidRPr="00BE2C1D">
        <w:rPr>
          <w:rFonts w:cstheme="minorHAnsi"/>
          <w:i/>
          <w:iCs/>
          <w:shd w:val="clear" w:color="auto" w:fill="FFFFFF"/>
        </w:rPr>
        <w:t>International Journal of Social Research Methodology</w:t>
      </w:r>
      <w:r w:rsidRPr="00BE2C1D">
        <w:rPr>
          <w:rFonts w:cstheme="minorHAnsi"/>
          <w:shd w:val="clear" w:color="auto" w:fill="FFFFFF"/>
        </w:rPr>
        <w:t>. </w:t>
      </w:r>
      <w:r w:rsidRPr="00BE2C1D">
        <w:rPr>
          <w:rFonts w:cstheme="minorHAnsi"/>
          <w:b/>
          <w:bCs/>
          <w:shd w:val="clear" w:color="auto" w:fill="FFFFFF"/>
        </w:rPr>
        <w:t>16</w:t>
      </w:r>
      <w:r w:rsidRPr="00BE2C1D">
        <w:rPr>
          <w:rFonts w:cstheme="minorHAnsi"/>
          <w:shd w:val="clear" w:color="auto" w:fill="FFFFFF"/>
        </w:rPr>
        <w:t>(6), 535-540.</w:t>
      </w:r>
    </w:p>
    <w:p w14:paraId="153ABEF7" w14:textId="77777777" w:rsidR="00BE2C1D" w:rsidRPr="00BE2C1D" w:rsidRDefault="00BE2C1D" w:rsidP="00BE2C1D">
      <w:pPr>
        <w:spacing w:line="360" w:lineRule="auto"/>
        <w:rPr>
          <w:rFonts w:cstheme="minorHAnsi"/>
          <w:shd w:val="clear" w:color="auto" w:fill="FFFFFF"/>
        </w:rPr>
      </w:pPr>
      <w:r w:rsidRPr="00BE2C1D">
        <w:rPr>
          <w:rFonts w:cstheme="minorHAnsi"/>
          <w:shd w:val="clear" w:color="auto" w:fill="FFFFFF"/>
        </w:rPr>
        <w:t>Agha, S.R., 2010. School furniture match to students' anthropometry in the Gaza Strip. </w:t>
      </w:r>
      <w:r w:rsidRPr="00BE2C1D">
        <w:rPr>
          <w:rFonts w:cstheme="minorHAnsi"/>
          <w:i/>
          <w:iCs/>
          <w:shd w:val="clear" w:color="auto" w:fill="FFFFFF"/>
        </w:rPr>
        <w:t>Ergonomics</w:t>
      </w:r>
      <w:r w:rsidRPr="00BE2C1D">
        <w:rPr>
          <w:rFonts w:cstheme="minorHAnsi"/>
          <w:shd w:val="clear" w:color="auto" w:fill="FFFFFF"/>
        </w:rPr>
        <w:t>. </w:t>
      </w:r>
      <w:r w:rsidRPr="00BE2C1D">
        <w:rPr>
          <w:rFonts w:cstheme="minorHAnsi"/>
          <w:b/>
          <w:bCs/>
          <w:shd w:val="clear" w:color="auto" w:fill="FFFFFF"/>
        </w:rPr>
        <w:t>53</w:t>
      </w:r>
      <w:r w:rsidRPr="00BE2C1D">
        <w:rPr>
          <w:rFonts w:cstheme="minorHAnsi"/>
          <w:shd w:val="clear" w:color="auto" w:fill="FFFFFF"/>
        </w:rPr>
        <w:t>(3), 344-354.</w:t>
      </w:r>
    </w:p>
    <w:p w14:paraId="09BCC2C1" w14:textId="77777777" w:rsidR="00BE2C1D" w:rsidRPr="00BE2C1D" w:rsidRDefault="00BE2C1D" w:rsidP="00BE2C1D">
      <w:pPr>
        <w:spacing w:line="360" w:lineRule="auto"/>
        <w:jc w:val="both"/>
        <w:rPr>
          <w:rFonts w:cstheme="minorHAnsi"/>
          <w:lang w:val="en-US"/>
        </w:rPr>
      </w:pPr>
      <w:r w:rsidRPr="00BE2C1D">
        <w:rPr>
          <w:rFonts w:cstheme="minorHAnsi"/>
          <w:lang w:val="en-US"/>
        </w:rPr>
        <w:t xml:space="preserve">Ahlvik-Harju, C., 2016. Disturbing Bodies – Reimagining Comforting Narratives of Embodiment through Feminist Disability Studies. </w:t>
      </w:r>
      <w:r w:rsidRPr="00BE2C1D">
        <w:rPr>
          <w:rFonts w:cstheme="minorHAnsi"/>
          <w:i/>
          <w:iCs/>
          <w:lang w:val="en-US"/>
        </w:rPr>
        <w:t>Scandinavian Journal of Disability Research.</w:t>
      </w:r>
      <w:r w:rsidRPr="00BE2C1D">
        <w:rPr>
          <w:rFonts w:cstheme="minorHAnsi"/>
          <w:lang w:val="en-US"/>
        </w:rPr>
        <w:t xml:space="preserve"> </w:t>
      </w:r>
      <w:r w:rsidRPr="00BE2C1D">
        <w:rPr>
          <w:rFonts w:cstheme="minorHAnsi"/>
          <w:b/>
          <w:bCs/>
          <w:lang w:val="en-US"/>
        </w:rPr>
        <w:t>18</w:t>
      </w:r>
      <w:r w:rsidRPr="00BE2C1D">
        <w:rPr>
          <w:rFonts w:cstheme="minorHAnsi"/>
          <w:lang w:val="en-US"/>
        </w:rPr>
        <w:t>(3), 222-233.</w:t>
      </w:r>
    </w:p>
    <w:p w14:paraId="2988225B" w14:textId="77777777" w:rsidR="00BE2C1D" w:rsidRPr="00BE2C1D" w:rsidRDefault="00BE2C1D" w:rsidP="00BE2C1D">
      <w:pPr>
        <w:spacing w:line="360" w:lineRule="auto"/>
        <w:jc w:val="both"/>
        <w:rPr>
          <w:rFonts w:cstheme="minorHAnsi"/>
          <w:lang w:val="en-US"/>
        </w:rPr>
      </w:pPr>
      <w:r w:rsidRPr="00BE2C1D">
        <w:rPr>
          <w:rFonts w:cstheme="minorHAnsi"/>
          <w:shd w:val="clear" w:color="auto" w:fill="FFFFFF"/>
        </w:rPr>
        <w:t>Ahmed, S., (2006). </w:t>
      </w:r>
      <w:r w:rsidRPr="00BE2C1D">
        <w:rPr>
          <w:rFonts w:cstheme="minorHAnsi"/>
          <w:i/>
          <w:iCs/>
          <w:shd w:val="clear" w:color="auto" w:fill="FFFFFF"/>
        </w:rPr>
        <w:t>Queer phenomenology: Orientations, objects, others</w:t>
      </w:r>
      <w:r w:rsidRPr="00BE2C1D">
        <w:rPr>
          <w:rFonts w:cstheme="minorHAnsi"/>
          <w:shd w:val="clear" w:color="auto" w:fill="FFFFFF"/>
        </w:rPr>
        <w:t>. Durham and London: Duke University Press.</w:t>
      </w:r>
    </w:p>
    <w:p w14:paraId="669AD865" w14:textId="77777777" w:rsidR="00BE2C1D" w:rsidRPr="00BE2C1D" w:rsidRDefault="00BE2C1D" w:rsidP="00BE2C1D">
      <w:pPr>
        <w:spacing w:line="360" w:lineRule="auto"/>
        <w:rPr>
          <w:rFonts w:cstheme="minorHAnsi"/>
          <w:shd w:val="clear" w:color="auto" w:fill="FFFFFF"/>
        </w:rPr>
      </w:pPr>
      <w:r w:rsidRPr="00BE2C1D">
        <w:rPr>
          <w:rFonts w:cstheme="minorHAnsi"/>
          <w:shd w:val="clear" w:color="auto" w:fill="FFFFFF"/>
        </w:rPr>
        <w:t>Ahmed, S., (2012). </w:t>
      </w:r>
      <w:r w:rsidRPr="00BE2C1D">
        <w:rPr>
          <w:rFonts w:cstheme="minorHAnsi"/>
          <w:i/>
          <w:iCs/>
          <w:shd w:val="clear" w:color="auto" w:fill="FFFFFF"/>
        </w:rPr>
        <w:t>On being included: Racism and diversity in institutional life</w:t>
      </w:r>
      <w:r w:rsidRPr="00BE2C1D">
        <w:rPr>
          <w:rFonts w:cstheme="minorHAnsi"/>
          <w:shd w:val="clear" w:color="auto" w:fill="FFFFFF"/>
        </w:rPr>
        <w:t>. Durham and London: Duke University Press.</w:t>
      </w:r>
    </w:p>
    <w:p w14:paraId="5D6C84A3" w14:textId="77777777" w:rsidR="00BE2C1D" w:rsidRPr="00BE2C1D" w:rsidRDefault="00BE2C1D" w:rsidP="00BE2C1D">
      <w:pPr>
        <w:spacing w:line="360" w:lineRule="auto"/>
        <w:rPr>
          <w:rFonts w:cstheme="minorHAnsi"/>
          <w:shd w:val="clear" w:color="auto" w:fill="FFFFFF"/>
        </w:rPr>
      </w:pPr>
      <w:r w:rsidRPr="00BE2C1D">
        <w:rPr>
          <w:rFonts w:cstheme="minorHAnsi"/>
          <w:shd w:val="clear" w:color="auto" w:fill="FFFFFF"/>
        </w:rPr>
        <w:t>Alcoff, L., 1991. The problem of speaking for others. </w:t>
      </w:r>
      <w:r w:rsidRPr="00BE2C1D">
        <w:rPr>
          <w:rFonts w:cstheme="minorHAnsi"/>
          <w:i/>
          <w:iCs/>
          <w:shd w:val="clear" w:color="auto" w:fill="FFFFFF"/>
        </w:rPr>
        <w:t>Cultural critique</w:t>
      </w:r>
      <w:r w:rsidRPr="00BE2C1D">
        <w:rPr>
          <w:rFonts w:cstheme="minorHAnsi"/>
          <w:shd w:val="clear" w:color="auto" w:fill="FFFFFF"/>
        </w:rPr>
        <w:t xml:space="preserve">. </w:t>
      </w:r>
      <w:r w:rsidRPr="00BE2C1D">
        <w:rPr>
          <w:rFonts w:cstheme="minorHAnsi"/>
          <w:b/>
          <w:bCs/>
          <w:shd w:val="clear" w:color="auto" w:fill="FFFFFF"/>
        </w:rPr>
        <w:t>20,</w:t>
      </w:r>
      <w:r w:rsidRPr="00BE2C1D">
        <w:rPr>
          <w:rFonts w:cstheme="minorHAnsi"/>
          <w:shd w:val="clear" w:color="auto" w:fill="FFFFFF"/>
        </w:rPr>
        <w:t xml:space="preserve"> 5-32.</w:t>
      </w:r>
    </w:p>
    <w:p w14:paraId="27295B46" w14:textId="77777777" w:rsidR="00BE2C1D" w:rsidRPr="00BE2C1D" w:rsidRDefault="00BE2C1D" w:rsidP="00BE2C1D">
      <w:pPr>
        <w:spacing w:line="360" w:lineRule="auto"/>
        <w:rPr>
          <w:rFonts w:cstheme="minorHAnsi"/>
        </w:rPr>
      </w:pPr>
      <w:r w:rsidRPr="00BE2C1D">
        <w:rPr>
          <w:rFonts w:cstheme="minorHAnsi"/>
          <w:shd w:val="clear" w:color="auto" w:fill="FFFFFF"/>
        </w:rPr>
        <w:t>Alcoff, L. and Gray, L., 1993. Survivor discourse: Transgression or recuperation?. </w:t>
      </w:r>
      <w:r w:rsidRPr="00BE2C1D">
        <w:rPr>
          <w:rFonts w:cstheme="minorHAnsi"/>
          <w:i/>
          <w:iCs/>
          <w:shd w:val="clear" w:color="auto" w:fill="FFFFFF"/>
        </w:rPr>
        <w:t>Signs: Journal of Women in Culture and Society</w:t>
      </w:r>
      <w:r w:rsidRPr="00BE2C1D">
        <w:rPr>
          <w:rFonts w:cstheme="minorHAnsi"/>
          <w:shd w:val="clear" w:color="auto" w:fill="FFFFFF"/>
        </w:rPr>
        <w:t>. </w:t>
      </w:r>
      <w:r w:rsidRPr="00BE2C1D">
        <w:rPr>
          <w:rFonts w:cstheme="minorHAnsi"/>
          <w:b/>
          <w:bCs/>
          <w:shd w:val="clear" w:color="auto" w:fill="FFFFFF"/>
        </w:rPr>
        <w:t>18</w:t>
      </w:r>
      <w:r w:rsidRPr="00BE2C1D">
        <w:rPr>
          <w:rFonts w:cstheme="minorHAnsi"/>
          <w:shd w:val="clear" w:color="auto" w:fill="FFFFFF"/>
        </w:rPr>
        <w:t>(2), 260-290.</w:t>
      </w:r>
    </w:p>
    <w:p w14:paraId="789F6225" w14:textId="77777777" w:rsidR="00BE2C1D" w:rsidRPr="00BE2C1D" w:rsidRDefault="00BE2C1D" w:rsidP="00BE2C1D">
      <w:pPr>
        <w:spacing w:line="360" w:lineRule="auto"/>
        <w:rPr>
          <w:rFonts w:cstheme="minorHAnsi"/>
          <w:shd w:val="clear" w:color="auto" w:fill="FFFFFF"/>
        </w:rPr>
      </w:pPr>
      <w:r w:rsidRPr="00BE2C1D">
        <w:rPr>
          <w:rFonts w:cstheme="minorHAnsi"/>
          <w:shd w:val="clear" w:color="auto" w:fill="FFFFFF"/>
        </w:rPr>
        <w:t>Allan, J., 1996. Foucault and special educational needs: A 'box of tools' for analysing children's experiences of mainstreaming. </w:t>
      </w:r>
      <w:r w:rsidRPr="00BE2C1D">
        <w:rPr>
          <w:rFonts w:cstheme="minorHAnsi"/>
          <w:i/>
          <w:iCs/>
          <w:shd w:val="clear" w:color="auto" w:fill="FFFFFF"/>
        </w:rPr>
        <w:t>Disability &amp; Society</w:t>
      </w:r>
      <w:r w:rsidRPr="00BE2C1D">
        <w:rPr>
          <w:rFonts w:cstheme="minorHAnsi"/>
          <w:shd w:val="clear" w:color="auto" w:fill="FFFFFF"/>
        </w:rPr>
        <w:t>. </w:t>
      </w:r>
      <w:r w:rsidRPr="00BE2C1D">
        <w:rPr>
          <w:rFonts w:cstheme="minorHAnsi"/>
          <w:b/>
          <w:bCs/>
          <w:shd w:val="clear" w:color="auto" w:fill="FFFFFF"/>
        </w:rPr>
        <w:t>11</w:t>
      </w:r>
      <w:r w:rsidRPr="00BE2C1D">
        <w:rPr>
          <w:rFonts w:cstheme="minorHAnsi"/>
          <w:shd w:val="clear" w:color="auto" w:fill="FFFFFF"/>
        </w:rPr>
        <w:t>(2), 219-234.</w:t>
      </w:r>
    </w:p>
    <w:p w14:paraId="15851DDB" w14:textId="77777777" w:rsidR="00BE2C1D" w:rsidRPr="00BE2C1D" w:rsidRDefault="00BE2C1D" w:rsidP="00BE2C1D">
      <w:pPr>
        <w:spacing w:line="360" w:lineRule="auto"/>
        <w:rPr>
          <w:rFonts w:cstheme="minorHAnsi"/>
        </w:rPr>
      </w:pPr>
      <w:r w:rsidRPr="00BE2C1D">
        <w:rPr>
          <w:rFonts w:cstheme="minorHAnsi"/>
          <w:shd w:val="clear" w:color="auto" w:fill="FFFFFF"/>
        </w:rPr>
        <w:t>Allan, J., (2007). </w:t>
      </w:r>
      <w:r w:rsidRPr="00BE2C1D">
        <w:rPr>
          <w:rFonts w:cstheme="minorHAnsi"/>
          <w:i/>
          <w:iCs/>
          <w:shd w:val="clear" w:color="auto" w:fill="FFFFFF"/>
        </w:rPr>
        <w:t xml:space="preserve">Rethinking inclusive education: The philosophers of difference in practice. </w:t>
      </w:r>
      <w:r w:rsidRPr="00BE2C1D">
        <w:rPr>
          <w:rFonts w:cstheme="minorHAnsi"/>
          <w:shd w:val="clear" w:color="auto" w:fill="FFFFFF"/>
        </w:rPr>
        <w:t>The Netherlands: Springer.</w:t>
      </w:r>
    </w:p>
    <w:p w14:paraId="2ED70A24" w14:textId="77777777" w:rsidR="00BE2C1D" w:rsidRPr="00BE2C1D" w:rsidRDefault="00BE2C1D" w:rsidP="00BE2C1D">
      <w:pPr>
        <w:spacing w:line="360" w:lineRule="auto"/>
        <w:rPr>
          <w:rFonts w:cstheme="minorHAnsi"/>
        </w:rPr>
      </w:pPr>
      <w:r w:rsidRPr="00BE2C1D">
        <w:rPr>
          <w:rFonts w:cstheme="minorHAnsi"/>
        </w:rPr>
        <w:t xml:space="preserve">Allen, D., &amp; Frost, N., 1990. Growth hormone therapy for short stature: panacea or Pandora’s box? </w:t>
      </w:r>
      <w:r w:rsidRPr="00BE2C1D">
        <w:rPr>
          <w:rFonts w:cstheme="minorHAnsi"/>
          <w:i/>
          <w:iCs/>
        </w:rPr>
        <w:t>Journal of Pediatrics</w:t>
      </w:r>
      <w:r w:rsidRPr="00BE2C1D">
        <w:rPr>
          <w:rFonts w:cstheme="minorHAnsi"/>
        </w:rPr>
        <w:t xml:space="preserve">. </w:t>
      </w:r>
      <w:r w:rsidRPr="00BE2C1D">
        <w:rPr>
          <w:rFonts w:cstheme="minorHAnsi"/>
          <w:b/>
          <w:bCs/>
        </w:rPr>
        <w:t>117</w:t>
      </w:r>
      <w:r w:rsidRPr="00BE2C1D">
        <w:rPr>
          <w:rFonts w:cstheme="minorHAnsi"/>
        </w:rPr>
        <w:t>(1), 16-21.</w:t>
      </w:r>
    </w:p>
    <w:p w14:paraId="0AACC7AB" w14:textId="77777777" w:rsidR="00BE2C1D" w:rsidRPr="00BE2C1D" w:rsidRDefault="00BE2C1D" w:rsidP="00BE2C1D">
      <w:pPr>
        <w:spacing w:line="360" w:lineRule="auto"/>
        <w:rPr>
          <w:rFonts w:cstheme="minorHAnsi"/>
          <w:shd w:val="clear" w:color="auto" w:fill="FFFFFF"/>
        </w:rPr>
      </w:pPr>
      <w:r w:rsidRPr="00BE2C1D">
        <w:rPr>
          <w:rFonts w:cstheme="minorHAnsi"/>
          <w:shd w:val="clear" w:color="auto" w:fill="FFFFFF"/>
        </w:rPr>
        <w:t>Allen, K.P., 2010. A bullying intervention system in high school: A two-year school-wide follow-up. </w:t>
      </w:r>
      <w:r w:rsidRPr="00BE2C1D">
        <w:rPr>
          <w:rFonts w:cstheme="minorHAnsi"/>
          <w:i/>
          <w:iCs/>
          <w:shd w:val="clear" w:color="auto" w:fill="FFFFFF"/>
        </w:rPr>
        <w:t>Studies in Educational Evaluation</w:t>
      </w:r>
      <w:r w:rsidRPr="00BE2C1D">
        <w:rPr>
          <w:rFonts w:cstheme="minorHAnsi"/>
          <w:shd w:val="clear" w:color="auto" w:fill="FFFFFF"/>
        </w:rPr>
        <w:t>. </w:t>
      </w:r>
      <w:r w:rsidRPr="00BE2C1D">
        <w:rPr>
          <w:rFonts w:cstheme="minorHAnsi"/>
          <w:b/>
          <w:bCs/>
          <w:shd w:val="clear" w:color="auto" w:fill="FFFFFF"/>
        </w:rPr>
        <w:t>36</w:t>
      </w:r>
      <w:r w:rsidRPr="00BE2C1D">
        <w:rPr>
          <w:rFonts w:cstheme="minorHAnsi"/>
          <w:shd w:val="clear" w:color="auto" w:fill="FFFFFF"/>
        </w:rPr>
        <w:t>(3), 83-92.</w:t>
      </w:r>
    </w:p>
    <w:p w14:paraId="2174B4A1" w14:textId="77777777" w:rsidR="00BE2C1D" w:rsidRPr="00BE2C1D" w:rsidRDefault="00BE2C1D" w:rsidP="00BE2C1D">
      <w:pPr>
        <w:spacing w:line="360" w:lineRule="auto"/>
        <w:rPr>
          <w:rFonts w:cstheme="minorHAnsi"/>
          <w:shd w:val="clear" w:color="auto" w:fill="FFFFFF"/>
        </w:rPr>
      </w:pPr>
      <w:r w:rsidRPr="00BE2C1D">
        <w:rPr>
          <w:rFonts w:cstheme="minorHAnsi"/>
          <w:shd w:val="clear" w:color="auto" w:fill="FFFFFF"/>
        </w:rPr>
        <w:t xml:space="preserve">Alper, M. and Goggin, G., 2017. Digital technology and rights in the lives of children with disabilities. </w:t>
      </w:r>
      <w:r w:rsidRPr="00BE2C1D">
        <w:rPr>
          <w:rFonts w:cstheme="minorHAnsi"/>
          <w:i/>
          <w:iCs/>
          <w:shd w:val="clear" w:color="auto" w:fill="FFFFFF"/>
        </w:rPr>
        <w:t>New Media &amp; Society</w:t>
      </w:r>
      <w:r w:rsidRPr="00BE2C1D">
        <w:rPr>
          <w:rFonts w:cstheme="minorHAnsi"/>
          <w:shd w:val="clear" w:color="auto" w:fill="FFFFFF"/>
        </w:rPr>
        <w:t xml:space="preserve">, </w:t>
      </w:r>
      <w:r w:rsidRPr="00BE2C1D">
        <w:rPr>
          <w:rFonts w:cstheme="minorHAnsi"/>
          <w:b/>
          <w:bCs/>
          <w:shd w:val="clear" w:color="auto" w:fill="FFFFFF"/>
        </w:rPr>
        <w:t>19</w:t>
      </w:r>
      <w:r w:rsidRPr="00BE2C1D">
        <w:rPr>
          <w:rFonts w:cstheme="minorHAnsi"/>
          <w:shd w:val="clear" w:color="auto" w:fill="FFFFFF"/>
        </w:rPr>
        <w:t>(5), 726-740.</w:t>
      </w:r>
    </w:p>
    <w:p w14:paraId="15423F3C" w14:textId="77777777" w:rsidR="00BE2C1D" w:rsidRPr="00BE2C1D" w:rsidRDefault="00BE2C1D" w:rsidP="00BE2C1D">
      <w:pPr>
        <w:spacing w:line="360" w:lineRule="auto"/>
        <w:rPr>
          <w:rFonts w:cstheme="minorHAnsi"/>
          <w:shd w:val="clear" w:color="auto" w:fill="FFFFFF"/>
        </w:rPr>
      </w:pPr>
      <w:r w:rsidRPr="00BE2C1D">
        <w:rPr>
          <w:rFonts w:cstheme="minorHAnsi"/>
        </w:rPr>
        <w:t>Apajasalo M, Sintonen H, Rautonen J, Katilda I., 1998. Health-related quality of life of patients with skeletal dysplasias</w:t>
      </w:r>
      <w:r w:rsidRPr="00BE2C1D">
        <w:rPr>
          <w:rFonts w:cstheme="minorHAnsi"/>
          <w:i/>
          <w:iCs/>
        </w:rPr>
        <w:t>. European Journal of Pediatrics</w:t>
      </w:r>
      <w:r w:rsidRPr="00BE2C1D">
        <w:rPr>
          <w:rFonts w:cstheme="minorHAnsi"/>
        </w:rPr>
        <w:t xml:space="preserve">. </w:t>
      </w:r>
      <w:r w:rsidRPr="00BE2C1D">
        <w:rPr>
          <w:rFonts w:cstheme="minorHAnsi"/>
          <w:b/>
          <w:bCs/>
        </w:rPr>
        <w:t>157</w:t>
      </w:r>
      <w:r w:rsidRPr="00BE2C1D">
        <w:rPr>
          <w:rFonts w:cstheme="minorHAnsi"/>
        </w:rPr>
        <w:t>, 114–121.  </w:t>
      </w:r>
    </w:p>
    <w:p w14:paraId="2980A3DC" w14:textId="77777777" w:rsidR="00BE2C1D" w:rsidRPr="00BE2C1D" w:rsidRDefault="00BE2C1D" w:rsidP="00BE2C1D">
      <w:pPr>
        <w:spacing w:line="360" w:lineRule="auto"/>
        <w:rPr>
          <w:rFonts w:cstheme="minorHAnsi"/>
          <w:lang w:eastAsia="en-GB"/>
        </w:rPr>
      </w:pPr>
      <w:r w:rsidRPr="00BE2C1D">
        <w:rPr>
          <w:rFonts w:cstheme="minorHAnsi"/>
          <w:shd w:val="clear" w:color="auto" w:fill="FFFFFF"/>
        </w:rPr>
        <w:t>Aphramor, L., 2009. Disability and the anti‐obesity offensive. </w:t>
      </w:r>
      <w:r w:rsidRPr="00BE2C1D">
        <w:rPr>
          <w:rFonts w:cstheme="minorHAnsi"/>
          <w:i/>
          <w:iCs/>
          <w:shd w:val="clear" w:color="auto" w:fill="FFFFFF"/>
        </w:rPr>
        <w:t>Disability &amp; Society</w:t>
      </w:r>
      <w:r w:rsidRPr="00BE2C1D">
        <w:rPr>
          <w:rFonts w:cstheme="minorHAnsi"/>
          <w:shd w:val="clear" w:color="auto" w:fill="FFFFFF"/>
        </w:rPr>
        <w:t>. </w:t>
      </w:r>
      <w:r w:rsidRPr="00BE2C1D">
        <w:rPr>
          <w:rFonts w:cstheme="minorHAnsi"/>
          <w:b/>
          <w:bCs/>
          <w:shd w:val="clear" w:color="auto" w:fill="FFFFFF"/>
        </w:rPr>
        <w:t>24</w:t>
      </w:r>
      <w:r w:rsidRPr="00BE2C1D">
        <w:rPr>
          <w:rFonts w:cstheme="minorHAnsi"/>
          <w:shd w:val="clear" w:color="auto" w:fill="FFFFFF"/>
        </w:rPr>
        <w:t>(7), 897-909.</w:t>
      </w:r>
    </w:p>
    <w:p w14:paraId="471AF834" w14:textId="77777777" w:rsidR="00BE2C1D" w:rsidRPr="00BE2C1D" w:rsidRDefault="00BE2C1D" w:rsidP="00BE2C1D">
      <w:pPr>
        <w:spacing w:line="360" w:lineRule="auto"/>
        <w:jc w:val="both"/>
        <w:rPr>
          <w:rFonts w:cstheme="minorHAnsi"/>
        </w:rPr>
      </w:pPr>
      <w:r w:rsidRPr="00BE2C1D">
        <w:rPr>
          <w:rFonts w:cstheme="minorHAnsi"/>
          <w:shd w:val="clear" w:color="auto" w:fill="FFFFFF"/>
        </w:rPr>
        <w:lastRenderedPageBreak/>
        <w:t>Apple, M.W., (2014). </w:t>
      </w:r>
      <w:r w:rsidRPr="00BE2C1D">
        <w:rPr>
          <w:rFonts w:cstheme="minorHAnsi"/>
          <w:i/>
          <w:iCs/>
          <w:shd w:val="clear" w:color="auto" w:fill="FFFFFF"/>
        </w:rPr>
        <w:t>Official knowledge: Democratic education in a conservative age</w:t>
      </w:r>
      <w:r w:rsidRPr="00BE2C1D">
        <w:rPr>
          <w:rFonts w:cstheme="minorHAnsi"/>
          <w:shd w:val="clear" w:color="auto" w:fill="FFFFFF"/>
        </w:rPr>
        <w:t>. Oxon: Routledge.</w:t>
      </w:r>
    </w:p>
    <w:p w14:paraId="70B0AF17" w14:textId="77777777" w:rsidR="00BE2C1D" w:rsidRPr="00BE2C1D" w:rsidRDefault="00BE2C1D" w:rsidP="00BE2C1D">
      <w:pPr>
        <w:spacing w:line="360" w:lineRule="auto"/>
        <w:jc w:val="both"/>
        <w:rPr>
          <w:rFonts w:cstheme="minorHAnsi"/>
          <w:shd w:val="clear" w:color="auto" w:fill="FFFFFF"/>
        </w:rPr>
      </w:pPr>
      <w:r w:rsidRPr="00BE2C1D">
        <w:rPr>
          <w:rFonts w:cstheme="minorHAnsi"/>
          <w:shd w:val="clear" w:color="auto" w:fill="FFFFFF"/>
        </w:rPr>
        <w:t>Armstrong, A.C., Armstrong, D. and Spandagou, I., (2009). </w:t>
      </w:r>
      <w:r w:rsidRPr="00BE2C1D">
        <w:rPr>
          <w:rFonts w:cstheme="minorHAnsi"/>
          <w:i/>
          <w:iCs/>
          <w:shd w:val="clear" w:color="auto" w:fill="FFFFFF"/>
        </w:rPr>
        <w:t>Inclusive education: International policy &amp; practice</w:t>
      </w:r>
      <w:r w:rsidRPr="00BE2C1D">
        <w:rPr>
          <w:rFonts w:cstheme="minorHAnsi"/>
          <w:shd w:val="clear" w:color="auto" w:fill="FFFFFF"/>
        </w:rPr>
        <w:t>. London: Sage.</w:t>
      </w:r>
    </w:p>
    <w:p w14:paraId="4539FB25" w14:textId="77777777" w:rsidR="00BE2C1D" w:rsidRPr="00BE2C1D" w:rsidRDefault="00BE2C1D" w:rsidP="00BE2C1D">
      <w:pPr>
        <w:spacing w:line="360" w:lineRule="auto"/>
        <w:rPr>
          <w:rFonts w:cstheme="minorHAnsi"/>
          <w:shd w:val="clear" w:color="auto" w:fill="FFFFFF"/>
        </w:rPr>
      </w:pPr>
      <w:r w:rsidRPr="00BE2C1D">
        <w:rPr>
          <w:rFonts w:cstheme="minorHAnsi"/>
          <w:shd w:val="clear" w:color="auto" w:fill="FFFFFF"/>
        </w:rPr>
        <w:t>Armstrong, D., 1995. The rise of surveillance medicine. </w:t>
      </w:r>
      <w:r w:rsidRPr="00BE2C1D">
        <w:rPr>
          <w:rFonts w:cstheme="minorHAnsi"/>
          <w:i/>
          <w:iCs/>
          <w:shd w:val="clear" w:color="auto" w:fill="FFFFFF"/>
        </w:rPr>
        <w:t>Sociology of health &amp; illness</w:t>
      </w:r>
      <w:r w:rsidRPr="00BE2C1D">
        <w:rPr>
          <w:rFonts w:cstheme="minorHAnsi"/>
          <w:shd w:val="clear" w:color="auto" w:fill="FFFFFF"/>
        </w:rPr>
        <w:t>. </w:t>
      </w:r>
      <w:r w:rsidRPr="00BE2C1D">
        <w:rPr>
          <w:rFonts w:cstheme="minorHAnsi"/>
          <w:b/>
          <w:bCs/>
          <w:shd w:val="clear" w:color="auto" w:fill="FFFFFF"/>
        </w:rPr>
        <w:t>17</w:t>
      </w:r>
      <w:r w:rsidRPr="00BE2C1D">
        <w:rPr>
          <w:rFonts w:cstheme="minorHAnsi"/>
          <w:shd w:val="clear" w:color="auto" w:fill="FFFFFF"/>
        </w:rPr>
        <w:t>(3), 393-404.</w:t>
      </w:r>
    </w:p>
    <w:p w14:paraId="5C648299" w14:textId="77777777" w:rsidR="00BE2C1D" w:rsidRPr="00BE2C1D" w:rsidRDefault="00BE2C1D" w:rsidP="00BE2C1D">
      <w:pPr>
        <w:spacing w:line="360" w:lineRule="auto"/>
        <w:rPr>
          <w:rFonts w:cstheme="minorHAnsi"/>
          <w:shd w:val="clear" w:color="auto" w:fill="FFFFFF"/>
        </w:rPr>
      </w:pPr>
      <w:r w:rsidRPr="00BE2C1D">
        <w:rPr>
          <w:rFonts w:cstheme="minorHAnsi"/>
        </w:rPr>
        <w:t>Armstrong, D., 2005. Reinventing ‘inclusion’: New Labour and the cultural politics of special education. </w:t>
      </w:r>
      <w:r w:rsidRPr="00BE2C1D">
        <w:rPr>
          <w:rFonts w:cstheme="minorHAnsi"/>
          <w:i/>
          <w:iCs/>
        </w:rPr>
        <w:t>Oxford Review of Education</w:t>
      </w:r>
      <w:r w:rsidRPr="00BE2C1D">
        <w:rPr>
          <w:rFonts w:cstheme="minorHAnsi"/>
        </w:rPr>
        <w:t xml:space="preserve">. </w:t>
      </w:r>
      <w:r w:rsidRPr="00BE2C1D">
        <w:rPr>
          <w:rFonts w:cstheme="minorHAnsi"/>
          <w:b/>
          <w:bCs/>
        </w:rPr>
        <w:t>31</w:t>
      </w:r>
      <w:r w:rsidRPr="00BE2C1D">
        <w:rPr>
          <w:rFonts w:cstheme="minorHAnsi"/>
        </w:rPr>
        <w:t>(1), 135–151.  </w:t>
      </w:r>
    </w:p>
    <w:p w14:paraId="16F2FE5A" w14:textId="77777777" w:rsidR="00BE2C1D" w:rsidRPr="00BE2C1D" w:rsidRDefault="00BE2C1D" w:rsidP="00BE2C1D">
      <w:pPr>
        <w:spacing w:line="360" w:lineRule="auto"/>
        <w:rPr>
          <w:rFonts w:cstheme="minorHAnsi"/>
          <w:shd w:val="clear" w:color="auto" w:fill="FFFFFF"/>
        </w:rPr>
      </w:pPr>
      <w:r w:rsidRPr="00BE2C1D">
        <w:rPr>
          <w:rFonts w:cstheme="minorHAnsi"/>
          <w:shd w:val="clear" w:color="auto" w:fill="FFFFFF"/>
        </w:rPr>
        <w:t>Armstrong, F., 1999. Inclusion, curriculum and the struggle for space in school. </w:t>
      </w:r>
      <w:r w:rsidRPr="00BE2C1D">
        <w:rPr>
          <w:rFonts w:cstheme="minorHAnsi"/>
          <w:i/>
          <w:iCs/>
          <w:shd w:val="clear" w:color="auto" w:fill="FFFFFF"/>
        </w:rPr>
        <w:t>International Journal of Inclusive Education</w:t>
      </w:r>
      <w:r w:rsidRPr="00BE2C1D">
        <w:rPr>
          <w:rFonts w:cstheme="minorHAnsi"/>
          <w:shd w:val="clear" w:color="auto" w:fill="FFFFFF"/>
        </w:rPr>
        <w:t>. </w:t>
      </w:r>
      <w:r w:rsidRPr="00BE2C1D">
        <w:rPr>
          <w:rFonts w:cstheme="minorHAnsi"/>
          <w:b/>
          <w:bCs/>
          <w:shd w:val="clear" w:color="auto" w:fill="FFFFFF"/>
        </w:rPr>
        <w:t>3</w:t>
      </w:r>
      <w:r w:rsidRPr="00BE2C1D">
        <w:rPr>
          <w:rFonts w:cstheme="minorHAnsi"/>
          <w:shd w:val="clear" w:color="auto" w:fill="FFFFFF"/>
        </w:rPr>
        <w:t>(1), 75-87.</w:t>
      </w:r>
    </w:p>
    <w:p w14:paraId="03148336" w14:textId="77777777" w:rsidR="00BE2C1D" w:rsidRPr="00BE2C1D" w:rsidRDefault="00BE2C1D" w:rsidP="00BE2C1D">
      <w:pPr>
        <w:spacing w:line="360" w:lineRule="auto"/>
        <w:rPr>
          <w:rFonts w:cstheme="minorHAnsi"/>
          <w:shd w:val="clear" w:color="auto" w:fill="FFFFFF"/>
        </w:rPr>
      </w:pPr>
      <w:r w:rsidRPr="00BE2C1D">
        <w:rPr>
          <w:rFonts w:cstheme="minorHAnsi"/>
          <w:shd w:val="clear" w:color="auto" w:fill="FFFFFF"/>
        </w:rPr>
        <w:t>Armstrong, N. and Murphy, E., 2012. Conceptualizing resistance. </w:t>
      </w:r>
      <w:r w:rsidRPr="00BE2C1D">
        <w:rPr>
          <w:rFonts w:cstheme="minorHAnsi"/>
          <w:i/>
          <w:iCs/>
          <w:shd w:val="clear" w:color="auto" w:fill="FFFFFF"/>
        </w:rPr>
        <w:t xml:space="preserve">Health. </w:t>
      </w:r>
      <w:r w:rsidRPr="00BE2C1D">
        <w:rPr>
          <w:rFonts w:cstheme="minorHAnsi"/>
          <w:b/>
          <w:bCs/>
          <w:shd w:val="clear" w:color="auto" w:fill="FFFFFF"/>
        </w:rPr>
        <w:t>16</w:t>
      </w:r>
      <w:r w:rsidRPr="00BE2C1D">
        <w:rPr>
          <w:rFonts w:cstheme="minorHAnsi"/>
          <w:shd w:val="clear" w:color="auto" w:fill="FFFFFF"/>
        </w:rPr>
        <w:t>(3), 314-326.</w:t>
      </w:r>
    </w:p>
    <w:p w14:paraId="44FA7127" w14:textId="77777777" w:rsidR="00BE2C1D" w:rsidRPr="00BE2C1D" w:rsidRDefault="00BE2C1D" w:rsidP="00BE2C1D">
      <w:pPr>
        <w:spacing w:line="360" w:lineRule="auto"/>
        <w:jc w:val="both"/>
        <w:rPr>
          <w:rFonts w:cstheme="minorHAnsi"/>
          <w:shd w:val="clear" w:color="auto" w:fill="FFFFFF"/>
        </w:rPr>
      </w:pPr>
      <w:r w:rsidRPr="00BE2C1D">
        <w:rPr>
          <w:rFonts w:cstheme="minorHAnsi"/>
          <w:shd w:val="clear" w:color="auto" w:fill="FFFFFF"/>
        </w:rPr>
        <w:t>Atkinson, P., 2009. Illness narratives revisited: the failure of narrative reductionism. </w:t>
      </w:r>
      <w:r w:rsidRPr="00BE2C1D">
        <w:rPr>
          <w:rFonts w:cstheme="minorHAnsi"/>
          <w:i/>
          <w:iCs/>
          <w:shd w:val="clear" w:color="auto" w:fill="FFFFFF"/>
        </w:rPr>
        <w:t>Sociological Research Online</w:t>
      </w:r>
      <w:r w:rsidRPr="00BE2C1D">
        <w:rPr>
          <w:rFonts w:cstheme="minorHAnsi"/>
          <w:shd w:val="clear" w:color="auto" w:fill="FFFFFF"/>
        </w:rPr>
        <w:t>. </w:t>
      </w:r>
      <w:r w:rsidRPr="00BE2C1D">
        <w:rPr>
          <w:rFonts w:cstheme="minorHAnsi"/>
          <w:b/>
          <w:bCs/>
          <w:shd w:val="clear" w:color="auto" w:fill="FFFFFF"/>
        </w:rPr>
        <w:t>14</w:t>
      </w:r>
      <w:r w:rsidRPr="00BE2C1D">
        <w:rPr>
          <w:rFonts w:cstheme="minorHAnsi"/>
          <w:shd w:val="clear" w:color="auto" w:fill="FFFFFF"/>
        </w:rPr>
        <w:t>(5), 196-205.</w:t>
      </w:r>
    </w:p>
    <w:p w14:paraId="56D3CA66" w14:textId="77777777" w:rsidR="00BE2C1D" w:rsidRPr="00BE2C1D" w:rsidRDefault="00BE2C1D" w:rsidP="00BE2C1D">
      <w:pPr>
        <w:spacing w:line="360" w:lineRule="auto"/>
        <w:rPr>
          <w:rFonts w:cstheme="minorHAnsi"/>
          <w:shd w:val="clear" w:color="auto" w:fill="FFFFFF"/>
        </w:rPr>
      </w:pPr>
      <w:r w:rsidRPr="00BE2C1D">
        <w:rPr>
          <w:rFonts w:cstheme="minorHAnsi"/>
          <w:shd w:val="clear" w:color="auto" w:fill="FFFFFF"/>
        </w:rPr>
        <w:t>Azzarito, L., 2009. The panopticon of physical education: Pretty, active and ideally white. </w:t>
      </w:r>
      <w:r w:rsidRPr="00BE2C1D">
        <w:rPr>
          <w:rFonts w:cstheme="minorHAnsi"/>
          <w:i/>
          <w:iCs/>
          <w:shd w:val="clear" w:color="auto" w:fill="FFFFFF"/>
        </w:rPr>
        <w:t>Physical education and sport pedagogy</w:t>
      </w:r>
      <w:r w:rsidRPr="00BE2C1D">
        <w:rPr>
          <w:rFonts w:cstheme="minorHAnsi"/>
          <w:shd w:val="clear" w:color="auto" w:fill="FFFFFF"/>
        </w:rPr>
        <w:t>. </w:t>
      </w:r>
      <w:r w:rsidRPr="00BE2C1D">
        <w:rPr>
          <w:rFonts w:cstheme="minorHAnsi"/>
          <w:b/>
          <w:bCs/>
          <w:shd w:val="clear" w:color="auto" w:fill="FFFFFF"/>
        </w:rPr>
        <w:t>14</w:t>
      </w:r>
      <w:r w:rsidRPr="00BE2C1D">
        <w:rPr>
          <w:rFonts w:cstheme="minorHAnsi"/>
          <w:shd w:val="clear" w:color="auto" w:fill="FFFFFF"/>
        </w:rPr>
        <w:t>(1), 19-39.</w:t>
      </w:r>
    </w:p>
    <w:p w14:paraId="160884BF" w14:textId="77777777" w:rsidR="00BE2C1D" w:rsidRPr="00BE2C1D" w:rsidRDefault="00BE2C1D" w:rsidP="00BE2C1D">
      <w:pPr>
        <w:spacing w:line="360" w:lineRule="auto"/>
        <w:rPr>
          <w:rFonts w:cstheme="minorHAnsi"/>
          <w:shd w:val="clear" w:color="auto" w:fill="FFFFFF"/>
        </w:rPr>
      </w:pPr>
      <w:r w:rsidRPr="00BE2C1D">
        <w:rPr>
          <w:rFonts w:cstheme="minorHAnsi"/>
          <w:shd w:val="clear" w:color="auto" w:fill="FFFFFF"/>
        </w:rPr>
        <w:t>Baharampour, S., Nazari, J., Dianat, I. and AsghariJafarAbadi, M., 2013. Student's body dimensions in relation to classroom furniture. </w:t>
      </w:r>
      <w:r w:rsidRPr="00BE2C1D">
        <w:rPr>
          <w:rFonts w:cstheme="minorHAnsi"/>
          <w:i/>
          <w:iCs/>
          <w:shd w:val="clear" w:color="auto" w:fill="FFFFFF"/>
        </w:rPr>
        <w:t>Health promotion perspectives</w:t>
      </w:r>
      <w:r w:rsidRPr="00BE2C1D">
        <w:rPr>
          <w:rFonts w:cstheme="minorHAnsi"/>
          <w:shd w:val="clear" w:color="auto" w:fill="FFFFFF"/>
        </w:rPr>
        <w:t>. </w:t>
      </w:r>
      <w:r w:rsidRPr="00BE2C1D">
        <w:rPr>
          <w:rFonts w:cstheme="minorHAnsi"/>
          <w:b/>
          <w:bCs/>
          <w:shd w:val="clear" w:color="auto" w:fill="FFFFFF"/>
        </w:rPr>
        <w:t>3</w:t>
      </w:r>
      <w:r w:rsidRPr="00BE2C1D">
        <w:rPr>
          <w:rFonts w:cstheme="minorHAnsi"/>
          <w:shd w:val="clear" w:color="auto" w:fill="FFFFFF"/>
        </w:rPr>
        <w:t>(2),165-174.</w:t>
      </w:r>
    </w:p>
    <w:p w14:paraId="5FD9571F" w14:textId="77777777" w:rsidR="00BE2C1D" w:rsidRPr="00BE2C1D" w:rsidRDefault="00BE2C1D" w:rsidP="00BE2C1D">
      <w:pPr>
        <w:spacing w:line="360" w:lineRule="auto"/>
        <w:rPr>
          <w:rFonts w:cstheme="minorHAnsi"/>
        </w:rPr>
      </w:pPr>
      <w:r w:rsidRPr="00BE2C1D">
        <w:rPr>
          <w:rFonts w:cstheme="minorHAnsi"/>
        </w:rPr>
        <w:t xml:space="preserve">Ball, K. (2006). Organization, surveillance and the body: Towards a politics of resistance. In: D. Lyon, ed. </w:t>
      </w:r>
      <w:r w:rsidRPr="00BE2C1D">
        <w:rPr>
          <w:rFonts w:cstheme="minorHAnsi"/>
          <w:i/>
          <w:iCs/>
        </w:rPr>
        <w:t>Theorizing surveillance: The panopticon and beyond</w:t>
      </w:r>
      <w:r w:rsidRPr="00BE2C1D">
        <w:rPr>
          <w:rFonts w:cstheme="minorHAnsi"/>
        </w:rPr>
        <w:t>. Uffculme, Devon: Willan Publishing. pp. 296–317.</w:t>
      </w:r>
    </w:p>
    <w:p w14:paraId="2FF021E5" w14:textId="77777777" w:rsidR="00BE2C1D" w:rsidRPr="00BE2C1D" w:rsidRDefault="00BE2C1D" w:rsidP="00BE2C1D">
      <w:pPr>
        <w:spacing w:line="360" w:lineRule="auto"/>
        <w:rPr>
          <w:rFonts w:cstheme="minorHAnsi"/>
          <w:shd w:val="clear" w:color="auto" w:fill="FFFFFF"/>
        </w:rPr>
      </w:pPr>
      <w:r w:rsidRPr="00BE2C1D">
        <w:rPr>
          <w:rFonts w:cstheme="minorHAnsi"/>
          <w:shd w:val="clear" w:color="auto" w:fill="FFFFFF"/>
        </w:rPr>
        <w:t>Ball, S. J., 2003. The teacher's soul and the terrors of performativity. </w:t>
      </w:r>
      <w:r w:rsidRPr="00BE2C1D">
        <w:rPr>
          <w:rFonts w:cstheme="minorHAnsi"/>
          <w:i/>
          <w:iCs/>
          <w:shd w:val="clear" w:color="auto" w:fill="FFFFFF"/>
        </w:rPr>
        <w:t>Journal of education policy</w:t>
      </w:r>
      <w:r w:rsidRPr="00BE2C1D">
        <w:rPr>
          <w:rFonts w:cstheme="minorHAnsi"/>
          <w:shd w:val="clear" w:color="auto" w:fill="FFFFFF"/>
        </w:rPr>
        <w:t>. </w:t>
      </w:r>
      <w:r w:rsidRPr="00BE2C1D">
        <w:rPr>
          <w:rFonts w:cstheme="minorHAnsi"/>
          <w:b/>
          <w:bCs/>
          <w:shd w:val="clear" w:color="auto" w:fill="FFFFFF"/>
        </w:rPr>
        <w:t>18</w:t>
      </w:r>
      <w:r w:rsidRPr="00BE2C1D">
        <w:rPr>
          <w:rFonts w:cstheme="minorHAnsi"/>
          <w:shd w:val="clear" w:color="auto" w:fill="FFFFFF"/>
        </w:rPr>
        <w:t>(2), 215-228.</w:t>
      </w:r>
    </w:p>
    <w:p w14:paraId="2A511BAB" w14:textId="77777777" w:rsidR="00BE2C1D" w:rsidRPr="00BE2C1D" w:rsidRDefault="00BE2C1D" w:rsidP="00BE2C1D">
      <w:pPr>
        <w:spacing w:line="360" w:lineRule="auto"/>
        <w:rPr>
          <w:rFonts w:cstheme="minorHAnsi"/>
          <w:shd w:val="clear" w:color="auto" w:fill="FFFFFF"/>
        </w:rPr>
      </w:pPr>
      <w:r w:rsidRPr="00BE2C1D">
        <w:rPr>
          <w:rFonts w:cstheme="minorHAnsi"/>
        </w:rPr>
        <w:t xml:space="preserve">Balshaw, M. &amp; Farrell, P. (2002). </w:t>
      </w:r>
      <w:r w:rsidRPr="00BE2C1D">
        <w:rPr>
          <w:rFonts w:cstheme="minorHAnsi"/>
          <w:i/>
          <w:iCs/>
        </w:rPr>
        <w:t>Teacher assistants: Practical strategies for effective classroom support.</w:t>
      </w:r>
      <w:r w:rsidRPr="00BE2C1D">
        <w:rPr>
          <w:rFonts w:cstheme="minorHAnsi"/>
        </w:rPr>
        <w:t xml:space="preserve"> London: David Fulton.</w:t>
      </w:r>
    </w:p>
    <w:p w14:paraId="049F41EC" w14:textId="77777777" w:rsidR="00BE2C1D" w:rsidRPr="00BE2C1D" w:rsidRDefault="00BE2C1D" w:rsidP="00BE2C1D">
      <w:pPr>
        <w:spacing w:line="360" w:lineRule="auto"/>
        <w:jc w:val="both"/>
        <w:rPr>
          <w:rFonts w:cstheme="minorHAnsi"/>
        </w:rPr>
      </w:pPr>
      <w:r w:rsidRPr="00BE2C1D">
        <w:rPr>
          <w:rFonts w:cstheme="minorHAnsi"/>
          <w:shd w:val="clear" w:color="auto" w:fill="FFFFFF"/>
        </w:rPr>
        <w:t>Bamberg, M., 2006. Stories: Big or small: Why do we care?. </w:t>
      </w:r>
      <w:r w:rsidRPr="00BE2C1D">
        <w:rPr>
          <w:rFonts w:cstheme="minorHAnsi"/>
          <w:i/>
          <w:iCs/>
          <w:shd w:val="clear" w:color="auto" w:fill="FFFFFF"/>
        </w:rPr>
        <w:t>Narrative inquiry</w:t>
      </w:r>
      <w:r w:rsidRPr="00BE2C1D">
        <w:rPr>
          <w:rFonts w:cstheme="minorHAnsi"/>
          <w:shd w:val="clear" w:color="auto" w:fill="FFFFFF"/>
        </w:rPr>
        <w:t>. </w:t>
      </w:r>
      <w:r w:rsidRPr="00BE2C1D">
        <w:rPr>
          <w:rFonts w:cstheme="minorHAnsi"/>
          <w:b/>
          <w:bCs/>
          <w:shd w:val="clear" w:color="auto" w:fill="FFFFFF"/>
        </w:rPr>
        <w:t>16</w:t>
      </w:r>
      <w:r w:rsidRPr="00BE2C1D">
        <w:rPr>
          <w:rFonts w:cstheme="minorHAnsi"/>
          <w:shd w:val="clear" w:color="auto" w:fill="FFFFFF"/>
        </w:rPr>
        <w:t>(1), 139-147.</w:t>
      </w:r>
    </w:p>
    <w:p w14:paraId="6CB0A331" w14:textId="77777777" w:rsidR="00BE2C1D" w:rsidRPr="00BE2C1D" w:rsidRDefault="00BE2C1D" w:rsidP="00BE2C1D">
      <w:pPr>
        <w:spacing w:line="360" w:lineRule="auto"/>
        <w:jc w:val="both"/>
        <w:rPr>
          <w:rFonts w:cstheme="minorHAnsi"/>
          <w:shd w:val="clear" w:color="auto" w:fill="FFFFFF"/>
        </w:rPr>
      </w:pPr>
      <w:r w:rsidRPr="00BE2C1D">
        <w:rPr>
          <w:rFonts w:cstheme="minorHAnsi"/>
          <w:shd w:val="clear" w:color="auto" w:fill="FFFFFF"/>
        </w:rPr>
        <w:t>Bamberg, M. and Georgakopoulou, A., 2008. Small stories as a new perspective in narrative and identity analysis. </w:t>
      </w:r>
      <w:r w:rsidRPr="00BE2C1D">
        <w:rPr>
          <w:rFonts w:cstheme="minorHAnsi"/>
          <w:i/>
          <w:iCs/>
          <w:shd w:val="clear" w:color="auto" w:fill="FFFFFF"/>
        </w:rPr>
        <w:t>Text &amp; Talk</w:t>
      </w:r>
      <w:r w:rsidRPr="00BE2C1D">
        <w:rPr>
          <w:rFonts w:cstheme="minorHAnsi"/>
          <w:shd w:val="clear" w:color="auto" w:fill="FFFFFF"/>
        </w:rPr>
        <w:t>. </w:t>
      </w:r>
      <w:r w:rsidRPr="00BE2C1D">
        <w:rPr>
          <w:rFonts w:cstheme="minorHAnsi"/>
          <w:b/>
          <w:bCs/>
          <w:shd w:val="clear" w:color="auto" w:fill="FFFFFF"/>
        </w:rPr>
        <w:t>28(</w:t>
      </w:r>
      <w:r w:rsidRPr="00BE2C1D">
        <w:rPr>
          <w:rFonts w:cstheme="minorHAnsi"/>
          <w:shd w:val="clear" w:color="auto" w:fill="FFFFFF"/>
        </w:rPr>
        <w:t>3), 377-396.</w:t>
      </w:r>
    </w:p>
    <w:p w14:paraId="4F71924D" w14:textId="77777777" w:rsidR="00BE2C1D" w:rsidRPr="00BE2C1D" w:rsidRDefault="00BE2C1D" w:rsidP="00BE2C1D">
      <w:pPr>
        <w:spacing w:line="360" w:lineRule="auto"/>
        <w:rPr>
          <w:rFonts w:cstheme="minorHAnsi"/>
          <w:shd w:val="clear" w:color="auto" w:fill="FFFFFF"/>
        </w:rPr>
      </w:pPr>
      <w:r w:rsidRPr="00BE2C1D">
        <w:rPr>
          <w:rFonts w:cstheme="minorHAnsi"/>
          <w:shd w:val="clear" w:color="auto" w:fill="FFFFFF"/>
        </w:rPr>
        <w:t>Bansel, P., Davies, B., Laws, C. and Linnell, S., 2009. Bullies, bullying and power in the contexts of schooling. </w:t>
      </w:r>
      <w:r w:rsidRPr="00BE2C1D">
        <w:rPr>
          <w:rFonts w:cstheme="minorHAnsi"/>
          <w:i/>
          <w:iCs/>
          <w:shd w:val="clear" w:color="auto" w:fill="FFFFFF"/>
        </w:rPr>
        <w:t>British journal of sociology of education</w:t>
      </w:r>
      <w:r w:rsidRPr="00BE2C1D">
        <w:rPr>
          <w:rFonts w:cstheme="minorHAnsi"/>
          <w:shd w:val="clear" w:color="auto" w:fill="FFFFFF"/>
        </w:rPr>
        <w:t>. </w:t>
      </w:r>
      <w:r w:rsidRPr="00BE2C1D">
        <w:rPr>
          <w:rFonts w:cstheme="minorHAnsi"/>
          <w:b/>
          <w:bCs/>
          <w:shd w:val="clear" w:color="auto" w:fill="FFFFFF"/>
        </w:rPr>
        <w:t>30</w:t>
      </w:r>
      <w:r w:rsidRPr="00BE2C1D">
        <w:rPr>
          <w:rFonts w:cstheme="minorHAnsi"/>
          <w:shd w:val="clear" w:color="auto" w:fill="FFFFFF"/>
        </w:rPr>
        <w:t>(1), 59-69.</w:t>
      </w:r>
    </w:p>
    <w:p w14:paraId="5306656B" w14:textId="77777777" w:rsidR="00BE2C1D" w:rsidRPr="00BE2C1D" w:rsidRDefault="00BE2C1D" w:rsidP="00BE2C1D">
      <w:pPr>
        <w:spacing w:line="360" w:lineRule="auto"/>
        <w:jc w:val="both"/>
        <w:rPr>
          <w:rFonts w:cstheme="minorHAnsi"/>
        </w:rPr>
      </w:pPr>
      <w:r w:rsidRPr="00BE2C1D">
        <w:rPr>
          <w:rFonts w:cstheme="minorHAnsi"/>
          <w:shd w:val="clear" w:color="auto" w:fill="FFFFFF"/>
        </w:rPr>
        <w:lastRenderedPageBreak/>
        <w:t>Barker, J., Alldred, P., Watts, M. and Dodman, H., 2010. Pupils or prisoners? Institutional geographies and internal exclusion in UK secondary schools. </w:t>
      </w:r>
      <w:r w:rsidRPr="00BE2C1D">
        <w:rPr>
          <w:rFonts w:cstheme="minorHAnsi"/>
          <w:i/>
          <w:iCs/>
          <w:shd w:val="clear" w:color="auto" w:fill="FFFFFF"/>
        </w:rPr>
        <w:t>Area</w:t>
      </w:r>
      <w:r w:rsidRPr="00BE2C1D">
        <w:rPr>
          <w:rFonts w:cstheme="minorHAnsi"/>
          <w:shd w:val="clear" w:color="auto" w:fill="FFFFFF"/>
        </w:rPr>
        <w:t>. </w:t>
      </w:r>
      <w:r w:rsidRPr="00BE2C1D">
        <w:rPr>
          <w:rFonts w:cstheme="minorHAnsi"/>
          <w:b/>
          <w:bCs/>
          <w:shd w:val="clear" w:color="auto" w:fill="FFFFFF"/>
        </w:rPr>
        <w:t>42</w:t>
      </w:r>
      <w:r w:rsidRPr="00BE2C1D">
        <w:rPr>
          <w:rFonts w:cstheme="minorHAnsi"/>
          <w:shd w:val="clear" w:color="auto" w:fill="FFFFFF"/>
        </w:rPr>
        <w:t>(3), 378-386.</w:t>
      </w:r>
    </w:p>
    <w:p w14:paraId="376DA4B8" w14:textId="77777777" w:rsidR="00BE2C1D" w:rsidRPr="00BE2C1D" w:rsidRDefault="00BE2C1D" w:rsidP="00BE2C1D">
      <w:pPr>
        <w:spacing w:line="360" w:lineRule="auto"/>
        <w:rPr>
          <w:rFonts w:cstheme="minorHAnsi"/>
          <w:shd w:val="clear" w:color="auto" w:fill="FFFFFF"/>
        </w:rPr>
      </w:pPr>
      <w:r w:rsidRPr="00BE2C1D">
        <w:rPr>
          <w:rFonts w:cstheme="minorHAnsi"/>
        </w:rPr>
        <w:t xml:space="preserve">Barnes, C., (2012). Understanding the Social Model: Past, Present and Future. In N. Watson, A. Roulstone, and C. Thomas, eds. </w:t>
      </w:r>
      <w:r w:rsidRPr="00BE2C1D">
        <w:rPr>
          <w:rFonts w:cstheme="minorHAnsi"/>
          <w:i/>
          <w:iCs/>
        </w:rPr>
        <w:t>The Routledge Handbook of Disability Studies</w:t>
      </w:r>
      <w:r w:rsidRPr="00BE2C1D">
        <w:rPr>
          <w:rFonts w:cstheme="minorHAnsi"/>
        </w:rPr>
        <w:t>. London: Routledge. pp.12–29.</w:t>
      </w:r>
    </w:p>
    <w:p w14:paraId="04550170" w14:textId="77777777" w:rsidR="00BE2C1D" w:rsidRPr="00BE2C1D" w:rsidRDefault="00BE2C1D" w:rsidP="00BE2C1D">
      <w:pPr>
        <w:spacing w:line="360" w:lineRule="auto"/>
        <w:jc w:val="both"/>
        <w:rPr>
          <w:rFonts w:cstheme="minorHAnsi"/>
        </w:rPr>
      </w:pPr>
      <w:r w:rsidRPr="00BE2C1D">
        <w:rPr>
          <w:rFonts w:cstheme="minorHAnsi"/>
        </w:rPr>
        <w:t xml:space="preserve">Barnes, C., &amp; Mercer, G. (Eds.). (1997). </w:t>
      </w:r>
      <w:r w:rsidRPr="00BE2C1D">
        <w:rPr>
          <w:rFonts w:cstheme="minorHAnsi"/>
          <w:i/>
          <w:iCs/>
        </w:rPr>
        <w:t>Doing disability research</w:t>
      </w:r>
      <w:r w:rsidRPr="00BE2C1D">
        <w:rPr>
          <w:rFonts w:cstheme="minorHAnsi"/>
        </w:rPr>
        <w:t>. Leeds: The Disability Press.</w:t>
      </w:r>
    </w:p>
    <w:p w14:paraId="4C24C9F4" w14:textId="77777777" w:rsidR="00BE2C1D" w:rsidRPr="00BE2C1D" w:rsidRDefault="00BE2C1D" w:rsidP="00BE2C1D">
      <w:pPr>
        <w:spacing w:line="360" w:lineRule="auto"/>
        <w:rPr>
          <w:rFonts w:cstheme="minorHAnsi"/>
        </w:rPr>
      </w:pPr>
      <w:r w:rsidRPr="00BE2C1D">
        <w:rPr>
          <w:rFonts w:cstheme="minorHAnsi"/>
        </w:rPr>
        <w:t>Bayliss, P., 2009. Against Interpretosis: Deleuze, Disability, and Difference. </w:t>
      </w:r>
      <w:r w:rsidRPr="00BE2C1D">
        <w:rPr>
          <w:rFonts w:cstheme="minorHAnsi"/>
          <w:i/>
          <w:iCs/>
        </w:rPr>
        <w:t>Journal of Literary &amp; Cultural Disability Studies.</w:t>
      </w:r>
      <w:r w:rsidRPr="00BE2C1D">
        <w:rPr>
          <w:rFonts w:cstheme="minorHAnsi"/>
        </w:rPr>
        <w:t> </w:t>
      </w:r>
      <w:r w:rsidRPr="00BE2C1D">
        <w:rPr>
          <w:rFonts w:cstheme="minorHAnsi"/>
          <w:b/>
          <w:bCs/>
        </w:rPr>
        <w:t>3</w:t>
      </w:r>
      <w:r w:rsidRPr="00BE2C1D">
        <w:rPr>
          <w:rFonts w:cstheme="minorHAnsi"/>
        </w:rPr>
        <w:t>(3), 281–294</w:t>
      </w:r>
    </w:p>
    <w:p w14:paraId="3A646C2F" w14:textId="77777777" w:rsidR="00BE2C1D" w:rsidRPr="00BE2C1D" w:rsidRDefault="00BE2C1D" w:rsidP="00BE2C1D">
      <w:pPr>
        <w:spacing w:line="360" w:lineRule="auto"/>
        <w:jc w:val="both"/>
        <w:rPr>
          <w:rFonts w:cstheme="minorHAnsi"/>
          <w:lang w:val="en-US"/>
        </w:rPr>
      </w:pPr>
      <w:r w:rsidRPr="00BE2C1D">
        <w:rPr>
          <w:rFonts w:cstheme="minorHAnsi"/>
          <w:lang w:val="en-US"/>
        </w:rPr>
        <w:t xml:space="preserve">Be, A., 2019. Disabled people and subjugated knowledges: new understanding and strategies developed by people living with chronic conditions. </w:t>
      </w:r>
      <w:r w:rsidRPr="00BE2C1D">
        <w:rPr>
          <w:rFonts w:cstheme="minorHAnsi"/>
          <w:i/>
          <w:iCs/>
          <w:lang w:val="en-US"/>
        </w:rPr>
        <w:t>Disability &amp; Society.</w:t>
      </w:r>
      <w:r w:rsidRPr="00BE2C1D">
        <w:rPr>
          <w:rFonts w:cstheme="minorHAnsi"/>
          <w:lang w:val="en-US"/>
        </w:rPr>
        <w:t xml:space="preserve"> </w:t>
      </w:r>
      <w:r w:rsidRPr="00BE2C1D">
        <w:rPr>
          <w:rFonts w:cstheme="minorHAnsi"/>
          <w:b/>
          <w:bCs/>
          <w:lang w:val="en-US"/>
        </w:rPr>
        <w:t>34</w:t>
      </w:r>
      <w:r w:rsidRPr="00BE2C1D">
        <w:rPr>
          <w:rFonts w:cstheme="minorHAnsi"/>
          <w:lang w:val="en-US"/>
        </w:rPr>
        <w:t>(9-10), 1334-1352.</w:t>
      </w:r>
    </w:p>
    <w:p w14:paraId="3997190C" w14:textId="77777777" w:rsidR="00BE2C1D" w:rsidRPr="00BE2C1D" w:rsidRDefault="00BE2C1D" w:rsidP="00BE2C1D">
      <w:pPr>
        <w:spacing w:line="360" w:lineRule="auto"/>
        <w:jc w:val="both"/>
        <w:rPr>
          <w:rFonts w:cstheme="minorHAnsi"/>
        </w:rPr>
      </w:pPr>
      <w:r w:rsidRPr="00BE2C1D">
        <w:rPr>
          <w:rFonts w:cstheme="minorHAnsi"/>
        </w:rPr>
        <w:t xml:space="preserve">Berenstain, N. (2016) Epistemic exploitation. </w:t>
      </w:r>
      <w:r w:rsidRPr="00BE2C1D">
        <w:rPr>
          <w:rFonts w:cstheme="minorHAnsi"/>
          <w:i/>
          <w:iCs/>
        </w:rPr>
        <w:t>Ergo.</w:t>
      </w:r>
      <w:r w:rsidRPr="00BE2C1D">
        <w:rPr>
          <w:rFonts w:cstheme="minorHAnsi"/>
        </w:rPr>
        <w:t xml:space="preserve"> </w:t>
      </w:r>
      <w:r w:rsidRPr="00BE2C1D">
        <w:rPr>
          <w:rFonts w:cstheme="minorHAnsi"/>
          <w:b/>
          <w:bCs/>
        </w:rPr>
        <w:t>3</w:t>
      </w:r>
      <w:r w:rsidRPr="00BE2C1D">
        <w:rPr>
          <w:rFonts w:cstheme="minorHAnsi"/>
        </w:rPr>
        <w:t xml:space="preserve">(22), 569-590.  </w:t>
      </w:r>
    </w:p>
    <w:p w14:paraId="74A8B042" w14:textId="77777777" w:rsidR="00BE2C1D" w:rsidRPr="00BE2C1D" w:rsidRDefault="00BE2C1D" w:rsidP="00BE2C1D">
      <w:pPr>
        <w:spacing w:line="360" w:lineRule="auto"/>
        <w:rPr>
          <w:rFonts w:cstheme="minorHAnsi"/>
          <w:shd w:val="clear" w:color="auto" w:fill="FFFFFF"/>
        </w:rPr>
      </w:pPr>
      <w:r w:rsidRPr="00BE2C1D">
        <w:rPr>
          <w:rFonts w:cstheme="minorHAnsi"/>
          <w:shd w:val="clear" w:color="auto" w:fill="FFFFFF"/>
        </w:rPr>
        <w:t>Berger, R.J., 2008. Disability and the dedicated wheelchair athlete: Beyond the “supercrip” critique. </w:t>
      </w:r>
      <w:r w:rsidRPr="00BE2C1D">
        <w:rPr>
          <w:rFonts w:cstheme="minorHAnsi"/>
          <w:i/>
          <w:iCs/>
          <w:shd w:val="clear" w:color="auto" w:fill="FFFFFF"/>
        </w:rPr>
        <w:t>Journal of Contemporary Ethnography</w:t>
      </w:r>
      <w:r w:rsidRPr="00BE2C1D">
        <w:rPr>
          <w:rFonts w:cstheme="minorHAnsi"/>
          <w:shd w:val="clear" w:color="auto" w:fill="FFFFFF"/>
        </w:rPr>
        <w:t>. </w:t>
      </w:r>
      <w:r w:rsidRPr="00BE2C1D">
        <w:rPr>
          <w:rFonts w:cstheme="minorHAnsi"/>
          <w:b/>
          <w:bCs/>
          <w:shd w:val="clear" w:color="auto" w:fill="FFFFFF"/>
        </w:rPr>
        <w:t>37</w:t>
      </w:r>
      <w:r w:rsidRPr="00BE2C1D">
        <w:rPr>
          <w:rFonts w:cstheme="minorHAnsi"/>
          <w:shd w:val="clear" w:color="auto" w:fill="FFFFFF"/>
        </w:rPr>
        <w:t>(6), 647-678.</w:t>
      </w:r>
    </w:p>
    <w:p w14:paraId="067EB816" w14:textId="77777777" w:rsidR="00BE2C1D" w:rsidRPr="00BE2C1D" w:rsidRDefault="00BE2C1D" w:rsidP="00BE2C1D">
      <w:pPr>
        <w:spacing w:line="360" w:lineRule="auto"/>
        <w:rPr>
          <w:rFonts w:cstheme="minorHAnsi"/>
        </w:rPr>
      </w:pPr>
      <w:r w:rsidRPr="00BE2C1D">
        <w:rPr>
          <w:rFonts w:cstheme="minorHAnsi"/>
        </w:rPr>
        <w:t xml:space="preserve">Bhaskar, R., (1989). </w:t>
      </w:r>
      <w:r w:rsidRPr="00BE2C1D">
        <w:rPr>
          <w:rFonts w:cstheme="minorHAnsi"/>
          <w:i/>
          <w:iCs/>
        </w:rPr>
        <w:t>Reclaiming Reality: a critical introduction to contemporary philosophy.</w:t>
      </w:r>
      <w:r w:rsidRPr="00BE2C1D">
        <w:rPr>
          <w:rFonts w:cstheme="minorHAnsi"/>
        </w:rPr>
        <w:t xml:space="preserve"> London: Verso.</w:t>
      </w:r>
    </w:p>
    <w:p w14:paraId="4668CAE1" w14:textId="77777777" w:rsidR="00BE2C1D" w:rsidRPr="00BE2C1D" w:rsidRDefault="00BE2C1D" w:rsidP="00BE2C1D">
      <w:pPr>
        <w:spacing w:line="360" w:lineRule="auto"/>
        <w:rPr>
          <w:rFonts w:cstheme="minorHAnsi"/>
          <w:shd w:val="clear" w:color="auto" w:fill="FFFFFF"/>
        </w:rPr>
      </w:pPr>
      <w:r w:rsidRPr="00BE2C1D">
        <w:rPr>
          <w:rFonts w:cstheme="minorHAnsi"/>
          <w:shd w:val="clear" w:color="auto" w:fill="FFFFFF"/>
        </w:rPr>
        <w:t>Bhaskar, R. and Danermark, B., 2006. Metatheory, interdisciplinarity and disability research: a critical realist perspective. </w:t>
      </w:r>
      <w:r w:rsidRPr="00BE2C1D">
        <w:rPr>
          <w:rFonts w:cstheme="minorHAnsi"/>
          <w:i/>
          <w:iCs/>
          <w:shd w:val="clear" w:color="auto" w:fill="FFFFFF"/>
        </w:rPr>
        <w:t>Scandinavian Journal of Disability Research</w:t>
      </w:r>
      <w:r w:rsidRPr="00BE2C1D">
        <w:rPr>
          <w:rFonts w:cstheme="minorHAnsi"/>
          <w:shd w:val="clear" w:color="auto" w:fill="FFFFFF"/>
        </w:rPr>
        <w:t>. </w:t>
      </w:r>
      <w:r w:rsidRPr="00BE2C1D">
        <w:rPr>
          <w:rFonts w:cstheme="minorHAnsi"/>
          <w:b/>
          <w:bCs/>
          <w:shd w:val="clear" w:color="auto" w:fill="FFFFFF"/>
        </w:rPr>
        <w:t>8</w:t>
      </w:r>
      <w:r w:rsidRPr="00BE2C1D">
        <w:rPr>
          <w:rFonts w:cstheme="minorHAnsi"/>
          <w:shd w:val="clear" w:color="auto" w:fill="FFFFFF"/>
        </w:rPr>
        <w:t>(4), 278-297.</w:t>
      </w:r>
    </w:p>
    <w:p w14:paraId="3D3BFDFE" w14:textId="77777777" w:rsidR="00BE2C1D" w:rsidRPr="00BE2C1D" w:rsidRDefault="00BE2C1D" w:rsidP="00BE2C1D">
      <w:pPr>
        <w:spacing w:line="360" w:lineRule="auto"/>
        <w:rPr>
          <w:rFonts w:cstheme="minorHAnsi"/>
          <w:sz w:val="20"/>
          <w:szCs w:val="20"/>
          <w:shd w:val="clear" w:color="auto" w:fill="FFFFFF"/>
        </w:rPr>
      </w:pPr>
      <w:r w:rsidRPr="00BE2C1D">
        <w:rPr>
          <w:rFonts w:cstheme="minorHAnsi"/>
          <w:shd w:val="clear" w:color="auto" w:fill="FFFFFF"/>
        </w:rPr>
        <w:t>Bjereld, Y., 2018. The challenging process of disclosing bullying victimization: A grounded theory study from the victim’s point of view. </w:t>
      </w:r>
      <w:r w:rsidRPr="00BE2C1D">
        <w:rPr>
          <w:rFonts w:cstheme="minorHAnsi"/>
          <w:i/>
          <w:iCs/>
          <w:shd w:val="clear" w:color="auto" w:fill="FFFFFF"/>
        </w:rPr>
        <w:t>Journal of health psychology</w:t>
      </w:r>
      <w:r w:rsidRPr="00BE2C1D">
        <w:rPr>
          <w:rFonts w:cstheme="minorHAnsi"/>
          <w:shd w:val="clear" w:color="auto" w:fill="FFFFFF"/>
        </w:rPr>
        <w:t>. </w:t>
      </w:r>
      <w:r w:rsidRPr="00BE2C1D">
        <w:rPr>
          <w:rFonts w:cstheme="minorHAnsi"/>
          <w:b/>
          <w:bCs/>
          <w:shd w:val="clear" w:color="auto" w:fill="FFFFFF"/>
        </w:rPr>
        <w:t>23</w:t>
      </w:r>
      <w:r w:rsidRPr="00BE2C1D">
        <w:rPr>
          <w:rFonts w:cstheme="minorHAnsi"/>
          <w:shd w:val="clear" w:color="auto" w:fill="FFFFFF"/>
        </w:rPr>
        <w:t>(8), 1110-1118</w:t>
      </w:r>
      <w:r w:rsidRPr="00BE2C1D">
        <w:rPr>
          <w:rFonts w:cstheme="minorHAnsi"/>
          <w:sz w:val="20"/>
          <w:szCs w:val="20"/>
          <w:shd w:val="clear" w:color="auto" w:fill="FFFFFF"/>
        </w:rPr>
        <w:t>.</w:t>
      </w:r>
    </w:p>
    <w:p w14:paraId="418BD476" w14:textId="77777777" w:rsidR="00BE2C1D" w:rsidRPr="00BE2C1D" w:rsidRDefault="00BE2C1D" w:rsidP="00BE2C1D">
      <w:pPr>
        <w:spacing w:line="360" w:lineRule="auto"/>
        <w:rPr>
          <w:rFonts w:cstheme="minorHAnsi"/>
          <w:shd w:val="clear" w:color="auto" w:fill="FFFFFF"/>
        </w:rPr>
      </w:pPr>
      <w:r w:rsidRPr="00BE2C1D">
        <w:rPr>
          <w:rFonts w:cstheme="minorHAnsi"/>
          <w:shd w:val="clear" w:color="auto" w:fill="FFFFFF"/>
        </w:rPr>
        <w:t xml:space="preserve">Black, N. and Kassenboehmer, S.C. (2017). Teacher Assessment Biases and Future Academic Achievement. Available from: </w:t>
      </w:r>
      <w:hyperlink r:id="rId10" w:history="1">
        <w:r w:rsidRPr="00BE2C1D">
          <w:rPr>
            <w:rFonts w:cstheme="minorHAnsi"/>
            <w:color w:val="0563C1" w:themeColor="hyperlink"/>
            <w:u w:val="single"/>
            <w:shd w:val="clear" w:color="auto" w:fill="FFFFFF"/>
          </w:rPr>
          <w:t>https://www.semanticscholar.org/paper/Teacher-Assessment-Biases-and-Future-Academic-Black-Sonja/8fa573f4284fbc6b085de4e1c233d902ec49d08f</w:t>
        </w:r>
      </w:hyperlink>
      <w:r w:rsidRPr="00BE2C1D">
        <w:rPr>
          <w:rFonts w:cstheme="minorHAnsi"/>
          <w:shd w:val="clear" w:color="auto" w:fill="FFFFFF"/>
        </w:rPr>
        <w:t xml:space="preserve"> </w:t>
      </w:r>
    </w:p>
    <w:p w14:paraId="2C628EE1" w14:textId="77777777" w:rsidR="00BE2C1D" w:rsidRPr="00BE2C1D" w:rsidRDefault="00BE2C1D" w:rsidP="00BE2C1D">
      <w:pPr>
        <w:spacing w:line="360" w:lineRule="auto"/>
        <w:rPr>
          <w:rFonts w:cstheme="minorHAnsi"/>
          <w:shd w:val="clear" w:color="auto" w:fill="FFFFFF"/>
        </w:rPr>
      </w:pPr>
      <w:r w:rsidRPr="00BE2C1D">
        <w:rPr>
          <w:rFonts w:cstheme="minorHAnsi"/>
          <w:shd w:val="clear" w:color="auto" w:fill="FFFFFF"/>
        </w:rPr>
        <w:t>Black, S., Weinles, D. and Washington, E., 2010. Victim strategies to stop bullying. </w:t>
      </w:r>
      <w:r w:rsidRPr="00BE2C1D">
        <w:rPr>
          <w:rFonts w:cstheme="minorHAnsi"/>
          <w:i/>
          <w:iCs/>
          <w:shd w:val="clear" w:color="auto" w:fill="FFFFFF"/>
        </w:rPr>
        <w:t>Youth violence and juvenile justice</w:t>
      </w:r>
      <w:r w:rsidRPr="00BE2C1D">
        <w:rPr>
          <w:rFonts w:cstheme="minorHAnsi"/>
          <w:shd w:val="clear" w:color="auto" w:fill="FFFFFF"/>
        </w:rPr>
        <w:t>. </w:t>
      </w:r>
      <w:r w:rsidRPr="00BE2C1D">
        <w:rPr>
          <w:rFonts w:cstheme="minorHAnsi"/>
          <w:b/>
          <w:bCs/>
          <w:shd w:val="clear" w:color="auto" w:fill="FFFFFF"/>
        </w:rPr>
        <w:t>8</w:t>
      </w:r>
      <w:r w:rsidRPr="00BE2C1D">
        <w:rPr>
          <w:rFonts w:cstheme="minorHAnsi"/>
          <w:shd w:val="clear" w:color="auto" w:fill="FFFFFF"/>
        </w:rPr>
        <w:t>(2), 138-147.</w:t>
      </w:r>
    </w:p>
    <w:p w14:paraId="5C1029AD" w14:textId="77777777" w:rsidR="00BE2C1D" w:rsidRPr="00BE2C1D" w:rsidRDefault="00BE2C1D" w:rsidP="00BE2C1D">
      <w:pPr>
        <w:spacing w:line="360" w:lineRule="auto"/>
        <w:jc w:val="both"/>
        <w:rPr>
          <w:rFonts w:cstheme="minorHAnsi"/>
          <w:lang w:eastAsia="en-GB"/>
        </w:rPr>
      </w:pPr>
      <w:r w:rsidRPr="00BE2C1D">
        <w:rPr>
          <w:rFonts w:cstheme="minorHAnsi"/>
          <w:lang w:eastAsia="en-GB"/>
        </w:rPr>
        <w:t xml:space="preserve">Blackburn, S., (2001). </w:t>
      </w:r>
      <w:r w:rsidRPr="00BE2C1D">
        <w:rPr>
          <w:rFonts w:cstheme="minorHAnsi"/>
          <w:i/>
          <w:iCs/>
          <w:lang w:eastAsia="en-GB"/>
        </w:rPr>
        <w:t>Ethics: A Very Short Introduction</w:t>
      </w:r>
      <w:r w:rsidRPr="00BE2C1D">
        <w:rPr>
          <w:rFonts w:cstheme="minorHAnsi"/>
          <w:lang w:eastAsia="en-GB"/>
        </w:rPr>
        <w:t>. Oxford: Oxford University Press.</w:t>
      </w:r>
    </w:p>
    <w:p w14:paraId="731BA6D0" w14:textId="77777777" w:rsidR="00BE2C1D" w:rsidRPr="00BE2C1D" w:rsidRDefault="00BE2C1D" w:rsidP="00BE2C1D">
      <w:pPr>
        <w:spacing w:line="360" w:lineRule="auto"/>
        <w:rPr>
          <w:rFonts w:cstheme="minorHAnsi"/>
          <w:shd w:val="clear" w:color="auto" w:fill="FFFFFF"/>
        </w:rPr>
      </w:pPr>
      <w:r w:rsidRPr="00BE2C1D">
        <w:rPr>
          <w:rFonts w:cstheme="minorHAnsi"/>
          <w:shd w:val="clear" w:color="auto" w:fill="FFFFFF"/>
        </w:rPr>
        <w:t>Blake, J.J., Kim, E.S., Lund, E.M., Zhou, Q., Kwok, O.M. and Benz, M.R., 2016. Predictors of bully victimization in students with disabilities: A longitudinal examination using a national data set. </w:t>
      </w:r>
      <w:r w:rsidRPr="00BE2C1D">
        <w:rPr>
          <w:rFonts w:cstheme="minorHAnsi"/>
          <w:i/>
          <w:iCs/>
          <w:shd w:val="clear" w:color="auto" w:fill="FFFFFF"/>
        </w:rPr>
        <w:t>Journal of Disability Policy Studies</w:t>
      </w:r>
      <w:r w:rsidRPr="00BE2C1D">
        <w:rPr>
          <w:rFonts w:cstheme="minorHAnsi"/>
          <w:shd w:val="clear" w:color="auto" w:fill="FFFFFF"/>
        </w:rPr>
        <w:t>. </w:t>
      </w:r>
      <w:r w:rsidRPr="00BE2C1D">
        <w:rPr>
          <w:rFonts w:cstheme="minorHAnsi"/>
          <w:b/>
          <w:bCs/>
          <w:shd w:val="clear" w:color="auto" w:fill="FFFFFF"/>
        </w:rPr>
        <w:t>26</w:t>
      </w:r>
      <w:r w:rsidRPr="00BE2C1D">
        <w:rPr>
          <w:rFonts w:cstheme="minorHAnsi"/>
          <w:shd w:val="clear" w:color="auto" w:fill="FFFFFF"/>
        </w:rPr>
        <w:t>(4), 199-208.</w:t>
      </w:r>
    </w:p>
    <w:p w14:paraId="06DB7905" w14:textId="77777777" w:rsidR="00BE2C1D" w:rsidRPr="00BE2C1D" w:rsidRDefault="00BE2C1D" w:rsidP="00BE2C1D">
      <w:pPr>
        <w:spacing w:line="360" w:lineRule="auto"/>
        <w:rPr>
          <w:rFonts w:cstheme="minorHAnsi"/>
          <w:shd w:val="clear" w:color="auto" w:fill="FFFFFF"/>
        </w:rPr>
      </w:pPr>
      <w:r w:rsidRPr="00BE2C1D">
        <w:rPr>
          <w:rFonts w:cstheme="minorHAnsi"/>
          <w:shd w:val="clear" w:color="auto" w:fill="FFFFFF"/>
        </w:rPr>
        <w:lastRenderedPageBreak/>
        <w:t>Blatchford, P., Bassett, P., Brown, P. and Webster, R., 2009. The effect of support staff on pupil engagement and individual attention. </w:t>
      </w:r>
      <w:r w:rsidRPr="00BE2C1D">
        <w:rPr>
          <w:rFonts w:cstheme="minorHAnsi"/>
          <w:i/>
          <w:iCs/>
          <w:shd w:val="clear" w:color="auto" w:fill="FFFFFF"/>
        </w:rPr>
        <w:t>British Educational Research Journal</w:t>
      </w:r>
      <w:r w:rsidRPr="00BE2C1D">
        <w:rPr>
          <w:rFonts w:cstheme="minorHAnsi"/>
          <w:shd w:val="clear" w:color="auto" w:fill="FFFFFF"/>
        </w:rPr>
        <w:t>. </w:t>
      </w:r>
      <w:r w:rsidRPr="00BE2C1D">
        <w:rPr>
          <w:rFonts w:cstheme="minorHAnsi"/>
          <w:b/>
          <w:bCs/>
          <w:shd w:val="clear" w:color="auto" w:fill="FFFFFF"/>
        </w:rPr>
        <w:t>35</w:t>
      </w:r>
      <w:r w:rsidRPr="00BE2C1D">
        <w:rPr>
          <w:rFonts w:cstheme="minorHAnsi"/>
          <w:shd w:val="clear" w:color="auto" w:fill="FFFFFF"/>
        </w:rPr>
        <w:t>(5), 661-686.</w:t>
      </w:r>
    </w:p>
    <w:p w14:paraId="2CBE673F" w14:textId="77777777" w:rsidR="00BE2C1D" w:rsidRPr="00BE2C1D" w:rsidRDefault="00BE2C1D" w:rsidP="00BE2C1D">
      <w:pPr>
        <w:spacing w:line="360" w:lineRule="auto"/>
        <w:rPr>
          <w:rFonts w:cstheme="minorHAnsi"/>
          <w:shd w:val="clear" w:color="auto" w:fill="FFFFFF"/>
        </w:rPr>
      </w:pPr>
      <w:r w:rsidRPr="00BE2C1D">
        <w:rPr>
          <w:rFonts w:cstheme="minorHAnsi"/>
          <w:shd w:val="clear" w:color="auto" w:fill="FFFFFF"/>
        </w:rPr>
        <w:t>Blatchford, P., Bassett, P., Brown, P., Martin, C., Russell, A. and Webster, R., 2011. The impact of support staff on pupils’ ‘positive approaches to learning’ and their academic progress. </w:t>
      </w:r>
      <w:r w:rsidRPr="00BE2C1D">
        <w:rPr>
          <w:rFonts w:cstheme="minorHAnsi"/>
          <w:i/>
          <w:iCs/>
          <w:shd w:val="clear" w:color="auto" w:fill="FFFFFF"/>
        </w:rPr>
        <w:t>British Educational Research Journal</w:t>
      </w:r>
      <w:r w:rsidRPr="00BE2C1D">
        <w:rPr>
          <w:rFonts w:cstheme="minorHAnsi"/>
          <w:shd w:val="clear" w:color="auto" w:fill="FFFFFF"/>
        </w:rPr>
        <w:t>. </w:t>
      </w:r>
      <w:r w:rsidRPr="00BE2C1D">
        <w:rPr>
          <w:rFonts w:cstheme="minorHAnsi"/>
          <w:b/>
          <w:bCs/>
          <w:shd w:val="clear" w:color="auto" w:fill="FFFFFF"/>
        </w:rPr>
        <w:t>37</w:t>
      </w:r>
      <w:r w:rsidRPr="00BE2C1D">
        <w:rPr>
          <w:rFonts w:cstheme="minorHAnsi"/>
          <w:shd w:val="clear" w:color="auto" w:fill="FFFFFF"/>
        </w:rPr>
        <w:t>(3), 443-464.</w:t>
      </w:r>
    </w:p>
    <w:p w14:paraId="1F8B98BB" w14:textId="77777777" w:rsidR="00BE2C1D" w:rsidRPr="00BE2C1D" w:rsidRDefault="00BE2C1D" w:rsidP="00BE2C1D">
      <w:pPr>
        <w:spacing w:line="360" w:lineRule="auto"/>
        <w:rPr>
          <w:rFonts w:cstheme="minorHAnsi"/>
          <w:shd w:val="clear" w:color="auto" w:fill="FFFFFF"/>
        </w:rPr>
      </w:pPr>
      <w:r w:rsidRPr="00BE2C1D">
        <w:rPr>
          <w:rFonts w:cstheme="minorHAnsi"/>
          <w:shd w:val="clear" w:color="auto" w:fill="FFFFFF"/>
        </w:rPr>
        <w:t>Blosnich, J. and Bossarte, R., 2011. Low‐Level Violence in Schools: Is There an Association Between School Safety Measures and Peer Victimization?. </w:t>
      </w:r>
      <w:r w:rsidRPr="00BE2C1D">
        <w:rPr>
          <w:rFonts w:cstheme="minorHAnsi"/>
          <w:i/>
          <w:iCs/>
          <w:shd w:val="clear" w:color="auto" w:fill="FFFFFF"/>
        </w:rPr>
        <w:t>Journal of school health</w:t>
      </w:r>
      <w:r w:rsidRPr="00BE2C1D">
        <w:rPr>
          <w:rFonts w:cstheme="minorHAnsi"/>
          <w:shd w:val="clear" w:color="auto" w:fill="FFFFFF"/>
        </w:rPr>
        <w:t>. </w:t>
      </w:r>
      <w:r w:rsidRPr="00BE2C1D">
        <w:rPr>
          <w:rFonts w:cstheme="minorHAnsi"/>
          <w:b/>
          <w:bCs/>
          <w:shd w:val="clear" w:color="auto" w:fill="FFFFFF"/>
        </w:rPr>
        <w:t>81</w:t>
      </w:r>
      <w:r w:rsidRPr="00BE2C1D">
        <w:rPr>
          <w:rFonts w:cstheme="minorHAnsi"/>
          <w:shd w:val="clear" w:color="auto" w:fill="FFFFFF"/>
        </w:rPr>
        <w:t>(2),107-113.</w:t>
      </w:r>
    </w:p>
    <w:p w14:paraId="496F044A" w14:textId="77777777" w:rsidR="00BE2C1D" w:rsidRPr="00BE2C1D" w:rsidRDefault="00BE2C1D" w:rsidP="00BE2C1D">
      <w:pPr>
        <w:spacing w:line="360" w:lineRule="auto"/>
        <w:rPr>
          <w:rFonts w:cstheme="minorHAnsi"/>
          <w:shd w:val="clear" w:color="auto" w:fill="FFFFFF"/>
        </w:rPr>
      </w:pPr>
      <w:r w:rsidRPr="00BE2C1D">
        <w:rPr>
          <w:rFonts w:cstheme="minorHAnsi"/>
          <w:shd w:val="clear" w:color="auto" w:fill="FFFFFF"/>
        </w:rPr>
        <w:t>Bogdan, R., (1990). Freak show: Presenting human oddities for amusement and profit. University of Chicago Press.</w:t>
      </w:r>
    </w:p>
    <w:p w14:paraId="43047A3A" w14:textId="77777777" w:rsidR="00BE2C1D" w:rsidRPr="00BE2C1D" w:rsidRDefault="00BE2C1D" w:rsidP="00BE2C1D">
      <w:pPr>
        <w:spacing w:line="360" w:lineRule="auto"/>
        <w:rPr>
          <w:rFonts w:cstheme="minorHAnsi"/>
          <w:shd w:val="clear" w:color="auto" w:fill="FFFFFF"/>
        </w:rPr>
      </w:pPr>
      <w:r w:rsidRPr="00BE2C1D">
        <w:rPr>
          <w:rFonts w:cstheme="minorHAnsi"/>
          <w:shd w:val="clear" w:color="auto" w:fill="FFFFFF"/>
        </w:rPr>
        <w:t>Bollmer, J.M., Milich, R., Harris, M.J. and Maras, M.A., 2005. A friend in need: The role of friendship quality as a protective factor in peer victimization and bullying. </w:t>
      </w:r>
      <w:r w:rsidRPr="00BE2C1D">
        <w:rPr>
          <w:rFonts w:cstheme="minorHAnsi"/>
          <w:i/>
          <w:iCs/>
          <w:shd w:val="clear" w:color="auto" w:fill="FFFFFF"/>
        </w:rPr>
        <w:t>Journal of interpersonal violence</w:t>
      </w:r>
      <w:r w:rsidRPr="00BE2C1D">
        <w:rPr>
          <w:rFonts w:cstheme="minorHAnsi"/>
          <w:shd w:val="clear" w:color="auto" w:fill="FFFFFF"/>
        </w:rPr>
        <w:t>. </w:t>
      </w:r>
      <w:r w:rsidRPr="00BE2C1D">
        <w:rPr>
          <w:rFonts w:cstheme="minorHAnsi"/>
          <w:b/>
          <w:bCs/>
          <w:shd w:val="clear" w:color="auto" w:fill="FFFFFF"/>
        </w:rPr>
        <w:t>20</w:t>
      </w:r>
      <w:r w:rsidRPr="00BE2C1D">
        <w:rPr>
          <w:rFonts w:cstheme="minorHAnsi"/>
          <w:shd w:val="clear" w:color="auto" w:fill="FFFFFF"/>
        </w:rPr>
        <w:t>(6), 701-712.</w:t>
      </w:r>
    </w:p>
    <w:p w14:paraId="1DD1D9C4" w14:textId="77777777" w:rsidR="00BE2C1D" w:rsidRPr="00BE2C1D" w:rsidRDefault="00BE2C1D" w:rsidP="00BE2C1D">
      <w:pPr>
        <w:spacing w:line="360" w:lineRule="auto"/>
        <w:rPr>
          <w:rFonts w:cstheme="minorHAnsi"/>
          <w:shd w:val="clear" w:color="auto" w:fill="FFFFFF"/>
        </w:rPr>
      </w:pPr>
      <w:r w:rsidRPr="00BE2C1D">
        <w:rPr>
          <w:rFonts w:cstheme="minorHAnsi"/>
          <w:shd w:val="clear" w:color="auto" w:fill="FFFFFF"/>
        </w:rPr>
        <w:t>Bonevski, B., Randell, M., Paul, C., Chapman, K., Twyman, L., Bryant, J., Brozek, I. and Hughes, C., 2014. Reaching the hard-to-reach: a systematic review of strategies for improving health and medical research with socially disadvantaged groups. </w:t>
      </w:r>
      <w:r w:rsidRPr="00BE2C1D">
        <w:rPr>
          <w:rFonts w:cstheme="minorHAnsi"/>
          <w:i/>
          <w:iCs/>
          <w:shd w:val="clear" w:color="auto" w:fill="FFFFFF"/>
        </w:rPr>
        <w:t>BMC medical research methodology</w:t>
      </w:r>
      <w:r w:rsidRPr="00BE2C1D">
        <w:rPr>
          <w:rFonts w:cstheme="minorHAnsi"/>
          <w:shd w:val="clear" w:color="auto" w:fill="FFFFFF"/>
        </w:rPr>
        <w:t>. </w:t>
      </w:r>
      <w:r w:rsidRPr="00BE2C1D">
        <w:rPr>
          <w:rFonts w:cstheme="minorHAnsi"/>
          <w:b/>
          <w:bCs/>
          <w:shd w:val="clear" w:color="auto" w:fill="FFFFFF"/>
        </w:rPr>
        <w:t>14</w:t>
      </w:r>
      <w:r w:rsidRPr="00BE2C1D">
        <w:rPr>
          <w:rFonts w:cstheme="minorHAnsi"/>
          <w:shd w:val="clear" w:color="auto" w:fill="FFFFFF"/>
        </w:rPr>
        <w:t xml:space="preserve">(42), 1-29. </w:t>
      </w:r>
    </w:p>
    <w:p w14:paraId="169BEDC0" w14:textId="77777777" w:rsidR="00BE2C1D" w:rsidRPr="00BE2C1D" w:rsidRDefault="00BE2C1D" w:rsidP="00BE2C1D">
      <w:pPr>
        <w:spacing w:line="360" w:lineRule="auto"/>
        <w:rPr>
          <w:rFonts w:cstheme="minorHAnsi"/>
          <w:shd w:val="clear" w:color="auto" w:fill="FFFFFF"/>
        </w:rPr>
      </w:pPr>
      <w:r w:rsidRPr="00BE2C1D">
        <w:rPr>
          <w:rFonts w:cstheme="minorHAnsi"/>
          <w:shd w:val="clear" w:color="auto" w:fill="FFFFFF"/>
        </w:rPr>
        <w:t>Bordo, S., 2004. </w:t>
      </w:r>
      <w:r w:rsidRPr="00BE2C1D">
        <w:rPr>
          <w:rFonts w:cstheme="minorHAnsi"/>
          <w:i/>
          <w:iCs/>
          <w:shd w:val="clear" w:color="auto" w:fill="FFFFFF"/>
        </w:rPr>
        <w:t>Unbearable weight: Feminism, Western culture, and the body</w:t>
      </w:r>
      <w:r w:rsidRPr="00BE2C1D">
        <w:rPr>
          <w:rFonts w:cstheme="minorHAnsi"/>
          <w:shd w:val="clear" w:color="auto" w:fill="FFFFFF"/>
        </w:rPr>
        <w:t>. California: University of California Press.</w:t>
      </w:r>
    </w:p>
    <w:p w14:paraId="76FCA568" w14:textId="77777777" w:rsidR="00BE2C1D" w:rsidRPr="00BE2C1D" w:rsidRDefault="00BE2C1D" w:rsidP="00BE2C1D">
      <w:pPr>
        <w:spacing w:line="360" w:lineRule="auto"/>
        <w:rPr>
          <w:rFonts w:cstheme="minorHAnsi"/>
          <w:shd w:val="clear" w:color="auto" w:fill="FFFFFF"/>
        </w:rPr>
      </w:pPr>
      <w:r w:rsidRPr="00BE2C1D">
        <w:rPr>
          <w:rFonts w:cstheme="minorHAnsi"/>
          <w:shd w:val="clear" w:color="auto" w:fill="FFFFFF"/>
        </w:rPr>
        <w:t xml:space="preserve">Borrill, J., Lorenz, E. and Abbasnejad, A., 2012. Using qualitative methods to explore non-disclosure: the example of self-injury. International Journal of Qualitative Methods. </w:t>
      </w:r>
      <w:r w:rsidRPr="00BE2C1D">
        <w:rPr>
          <w:rFonts w:cstheme="minorHAnsi"/>
          <w:b/>
          <w:bCs/>
          <w:shd w:val="clear" w:color="auto" w:fill="FFFFFF"/>
        </w:rPr>
        <w:t>11</w:t>
      </w:r>
      <w:r w:rsidRPr="00BE2C1D">
        <w:rPr>
          <w:rFonts w:cstheme="minorHAnsi"/>
          <w:shd w:val="clear" w:color="auto" w:fill="FFFFFF"/>
        </w:rPr>
        <w:t>(4), 384-398.</w:t>
      </w:r>
    </w:p>
    <w:p w14:paraId="55626BA2" w14:textId="77777777" w:rsidR="00BE2C1D" w:rsidRPr="00BE2C1D" w:rsidRDefault="00BE2C1D" w:rsidP="00BE2C1D">
      <w:pPr>
        <w:spacing w:line="360" w:lineRule="auto"/>
        <w:rPr>
          <w:rFonts w:cstheme="minorHAnsi"/>
          <w:shd w:val="clear" w:color="auto" w:fill="FFFFFF"/>
        </w:rPr>
      </w:pPr>
      <w:r w:rsidRPr="00BE2C1D">
        <w:rPr>
          <w:rFonts w:cstheme="minorHAnsi"/>
          <w:shd w:val="clear" w:color="auto" w:fill="FFFFFF"/>
        </w:rPr>
        <w:t>Bosacki, S.L., Marini, Z.A. and Dane, A.V., 2006. Voices from the classroom: Pictorial and narrative representations of children's bullying experiences. </w:t>
      </w:r>
      <w:r w:rsidRPr="00BE2C1D">
        <w:rPr>
          <w:rFonts w:cstheme="minorHAnsi"/>
          <w:i/>
          <w:iCs/>
          <w:shd w:val="clear" w:color="auto" w:fill="FFFFFF"/>
        </w:rPr>
        <w:t>Journal of Moral Education</w:t>
      </w:r>
      <w:r w:rsidRPr="00BE2C1D">
        <w:rPr>
          <w:rFonts w:cstheme="minorHAnsi"/>
          <w:shd w:val="clear" w:color="auto" w:fill="FFFFFF"/>
        </w:rPr>
        <w:t>. </w:t>
      </w:r>
      <w:r w:rsidRPr="00BE2C1D">
        <w:rPr>
          <w:rFonts w:cstheme="minorHAnsi"/>
          <w:b/>
          <w:bCs/>
          <w:shd w:val="clear" w:color="auto" w:fill="FFFFFF"/>
        </w:rPr>
        <w:t>35</w:t>
      </w:r>
      <w:r w:rsidRPr="00BE2C1D">
        <w:rPr>
          <w:rFonts w:cstheme="minorHAnsi"/>
          <w:shd w:val="clear" w:color="auto" w:fill="FFFFFF"/>
        </w:rPr>
        <w:t>(2), 231-245.</w:t>
      </w:r>
    </w:p>
    <w:p w14:paraId="3BC81293" w14:textId="77777777" w:rsidR="00BE2C1D" w:rsidRPr="00BE2C1D" w:rsidRDefault="00BE2C1D" w:rsidP="00BE2C1D">
      <w:pPr>
        <w:spacing w:line="360" w:lineRule="auto"/>
        <w:rPr>
          <w:rFonts w:cstheme="minorHAnsi"/>
          <w:shd w:val="clear" w:color="auto" w:fill="FFFFFF"/>
        </w:rPr>
      </w:pPr>
      <w:r w:rsidRPr="00BE2C1D">
        <w:rPr>
          <w:rFonts w:cstheme="minorHAnsi"/>
          <w:shd w:val="clear" w:color="auto" w:fill="FFFFFF"/>
        </w:rPr>
        <w:t>Bourke, S. and Burgman, I., 2010. Coping with bullying in Australian schools: how children with disabilities experience support from friends, parents and teachers. </w:t>
      </w:r>
      <w:r w:rsidRPr="00BE2C1D">
        <w:rPr>
          <w:rFonts w:cstheme="minorHAnsi"/>
          <w:i/>
          <w:iCs/>
          <w:shd w:val="clear" w:color="auto" w:fill="FFFFFF"/>
        </w:rPr>
        <w:t>Disability &amp; Society</w:t>
      </w:r>
      <w:r w:rsidRPr="00BE2C1D">
        <w:rPr>
          <w:rFonts w:cstheme="minorHAnsi"/>
          <w:shd w:val="clear" w:color="auto" w:fill="FFFFFF"/>
        </w:rPr>
        <w:t>. </w:t>
      </w:r>
      <w:r w:rsidRPr="00BE2C1D">
        <w:rPr>
          <w:rFonts w:cstheme="minorHAnsi"/>
          <w:b/>
          <w:bCs/>
          <w:shd w:val="clear" w:color="auto" w:fill="FFFFFF"/>
        </w:rPr>
        <w:t>25</w:t>
      </w:r>
      <w:r w:rsidRPr="00BE2C1D">
        <w:rPr>
          <w:rFonts w:cstheme="minorHAnsi"/>
          <w:shd w:val="clear" w:color="auto" w:fill="FFFFFF"/>
        </w:rPr>
        <w:t>(3), 359-371.</w:t>
      </w:r>
    </w:p>
    <w:p w14:paraId="057D5A63" w14:textId="77777777" w:rsidR="00BE2C1D" w:rsidRPr="00BE2C1D" w:rsidRDefault="00BE2C1D" w:rsidP="00BE2C1D">
      <w:pPr>
        <w:spacing w:line="360" w:lineRule="auto"/>
        <w:rPr>
          <w:rFonts w:cstheme="minorHAnsi"/>
          <w:shd w:val="clear" w:color="auto" w:fill="FFFFFF"/>
        </w:rPr>
      </w:pPr>
      <w:r w:rsidRPr="00BE2C1D">
        <w:rPr>
          <w:rFonts w:cstheme="minorHAnsi"/>
          <w:shd w:val="clear" w:color="auto" w:fill="FFFFFF"/>
        </w:rPr>
        <w:t>Bowers, T., 1997. Supporting special needs in the mainstream classroom: children's perceptions of the adult role. </w:t>
      </w:r>
      <w:r w:rsidRPr="00BE2C1D">
        <w:rPr>
          <w:rFonts w:cstheme="minorHAnsi"/>
          <w:i/>
          <w:iCs/>
          <w:shd w:val="clear" w:color="auto" w:fill="FFFFFF"/>
        </w:rPr>
        <w:t>Child: care, health and development</w:t>
      </w:r>
      <w:r w:rsidRPr="00BE2C1D">
        <w:rPr>
          <w:rFonts w:cstheme="minorHAnsi"/>
          <w:shd w:val="clear" w:color="auto" w:fill="FFFFFF"/>
        </w:rPr>
        <w:t xml:space="preserve">. </w:t>
      </w:r>
      <w:r w:rsidRPr="00BE2C1D">
        <w:rPr>
          <w:rFonts w:cstheme="minorHAnsi"/>
          <w:b/>
          <w:bCs/>
          <w:shd w:val="clear" w:color="auto" w:fill="FFFFFF"/>
        </w:rPr>
        <w:t>23</w:t>
      </w:r>
      <w:r w:rsidRPr="00BE2C1D">
        <w:rPr>
          <w:rFonts w:cstheme="minorHAnsi"/>
          <w:shd w:val="clear" w:color="auto" w:fill="FFFFFF"/>
        </w:rPr>
        <w:t>(3), 217-232.</w:t>
      </w:r>
    </w:p>
    <w:p w14:paraId="3501384B" w14:textId="77777777" w:rsidR="00BE2C1D" w:rsidRPr="00BE2C1D" w:rsidRDefault="00BE2C1D" w:rsidP="00BE2C1D">
      <w:pPr>
        <w:spacing w:line="360" w:lineRule="auto"/>
        <w:jc w:val="both"/>
        <w:rPr>
          <w:rFonts w:cstheme="minorHAnsi"/>
        </w:rPr>
      </w:pPr>
      <w:r w:rsidRPr="00BE2C1D">
        <w:rPr>
          <w:rFonts w:cstheme="minorHAnsi"/>
        </w:rPr>
        <w:t xml:space="preserve">Bowker, N. and Tuffin, K., 2004. Using the online medium for discursive research about people with disabilities. </w:t>
      </w:r>
      <w:r w:rsidRPr="00BE2C1D">
        <w:rPr>
          <w:rFonts w:cstheme="minorHAnsi"/>
          <w:i/>
          <w:iCs/>
        </w:rPr>
        <w:t>Social Science Computer Review.</w:t>
      </w:r>
      <w:r w:rsidRPr="00BE2C1D">
        <w:rPr>
          <w:rFonts w:cstheme="minorHAnsi"/>
        </w:rPr>
        <w:t xml:space="preserve"> </w:t>
      </w:r>
      <w:r w:rsidRPr="00BE2C1D">
        <w:rPr>
          <w:rFonts w:cstheme="minorHAnsi"/>
          <w:b/>
          <w:bCs/>
        </w:rPr>
        <w:t>22</w:t>
      </w:r>
      <w:r w:rsidRPr="00BE2C1D">
        <w:rPr>
          <w:rFonts w:cstheme="minorHAnsi"/>
        </w:rPr>
        <w:t>, 228–241.</w:t>
      </w:r>
    </w:p>
    <w:p w14:paraId="0AD97528" w14:textId="77777777" w:rsidR="00BE2C1D" w:rsidRPr="00BE2C1D" w:rsidRDefault="00BE2C1D" w:rsidP="00BE2C1D">
      <w:pPr>
        <w:spacing w:line="360" w:lineRule="auto"/>
        <w:jc w:val="both"/>
        <w:rPr>
          <w:rFonts w:cstheme="minorHAnsi"/>
        </w:rPr>
      </w:pPr>
      <w:r w:rsidRPr="00BE2C1D">
        <w:rPr>
          <w:rFonts w:cstheme="minorHAnsi"/>
        </w:rPr>
        <w:lastRenderedPageBreak/>
        <w:t xml:space="preserve">Branfield, F. (1998) ‘What are you doing here? ‘Non disabled’ people and the disability movement: a response to Robert F. Drake’, </w:t>
      </w:r>
      <w:r w:rsidRPr="00BE2C1D">
        <w:rPr>
          <w:rFonts w:cstheme="minorHAnsi"/>
          <w:i/>
          <w:iCs/>
        </w:rPr>
        <w:t>Disability and Society</w:t>
      </w:r>
      <w:r w:rsidRPr="00BE2C1D">
        <w:rPr>
          <w:rFonts w:cstheme="minorHAnsi"/>
        </w:rPr>
        <w:t xml:space="preserve">. </w:t>
      </w:r>
      <w:r w:rsidRPr="00BE2C1D">
        <w:rPr>
          <w:rFonts w:cstheme="minorHAnsi"/>
          <w:b/>
          <w:bCs/>
        </w:rPr>
        <w:t>13</w:t>
      </w:r>
      <w:r w:rsidRPr="00BE2C1D">
        <w:rPr>
          <w:rFonts w:cstheme="minorHAnsi"/>
        </w:rPr>
        <w:t>(1), 143-144.</w:t>
      </w:r>
    </w:p>
    <w:p w14:paraId="53704630" w14:textId="77777777" w:rsidR="00BE2C1D" w:rsidRPr="00BE2C1D" w:rsidRDefault="00BE2C1D" w:rsidP="00BE2C1D">
      <w:pPr>
        <w:spacing w:line="360" w:lineRule="auto"/>
        <w:jc w:val="both"/>
        <w:rPr>
          <w:rFonts w:cstheme="minorHAnsi"/>
          <w:lang w:eastAsia="en-GB"/>
        </w:rPr>
      </w:pPr>
      <w:r w:rsidRPr="00BE2C1D">
        <w:rPr>
          <w:rFonts w:cstheme="minorHAnsi"/>
          <w:shd w:val="clear" w:color="auto" w:fill="FFFFFF"/>
        </w:rPr>
        <w:t>Braun, A., Maguire, M. and Ball, S.J., 2010. Policy enactments in the UK secondary school: Examining policy, practice and school positioning. </w:t>
      </w:r>
      <w:r w:rsidRPr="00BE2C1D">
        <w:rPr>
          <w:rFonts w:cstheme="minorHAnsi"/>
          <w:i/>
          <w:iCs/>
          <w:shd w:val="clear" w:color="auto" w:fill="FFFFFF"/>
        </w:rPr>
        <w:t>Journal of education policy</w:t>
      </w:r>
      <w:r w:rsidRPr="00BE2C1D">
        <w:rPr>
          <w:rFonts w:cstheme="minorHAnsi"/>
          <w:shd w:val="clear" w:color="auto" w:fill="FFFFFF"/>
        </w:rPr>
        <w:t>. </w:t>
      </w:r>
      <w:r w:rsidRPr="00BE2C1D">
        <w:rPr>
          <w:rFonts w:cstheme="minorHAnsi"/>
          <w:b/>
          <w:bCs/>
          <w:shd w:val="clear" w:color="auto" w:fill="FFFFFF"/>
        </w:rPr>
        <w:t>25</w:t>
      </w:r>
      <w:r w:rsidRPr="00BE2C1D">
        <w:rPr>
          <w:rFonts w:cstheme="minorHAnsi"/>
          <w:shd w:val="clear" w:color="auto" w:fill="FFFFFF"/>
        </w:rPr>
        <w:t>(4), 547-560.</w:t>
      </w:r>
    </w:p>
    <w:p w14:paraId="1541844B" w14:textId="77777777" w:rsidR="00BE2C1D" w:rsidRPr="00BE2C1D" w:rsidRDefault="00BE2C1D" w:rsidP="00BE2C1D">
      <w:pPr>
        <w:spacing w:line="360" w:lineRule="auto"/>
        <w:jc w:val="both"/>
        <w:rPr>
          <w:rFonts w:cstheme="minorHAnsi"/>
          <w:shd w:val="clear" w:color="auto" w:fill="FFFFFF"/>
        </w:rPr>
      </w:pPr>
      <w:r w:rsidRPr="00BE2C1D">
        <w:rPr>
          <w:rFonts w:cstheme="minorHAnsi"/>
          <w:shd w:val="clear" w:color="auto" w:fill="FFFFFF"/>
        </w:rPr>
        <w:t>Braun, V. and Clarke, V., 2006. Using thematic analysis in psychology. </w:t>
      </w:r>
      <w:r w:rsidRPr="00BE2C1D">
        <w:rPr>
          <w:rFonts w:cstheme="minorHAnsi"/>
          <w:i/>
          <w:iCs/>
          <w:shd w:val="clear" w:color="auto" w:fill="FFFFFF"/>
        </w:rPr>
        <w:t>Qualitative research in psychology</w:t>
      </w:r>
      <w:r w:rsidRPr="00BE2C1D">
        <w:rPr>
          <w:rFonts w:cstheme="minorHAnsi"/>
          <w:shd w:val="clear" w:color="auto" w:fill="FFFFFF"/>
        </w:rPr>
        <w:t>. </w:t>
      </w:r>
      <w:r w:rsidRPr="00BE2C1D">
        <w:rPr>
          <w:rFonts w:cstheme="minorHAnsi"/>
          <w:b/>
          <w:bCs/>
          <w:shd w:val="clear" w:color="auto" w:fill="FFFFFF"/>
        </w:rPr>
        <w:t>3</w:t>
      </w:r>
      <w:r w:rsidRPr="00BE2C1D">
        <w:rPr>
          <w:rFonts w:cstheme="minorHAnsi"/>
          <w:shd w:val="clear" w:color="auto" w:fill="FFFFFF"/>
        </w:rPr>
        <w:t>(2), 77-101.</w:t>
      </w:r>
    </w:p>
    <w:p w14:paraId="0D7CF775" w14:textId="77777777" w:rsidR="00BE2C1D" w:rsidRPr="00BE2C1D" w:rsidRDefault="00BE2C1D" w:rsidP="00BE2C1D">
      <w:pPr>
        <w:spacing w:line="360" w:lineRule="auto"/>
        <w:jc w:val="both"/>
        <w:rPr>
          <w:rFonts w:cstheme="minorHAnsi"/>
        </w:rPr>
      </w:pPr>
      <w:r w:rsidRPr="00BE2C1D">
        <w:rPr>
          <w:rFonts w:cstheme="minorHAnsi"/>
        </w:rPr>
        <w:t xml:space="preserve">Brickman-Bhuta, C. (2012) Not by the book: Facebook as a sampling framework. </w:t>
      </w:r>
      <w:r w:rsidRPr="00BE2C1D">
        <w:rPr>
          <w:rFonts w:cstheme="minorHAnsi"/>
          <w:i/>
          <w:iCs/>
        </w:rPr>
        <w:t>Sociological methods and research.</w:t>
      </w:r>
      <w:r w:rsidRPr="00BE2C1D">
        <w:rPr>
          <w:rFonts w:cstheme="minorHAnsi"/>
        </w:rPr>
        <w:t xml:space="preserve"> </w:t>
      </w:r>
      <w:r w:rsidRPr="00BE2C1D">
        <w:rPr>
          <w:rFonts w:cstheme="minorHAnsi"/>
          <w:b/>
          <w:bCs/>
        </w:rPr>
        <w:t>41</w:t>
      </w:r>
      <w:r w:rsidRPr="00BE2C1D">
        <w:rPr>
          <w:rFonts w:cstheme="minorHAnsi"/>
        </w:rPr>
        <w:t xml:space="preserve">(1), 57-88. </w:t>
      </w:r>
    </w:p>
    <w:p w14:paraId="0E2DFE8D" w14:textId="77777777" w:rsidR="00BE2C1D" w:rsidRPr="00BE2C1D" w:rsidRDefault="00BE2C1D" w:rsidP="00BE2C1D">
      <w:pPr>
        <w:spacing w:line="360" w:lineRule="auto"/>
        <w:jc w:val="both"/>
        <w:rPr>
          <w:rFonts w:cstheme="minorHAnsi"/>
        </w:rPr>
      </w:pPr>
      <w:r w:rsidRPr="00BE2C1D">
        <w:rPr>
          <w:rFonts w:cstheme="minorHAnsi"/>
        </w:rPr>
        <w:t xml:space="preserve">Bridges, D. (2001) The ethics of Outsider Research, </w:t>
      </w:r>
      <w:r w:rsidRPr="00BE2C1D">
        <w:rPr>
          <w:rFonts w:cstheme="minorHAnsi"/>
          <w:i/>
          <w:iCs/>
        </w:rPr>
        <w:t>Journal of Philosophy of Education</w:t>
      </w:r>
      <w:r w:rsidRPr="00BE2C1D">
        <w:rPr>
          <w:rFonts w:cstheme="minorHAnsi"/>
        </w:rPr>
        <w:t xml:space="preserve">. </w:t>
      </w:r>
      <w:r w:rsidRPr="00BE2C1D">
        <w:rPr>
          <w:rFonts w:cstheme="minorHAnsi"/>
          <w:b/>
          <w:bCs/>
        </w:rPr>
        <w:t>35</w:t>
      </w:r>
      <w:r w:rsidRPr="00BE2C1D">
        <w:rPr>
          <w:rFonts w:cstheme="minorHAnsi"/>
        </w:rPr>
        <w:t>(3), 371-386.</w:t>
      </w:r>
    </w:p>
    <w:p w14:paraId="158B1FCC" w14:textId="77777777" w:rsidR="00BE2C1D" w:rsidRPr="00BE2C1D" w:rsidRDefault="00BE2C1D" w:rsidP="00BE2C1D">
      <w:pPr>
        <w:spacing w:line="360" w:lineRule="auto"/>
        <w:rPr>
          <w:rFonts w:cstheme="minorHAnsi"/>
          <w:shd w:val="clear" w:color="auto" w:fill="FFFFFF"/>
        </w:rPr>
      </w:pPr>
      <w:r w:rsidRPr="00BE2C1D">
        <w:rPr>
          <w:rFonts w:cstheme="minorHAnsi"/>
          <w:shd w:val="clear" w:color="auto" w:fill="FFFFFF"/>
        </w:rPr>
        <w:t xml:space="preserve">Broach, S. &amp; Clements, L. (2020). </w:t>
      </w:r>
      <w:r w:rsidRPr="00BE2C1D">
        <w:rPr>
          <w:rFonts w:cstheme="minorHAnsi"/>
          <w:i/>
          <w:iCs/>
          <w:shd w:val="clear" w:color="auto" w:fill="FFFFFF"/>
        </w:rPr>
        <w:t>Disabled Children a legal handbook.</w:t>
      </w:r>
      <w:r w:rsidRPr="00BE2C1D">
        <w:rPr>
          <w:rFonts w:cstheme="minorHAnsi"/>
          <w:shd w:val="clear" w:color="auto" w:fill="FFFFFF"/>
        </w:rPr>
        <w:t xml:space="preserve"> 3</w:t>
      </w:r>
      <w:r w:rsidRPr="00BE2C1D">
        <w:rPr>
          <w:rFonts w:cstheme="minorHAnsi"/>
          <w:shd w:val="clear" w:color="auto" w:fill="FFFFFF"/>
          <w:vertAlign w:val="superscript"/>
        </w:rPr>
        <w:t>rd</w:t>
      </w:r>
      <w:r w:rsidRPr="00BE2C1D">
        <w:rPr>
          <w:rFonts w:cstheme="minorHAnsi"/>
          <w:shd w:val="clear" w:color="auto" w:fill="FFFFFF"/>
        </w:rPr>
        <w:t xml:space="preserve"> ed. Legal Action Group. Available from: </w:t>
      </w:r>
      <w:hyperlink r:id="rId11" w:history="1">
        <w:r w:rsidRPr="00BE2C1D">
          <w:rPr>
            <w:rFonts w:cstheme="minorHAnsi"/>
            <w:color w:val="0563C1" w:themeColor="hyperlink"/>
            <w:u w:val="single"/>
            <w:shd w:val="clear" w:color="auto" w:fill="FFFFFF"/>
          </w:rPr>
          <w:t>https://councilfordisabledchildren.org.uk/help-resources/resources/disabled-children-legal-handbook-3rd-edition</w:t>
        </w:r>
      </w:hyperlink>
      <w:r w:rsidRPr="00BE2C1D">
        <w:rPr>
          <w:rFonts w:cstheme="minorHAnsi"/>
          <w:shd w:val="clear" w:color="auto" w:fill="FFFFFF"/>
        </w:rPr>
        <w:t xml:space="preserve"> </w:t>
      </w:r>
    </w:p>
    <w:p w14:paraId="154F8DE8" w14:textId="77777777" w:rsidR="00BE2C1D" w:rsidRPr="00BE2C1D" w:rsidRDefault="00BE2C1D" w:rsidP="00BE2C1D">
      <w:pPr>
        <w:spacing w:line="360" w:lineRule="auto"/>
        <w:rPr>
          <w:rFonts w:cstheme="minorHAnsi"/>
        </w:rPr>
      </w:pPr>
      <w:r w:rsidRPr="00BE2C1D">
        <w:rPr>
          <w:rFonts w:cstheme="minorHAnsi"/>
          <w:shd w:val="clear" w:color="auto" w:fill="FFFFFF"/>
        </w:rPr>
        <w:t>Broer, S.M., Doyle, M.B. and Giangreco, M.F., 2005. Perspectives of students with intellectual disabilities about their experiences with paraprofessional support. </w:t>
      </w:r>
      <w:r w:rsidRPr="00BE2C1D">
        <w:rPr>
          <w:rFonts w:cstheme="minorHAnsi"/>
          <w:i/>
          <w:iCs/>
          <w:shd w:val="clear" w:color="auto" w:fill="FFFFFF"/>
        </w:rPr>
        <w:t>Exceptional children</w:t>
      </w:r>
      <w:r w:rsidRPr="00BE2C1D">
        <w:rPr>
          <w:rFonts w:cstheme="minorHAnsi"/>
          <w:shd w:val="clear" w:color="auto" w:fill="FFFFFF"/>
        </w:rPr>
        <w:t>. </w:t>
      </w:r>
      <w:r w:rsidRPr="00BE2C1D">
        <w:rPr>
          <w:rFonts w:cstheme="minorHAnsi"/>
          <w:b/>
          <w:bCs/>
          <w:shd w:val="clear" w:color="auto" w:fill="FFFFFF"/>
        </w:rPr>
        <w:t>71</w:t>
      </w:r>
      <w:r w:rsidRPr="00BE2C1D">
        <w:rPr>
          <w:rFonts w:cstheme="minorHAnsi"/>
          <w:shd w:val="clear" w:color="auto" w:fill="FFFFFF"/>
        </w:rPr>
        <w:t>(4), 415-430.</w:t>
      </w:r>
    </w:p>
    <w:p w14:paraId="2803CAFC" w14:textId="77777777" w:rsidR="00BE2C1D" w:rsidRPr="00BE2C1D" w:rsidRDefault="00BE2C1D" w:rsidP="00BE2C1D">
      <w:pPr>
        <w:spacing w:line="360" w:lineRule="auto"/>
        <w:rPr>
          <w:rFonts w:cstheme="minorHAnsi"/>
          <w:shd w:val="clear" w:color="auto" w:fill="FFFFFF"/>
        </w:rPr>
      </w:pPr>
      <w:r w:rsidRPr="00BE2C1D">
        <w:rPr>
          <w:rFonts w:cstheme="minorHAnsi"/>
          <w:shd w:val="clear" w:color="auto" w:fill="FFFFFF"/>
        </w:rPr>
        <w:t xml:space="preserve">Brunner, R., (2019). Critical realism as the ‘fourth wave’. In: N. Watson, S. Vehmas, eds. </w:t>
      </w:r>
      <w:r w:rsidRPr="00BE2C1D">
        <w:rPr>
          <w:rFonts w:cstheme="minorHAnsi"/>
          <w:i/>
          <w:iCs/>
          <w:shd w:val="clear" w:color="auto" w:fill="FFFFFF"/>
        </w:rPr>
        <w:t>Routledge Handbook of Disability Studies</w:t>
      </w:r>
      <w:r w:rsidRPr="00BE2C1D">
        <w:rPr>
          <w:rFonts w:cstheme="minorHAnsi"/>
          <w:shd w:val="clear" w:color="auto" w:fill="FFFFFF"/>
        </w:rPr>
        <w:t xml:space="preserve">. London: Routledge. pp. </w:t>
      </w:r>
    </w:p>
    <w:p w14:paraId="348EE6E3" w14:textId="77777777" w:rsidR="00BE2C1D" w:rsidRPr="00BE2C1D" w:rsidRDefault="00BE2C1D" w:rsidP="00BE2C1D">
      <w:pPr>
        <w:spacing w:line="360" w:lineRule="auto"/>
        <w:rPr>
          <w:rFonts w:cstheme="minorHAnsi"/>
          <w:shd w:val="clear" w:color="auto" w:fill="FFFFFF"/>
        </w:rPr>
      </w:pPr>
      <w:r w:rsidRPr="00BE2C1D">
        <w:rPr>
          <w:rFonts w:cstheme="minorHAnsi"/>
          <w:shd w:val="clear" w:color="auto" w:fill="FFFFFF"/>
        </w:rPr>
        <w:t>Brust, J.S., Ford, C.V. and Rimoin, D.L., 1976. Psychiatric aspects of dwarfism. </w:t>
      </w:r>
      <w:r w:rsidRPr="00BE2C1D">
        <w:rPr>
          <w:rFonts w:cstheme="minorHAnsi"/>
          <w:i/>
          <w:iCs/>
          <w:shd w:val="clear" w:color="auto" w:fill="FFFFFF"/>
        </w:rPr>
        <w:t>The American journal of psychiatry</w:t>
      </w:r>
      <w:r w:rsidRPr="00BE2C1D">
        <w:rPr>
          <w:rFonts w:cstheme="minorHAnsi"/>
          <w:shd w:val="clear" w:color="auto" w:fill="FFFFFF"/>
        </w:rPr>
        <w:t>. </w:t>
      </w:r>
      <w:r w:rsidRPr="00BE2C1D">
        <w:rPr>
          <w:rFonts w:cstheme="minorHAnsi"/>
          <w:b/>
          <w:bCs/>
          <w:shd w:val="clear" w:color="auto" w:fill="FFFFFF"/>
        </w:rPr>
        <w:t>133</w:t>
      </w:r>
      <w:r w:rsidRPr="00BE2C1D">
        <w:rPr>
          <w:rFonts w:cstheme="minorHAnsi"/>
          <w:shd w:val="clear" w:color="auto" w:fill="FFFFFF"/>
        </w:rPr>
        <w:t>(2), 160-164.</w:t>
      </w:r>
    </w:p>
    <w:p w14:paraId="693C54ED" w14:textId="77777777" w:rsidR="00BE2C1D" w:rsidRPr="00BE2C1D" w:rsidRDefault="00BE2C1D" w:rsidP="00BE2C1D">
      <w:pPr>
        <w:spacing w:line="360" w:lineRule="auto"/>
        <w:rPr>
          <w:rFonts w:cstheme="minorHAnsi"/>
          <w:shd w:val="clear" w:color="auto" w:fill="FFFFFF"/>
        </w:rPr>
      </w:pPr>
      <w:r w:rsidRPr="00BE2C1D">
        <w:rPr>
          <w:rFonts w:cstheme="minorHAnsi"/>
          <w:shd w:val="clear" w:color="auto" w:fill="FFFFFF"/>
        </w:rPr>
        <w:t>Burman, E., (2017). </w:t>
      </w:r>
      <w:r w:rsidRPr="00BE2C1D">
        <w:rPr>
          <w:rFonts w:cstheme="minorHAnsi"/>
          <w:i/>
          <w:iCs/>
          <w:shd w:val="clear" w:color="auto" w:fill="FFFFFF"/>
        </w:rPr>
        <w:t>Deconstructing developmental psychology</w:t>
      </w:r>
      <w:r w:rsidRPr="00BE2C1D">
        <w:rPr>
          <w:rFonts w:cstheme="minorHAnsi"/>
          <w:shd w:val="clear" w:color="auto" w:fill="FFFFFF"/>
        </w:rPr>
        <w:t>. 3</w:t>
      </w:r>
      <w:r w:rsidRPr="00BE2C1D">
        <w:rPr>
          <w:rFonts w:cstheme="minorHAnsi"/>
          <w:shd w:val="clear" w:color="auto" w:fill="FFFFFF"/>
          <w:vertAlign w:val="superscript"/>
        </w:rPr>
        <w:t>rd</w:t>
      </w:r>
      <w:r w:rsidRPr="00BE2C1D">
        <w:rPr>
          <w:rFonts w:cstheme="minorHAnsi"/>
          <w:shd w:val="clear" w:color="auto" w:fill="FFFFFF"/>
        </w:rPr>
        <w:t xml:space="preserve"> edition. Oxon: Routledge.</w:t>
      </w:r>
    </w:p>
    <w:p w14:paraId="4A92E65B" w14:textId="77777777" w:rsidR="00BE2C1D" w:rsidRPr="00BE2C1D" w:rsidRDefault="00BE2C1D" w:rsidP="00BE2C1D">
      <w:pPr>
        <w:spacing w:line="360" w:lineRule="auto"/>
        <w:jc w:val="both"/>
        <w:rPr>
          <w:rFonts w:cstheme="minorHAnsi"/>
        </w:rPr>
      </w:pPr>
      <w:r w:rsidRPr="00BE2C1D">
        <w:rPr>
          <w:rFonts w:cstheme="minorHAnsi"/>
          <w:lang w:val="en-US"/>
        </w:rPr>
        <w:t xml:space="preserve">Burns, M. (2003). Interviewing: Embodied Communication. </w:t>
      </w:r>
      <w:r w:rsidRPr="00BE2C1D">
        <w:rPr>
          <w:rFonts w:cstheme="minorHAnsi"/>
          <w:i/>
          <w:lang w:val="en-US"/>
        </w:rPr>
        <w:t xml:space="preserve">Feminism &amp; Psychology. </w:t>
      </w:r>
      <w:r w:rsidRPr="00BE2C1D">
        <w:rPr>
          <w:rFonts w:cstheme="minorHAnsi"/>
          <w:b/>
          <w:bCs/>
          <w:lang w:val="en-US"/>
        </w:rPr>
        <w:t>13(</w:t>
      </w:r>
      <w:r w:rsidRPr="00BE2C1D">
        <w:rPr>
          <w:rFonts w:cstheme="minorHAnsi"/>
          <w:lang w:val="en-US"/>
        </w:rPr>
        <w:t xml:space="preserve">2), 229-236. </w:t>
      </w:r>
    </w:p>
    <w:p w14:paraId="009C1E3C" w14:textId="77777777" w:rsidR="00BE2C1D" w:rsidRPr="00BE2C1D" w:rsidRDefault="00BE2C1D" w:rsidP="00BE2C1D">
      <w:pPr>
        <w:spacing w:line="360" w:lineRule="auto"/>
        <w:jc w:val="both"/>
        <w:rPr>
          <w:rFonts w:cstheme="minorHAnsi"/>
          <w:i/>
          <w:iCs/>
          <w:lang w:val="en-US"/>
        </w:rPr>
      </w:pPr>
      <w:r w:rsidRPr="00BE2C1D">
        <w:rPr>
          <w:rFonts w:cstheme="minorHAnsi"/>
          <w:lang w:val="en-US"/>
        </w:rPr>
        <w:t xml:space="preserve">Burns, M. L., 2006. Bodies That Speak: Examining the Dialogues in Research Interactions. </w:t>
      </w:r>
      <w:r w:rsidRPr="00BE2C1D">
        <w:rPr>
          <w:rFonts w:cstheme="minorHAnsi"/>
          <w:i/>
          <w:iCs/>
          <w:lang w:val="en-US"/>
        </w:rPr>
        <w:t>Qualitative Research in Psychology</w:t>
      </w:r>
      <w:r w:rsidRPr="00BE2C1D">
        <w:rPr>
          <w:rFonts w:cstheme="minorHAnsi"/>
          <w:lang w:val="en-US"/>
        </w:rPr>
        <w:t xml:space="preserve">. </w:t>
      </w:r>
      <w:r w:rsidRPr="00BE2C1D">
        <w:rPr>
          <w:rFonts w:cstheme="minorHAnsi"/>
          <w:b/>
          <w:bCs/>
          <w:lang w:val="en-US"/>
        </w:rPr>
        <w:t>3</w:t>
      </w:r>
      <w:r w:rsidRPr="00BE2C1D">
        <w:rPr>
          <w:rFonts w:cstheme="minorHAnsi"/>
          <w:lang w:val="en-US"/>
        </w:rPr>
        <w:t>(1), 3–18.</w:t>
      </w:r>
    </w:p>
    <w:p w14:paraId="004089DD" w14:textId="77777777" w:rsidR="00BE2C1D" w:rsidRPr="00BE2C1D" w:rsidRDefault="00BE2C1D" w:rsidP="00BE2C1D">
      <w:pPr>
        <w:spacing w:line="360" w:lineRule="auto"/>
        <w:rPr>
          <w:rFonts w:cstheme="minorHAnsi"/>
          <w:shd w:val="clear" w:color="auto" w:fill="FFFFFF"/>
        </w:rPr>
      </w:pPr>
      <w:r w:rsidRPr="00BE2C1D">
        <w:rPr>
          <w:rFonts w:cstheme="minorHAnsi"/>
          <w:shd w:val="clear" w:color="auto" w:fill="FFFFFF"/>
        </w:rPr>
        <w:t>Burns, N., Watson, N. and Paterson, K., 2013. Risky bodies in risky spaces: disabled people’s pursuit of outdoor leisure. </w:t>
      </w:r>
      <w:r w:rsidRPr="00BE2C1D">
        <w:rPr>
          <w:rFonts w:cstheme="minorHAnsi"/>
          <w:i/>
          <w:iCs/>
          <w:shd w:val="clear" w:color="auto" w:fill="FFFFFF"/>
        </w:rPr>
        <w:t>Disability &amp; Society</w:t>
      </w:r>
      <w:r w:rsidRPr="00BE2C1D">
        <w:rPr>
          <w:rFonts w:cstheme="minorHAnsi"/>
          <w:shd w:val="clear" w:color="auto" w:fill="FFFFFF"/>
        </w:rPr>
        <w:t>, 28(8), 1059-1073.</w:t>
      </w:r>
    </w:p>
    <w:p w14:paraId="46F5A140" w14:textId="77777777" w:rsidR="00BE2C1D" w:rsidRPr="00BE2C1D" w:rsidRDefault="00BE2C1D" w:rsidP="00BE2C1D">
      <w:pPr>
        <w:spacing w:before="100" w:beforeAutospacing="1" w:after="100" w:afterAutospacing="1" w:line="360" w:lineRule="auto"/>
        <w:rPr>
          <w:rFonts w:eastAsia="Times New Roman" w:cstheme="minorHAnsi"/>
          <w:lang w:eastAsia="en-GB"/>
        </w:rPr>
      </w:pPr>
      <w:r w:rsidRPr="00BE2C1D">
        <w:rPr>
          <w:rFonts w:cstheme="minorHAnsi"/>
        </w:rPr>
        <w:t>Burton, S. (2013). </w:t>
      </w:r>
      <w:r w:rsidRPr="00BE2C1D">
        <w:rPr>
          <w:rFonts w:cstheme="minorHAnsi"/>
          <w:i/>
          <w:iCs/>
        </w:rPr>
        <w:t>Toilets unblocked: A literature review of school toilets</w:t>
      </w:r>
      <w:r w:rsidRPr="00BE2C1D">
        <w:rPr>
          <w:rFonts w:cstheme="minorHAnsi"/>
        </w:rPr>
        <w:t>. Edinburgh: Scotland’s Commissioner for Children and Young People.</w:t>
      </w:r>
    </w:p>
    <w:p w14:paraId="583801E8" w14:textId="77777777" w:rsidR="00BE2C1D" w:rsidRPr="00BE2C1D" w:rsidRDefault="00BE2C1D" w:rsidP="00BE2C1D">
      <w:pPr>
        <w:spacing w:before="100" w:beforeAutospacing="1" w:after="100" w:afterAutospacing="1" w:line="360" w:lineRule="auto"/>
        <w:rPr>
          <w:rFonts w:eastAsia="Times New Roman" w:cstheme="minorHAnsi"/>
          <w:b/>
          <w:bCs/>
          <w:lang w:eastAsia="en-GB"/>
        </w:rPr>
      </w:pPr>
      <w:r w:rsidRPr="00BE2C1D">
        <w:rPr>
          <w:rFonts w:eastAsia="Times New Roman" w:cstheme="minorHAnsi"/>
          <w:lang w:eastAsia="en-GB"/>
        </w:rPr>
        <w:t>Butler, J., (1993). </w:t>
      </w:r>
      <w:r w:rsidRPr="00BE2C1D">
        <w:rPr>
          <w:rFonts w:eastAsia="Times New Roman" w:cstheme="minorHAnsi"/>
          <w:i/>
          <w:iCs/>
          <w:lang w:eastAsia="en-GB"/>
        </w:rPr>
        <w:t>Bodies That Matter: On the Discursive Limits of Sex</w:t>
      </w:r>
      <w:r w:rsidRPr="00BE2C1D">
        <w:rPr>
          <w:rFonts w:eastAsia="Times New Roman" w:cstheme="minorHAnsi"/>
          <w:lang w:eastAsia="en-GB"/>
        </w:rPr>
        <w:t>. London: Routledge.</w:t>
      </w:r>
      <w:r w:rsidRPr="00BE2C1D">
        <w:rPr>
          <w:rFonts w:eastAsia="Times New Roman" w:cstheme="minorHAnsi"/>
          <w:b/>
          <w:bCs/>
          <w:lang w:eastAsia="en-GB"/>
        </w:rPr>
        <w:t xml:space="preserve"> </w:t>
      </w:r>
    </w:p>
    <w:p w14:paraId="77ADF3B3" w14:textId="77777777" w:rsidR="00BE2C1D" w:rsidRPr="00BE2C1D" w:rsidRDefault="00BE2C1D" w:rsidP="00BE2C1D">
      <w:pPr>
        <w:spacing w:line="360" w:lineRule="auto"/>
        <w:rPr>
          <w:rFonts w:cstheme="minorHAnsi"/>
          <w:shd w:val="clear" w:color="auto" w:fill="FFFFFF"/>
        </w:rPr>
      </w:pPr>
      <w:r w:rsidRPr="00BE2C1D">
        <w:rPr>
          <w:rFonts w:cstheme="minorHAnsi"/>
          <w:shd w:val="clear" w:color="auto" w:fill="FFFFFF"/>
        </w:rPr>
        <w:lastRenderedPageBreak/>
        <w:t>Butt, R., 2016. Teacher assistant support and deployment in mainstream schools. </w:t>
      </w:r>
      <w:r w:rsidRPr="00BE2C1D">
        <w:rPr>
          <w:rFonts w:cstheme="minorHAnsi"/>
          <w:i/>
          <w:iCs/>
          <w:shd w:val="clear" w:color="auto" w:fill="FFFFFF"/>
        </w:rPr>
        <w:t>International Journal of Inclusive Education</w:t>
      </w:r>
      <w:r w:rsidRPr="00BE2C1D">
        <w:rPr>
          <w:rFonts w:cstheme="minorHAnsi"/>
          <w:shd w:val="clear" w:color="auto" w:fill="FFFFFF"/>
        </w:rPr>
        <w:t>. </w:t>
      </w:r>
      <w:r w:rsidRPr="00BE2C1D">
        <w:rPr>
          <w:rFonts w:cstheme="minorHAnsi"/>
          <w:b/>
          <w:bCs/>
          <w:shd w:val="clear" w:color="auto" w:fill="FFFFFF"/>
        </w:rPr>
        <w:t>20</w:t>
      </w:r>
      <w:r w:rsidRPr="00BE2C1D">
        <w:rPr>
          <w:rFonts w:cstheme="minorHAnsi"/>
          <w:shd w:val="clear" w:color="auto" w:fill="FFFFFF"/>
        </w:rPr>
        <w:t>(9), 995-1007.</w:t>
      </w:r>
    </w:p>
    <w:p w14:paraId="676B12BC" w14:textId="77777777" w:rsidR="00BE2C1D" w:rsidRPr="00BE2C1D" w:rsidRDefault="00BE2C1D" w:rsidP="00BE2C1D">
      <w:pPr>
        <w:spacing w:line="360" w:lineRule="auto"/>
        <w:rPr>
          <w:rFonts w:cstheme="minorHAnsi"/>
          <w:shd w:val="clear" w:color="auto" w:fill="FFFFFF"/>
        </w:rPr>
      </w:pPr>
      <w:r w:rsidRPr="00BE2C1D">
        <w:rPr>
          <w:rFonts w:cstheme="minorHAnsi"/>
          <w:shd w:val="clear" w:color="auto" w:fill="FFFFFF"/>
        </w:rPr>
        <w:t xml:space="preserve">Byrne B, Kelly B., 2015. Special issue: valuing disabled children: participation and inclusion. </w:t>
      </w:r>
      <w:r w:rsidRPr="00BE2C1D">
        <w:rPr>
          <w:rFonts w:cstheme="minorHAnsi"/>
          <w:i/>
          <w:iCs/>
          <w:shd w:val="clear" w:color="auto" w:fill="FFFFFF"/>
        </w:rPr>
        <w:t xml:space="preserve">Child Care in Practice. </w:t>
      </w:r>
      <w:r w:rsidRPr="00BE2C1D">
        <w:rPr>
          <w:rFonts w:cstheme="minorHAnsi"/>
          <w:b/>
          <w:bCs/>
          <w:shd w:val="clear" w:color="auto" w:fill="FFFFFF"/>
        </w:rPr>
        <w:t>21</w:t>
      </w:r>
      <w:r w:rsidRPr="00BE2C1D">
        <w:rPr>
          <w:rFonts w:cstheme="minorHAnsi"/>
          <w:shd w:val="clear" w:color="auto" w:fill="FFFFFF"/>
        </w:rPr>
        <w:t>, 197–200.</w:t>
      </w:r>
    </w:p>
    <w:p w14:paraId="11BAA81E" w14:textId="77777777" w:rsidR="00BE2C1D" w:rsidRPr="00BE2C1D" w:rsidRDefault="00BE2C1D" w:rsidP="00BE2C1D">
      <w:pPr>
        <w:spacing w:line="360" w:lineRule="auto"/>
        <w:rPr>
          <w:rFonts w:cstheme="minorHAnsi"/>
          <w:shd w:val="clear" w:color="auto" w:fill="FFFFFF"/>
        </w:rPr>
      </w:pPr>
      <w:r w:rsidRPr="00BE2C1D">
        <w:rPr>
          <w:rFonts w:cstheme="minorHAnsi"/>
          <w:shd w:val="clear" w:color="auto" w:fill="FFFFFF"/>
        </w:rPr>
        <w:t>Cadwallader, J., 2007. Suffering difference: Normalisation and power. </w:t>
      </w:r>
      <w:r w:rsidRPr="00BE2C1D">
        <w:rPr>
          <w:rFonts w:cstheme="minorHAnsi"/>
          <w:i/>
          <w:iCs/>
          <w:shd w:val="clear" w:color="auto" w:fill="FFFFFF"/>
        </w:rPr>
        <w:t>Social Semiotics</w:t>
      </w:r>
      <w:r w:rsidRPr="00BE2C1D">
        <w:rPr>
          <w:rFonts w:cstheme="minorHAnsi"/>
          <w:shd w:val="clear" w:color="auto" w:fill="FFFFFF"/>
        </w:rPr>
        <w:t>. </w:t>
      </w:r>
      <w:r w:rsidRPr="00BE2C1D">
        <w:rPr>
          <w:rFonts w:cstheme="minorHAnsi"/>
          <w:b/>
          <w:bCs/>
          <w:shd w:val="clear" w:color="auto" w:fill="FFFFFF"/>
        </w:rPr>
        <w:t>17</w:t>
      </w:r>
      <w:r w:rsidRPr="00BE2C1D">
        <w:rPr>
          <w:rFonts w:cstheme="minorHAnsi"/>
          <w:shd w:val="clear" w:color="auto" w:fill="FFFFFF"/>
        </w:rPr>
        <w:t>(3), 375-394.</w:t>
      </w:r>
    </w:p>
    <w:p w14:paraId="40D03701" w14:textId="77777777" w:rsidR="00BE2C1D" w:rsidRPr="00BE2C1D" w:rsidRDefault="00BE2C1D" w:rsidP="00BE2C1D">
      <w:pPr>
        <w:spacing w:line="360" w:lineRule="auto"/>
        <w:rPr>
          <w:rFonts w:cstheme="minorHAnsi"/>
          <w:shd w:val="clear" w:color="auto" w:fill="FFFFFF"/>
        </w:rPr>
      </w:pPr>
      <w:r w:rsidRPr="00BE2C1D">
        <w:rPr>
          <w:rFonts w:cstheme="minorHAnsi"/>
          <w:shd w:val="clear" w:color="auto" w:fill="FFFFFF"/>
        </w:rPr>
        <w:t>Caluya, G., 2010. The post-panoptic society? Reassessing Foucault in surveillance studies. </w:t>
      </w:r>
      <w:r w:rsidRPr="00BE2C1D">
        <w:rPr>
          <w:rFonts w:cstheme="minorHAnsi"/>
          <w:i/>
          <w:iCs/>
          <w:shd w:val="clear" w:color="auto" w:fill="FFFFFF"/>
        </w:rPr>
        <w:t>Social Identities</w:t>
      </w:r>
      <w:r w:rsidRPr="00BE2C1D">
        <w:rPr>
          <w:rFonts w:cstheme="minorHAnsi"/>
          <w:shd w:val="clear" w:color="auto" w:fill="FFFFFF"/>
        </w:rPr>
        <w:t>. </w:t>
      </w:r>
      <w:r w:rsidRPr="00BE2C1D">
        <w:rPr>
          <w:rFonts w:cstheme="minorHAnsi"/>
          <w:b/>
          <w:bCs/>
          <w:shd w:val="clear" w:color="auto" w:fill="FFFFFF"/>
        </w:rPr>
        <w:t>16(</w:t>
      </w:r>
      <w:r w:rsidRPr="00BE2C1D">
        <w:rPr>
          <w:rFonts w:cstheme="minorHAnsi"/>
          <w:shd w:val="clear" w:color="auto" w:fill="FFFFFF"/>
        </w:rPr>
        <w:t>5), 621-633.</w:t>
      </w:r>
    </w:p>
    <w:p w14:paraId="0EDAEC5F" w14:textId="77777777" w:rsidR="00BE2C1D" w:rsidRPr="00BE2C1D" w:rsidRDefault="00BE2C1D" w:rsidP="00BE2C1D">
      <w:pPr>
        <w:spacing w:line="360" w:lineRule="auto"/>
        <w:rPr>
          <w:rFonts w:cstheme="minorHAnsi"/>
          <w:shd w:val="clear" w:color="auto" w:fill="FFFFFF"/>
        </w:rPr>
      </w:pPr>
      <w:r w:rsidRPr="00BE2C1D">
        <w:rPr>
          <w:rFonts w:cstheme="minorHAnsi"/>
          <w:shd w:val="clear" w:color="auto" w:fill="FFFFFF"/>
        </w:rPr>
        <w:t>Camodeca, M. and Goossens, F. A., 2005. Children's opinions on effective strategies to cope with bullying: The importance of bullying role and perspective. </w:t>
      </w:r>
      <w:r w:rsidRPr="00BE2C1D">
        <w:rPr>
          <w:rFonts w:cstheme="minorHAnsi"/>
          <w:i/>
          <w:iCs/>
          <w:shd w:val="clear" w:color="auto" w:fill="FFFFFF"/>
        </w:rPr>
        <w:t>Educational research</w:t>
      </w:r>
      <w:r w:rsidRPr="00BE2C1D">
        <w:rPr>
          <w:rFonts w:cstheme="minorHAnsi"/>
          <w:shd w:val="clear" w:color="auto" w:fill="FFFFFF"/>
        </w:rPr>
        <w:t>. </w:t>
      </w:r>
      <w:r w:rsidRPr="00BE2C1D">
        <w:rPr>
          <w:rFonts w:cstheme="minorHAnsi"/>
          <w:b/>
          <w:bCs/>
          <w:shd w:val="clear" w:color="auto" w:fill="FFFFFF"/>
        </w:rPr>
        <w:t>47</w:t>
      </w:r>
      <w:r w:rsidRPr="00BE2C1D">
        <w:rPr>
          <w:rFonts w:cstheme="minorHAnsi"/>
          <w:shd w:val="clear" w:color="auto" w:fill="FFFFFF"/>
        </w:rPr>
        <w:t>(1),93-105.</w:t>
      </w:r>
    </w:p>
    <w:p w14:paraId="7FAAA52A" w14:textId="77777777" w:rsidR="00BE2C1D" w:rsidRPr="00BE2C1D" w:rsidRDefault="00BE2C1D" w:rsidP="00BE2C1D">
      <w:pPr>
        <w:spacing w:line="360" w:lineRule="auto"/>
        <w:jc w:val="both"/>
        <w:rPr>
          <w:rFonts w:cstheme="minorHAnsi"/>
          <w:lang w:eastAsia="en-GB"/>
        </w:rPr>
      </w:pPr>
      <w:r w:rsidRPr="00BE2C1D">
        <w:rPr>
          <w:rFonts w:cstheme="minorHAnsi"/>
          <w:lang w:eastAsia="en-GB"/>
        </w:rPr>
        <w:t xml:space="preserve">Campbell, F. K. (2008a). Exploring Internalized Ableism Using Critical Race Theory. </w:t>
      </w:r>
      <w:r w:rsidRPr="00BE2C1D">
        <w:rPr>
          <w:rFonts w:cstheme="minorHAnsi"/>
          <w:i/>
          <w:iCs/>
          <w:lang w:eastAsia="en-GB"/>
        </w:rPr>
        <w:t>Disability &amp; Society</w:t>
      </w:r>
      <w:r w:rsidRPr="00BE2C1D">
        <w:rPr>
          <w:rFonts w:cstheme="minorHAnsi"/>
          <w:lang w:eastAsia="en-GB"/>
        </w:rPr>
        <w:t xml:space="preserve">. </w:t>
      </w:r>
      <w:r w:rsidRPr="00BE2C1D">
        <w:rPr>
          <w:rFonts w:cstheme="minorHAnsi"/>
          <w:b/>
          <w:bCs/>
          <w:lang w:eastAsia="en-GB"/>
        </w:rPr>
        <w:t>23</w:t>
      </w:r>
      <w:r w:rsidRPr="00BE2C1D">
        <w:rPr>
          <w:rFonts w:cstheme="minorHAnsi"/>
          <w:lang w:eastAsia="en-GB"/>
        </w:rPr>
        <w:t>(2), 151–162.</w:t>
      </w:r>
    </w:p>
    <w:p w14:paraId="508F465A" w14:textId="77777777" w:rsidR="00BE2C1D" w:rsidRPr="00BE2C1D" w:rsidRDefault="00BE2C1D" w:rsidP="00BE2C1D">
      <w:pPr>
        <w:spacing w:line="360" w:lineRule="auto"/>
        <w:jc w:val="both"/>
        <w:rPr>
          <w:rFonts w:cstheme="minorHAnsi"/>
        </w:rPr>
      </w:pPr>
      <w:r w:rsidRPr="00BE2C1D">
        <w:rPr>
          <w:rFonts w:cstheme="minorHAnsi"/>
        </w:rPr>
        <w:t xml:space="preserve">Campbell, F. K. 2008b. “Refusing Able(ness): A Preliminary Conversation About Ableism.” M/C Journal. </w:t>
      </w:r>
      <w:r w:rsidRPr="00BE2C1D">
        <w:rPr>
          <w:rFonts w:cstheme="minorHAnsi"/>
          <w:b/>
          <w:bCs/>
        </w:rPr>
        <w:t>11</w:t>
      </w:r>
      <w:r w:rsidRPr="00BE2C1D">
        <w:rPr>
          <w:rFonts w:cstheme="minorHAnsi"/>
        </w:rPr>
        <w:t>(3), 1–15.</w:t>
      </w:r>
    </w:p>
    <w:p w14:paraId="238ABB8C" w14:textId="77777777" w:rsidR="00BE2C1D" w:rsidRPr="00BE2C1D" w:rsidRDefault="00BE2C1D" w:rsidP="00BE2C1D">
      <w:pPr>
        <w:spacing w:line="360" w:lineRule="auto"/>
        <w:rPr>
          <w:rFonts w:cstheme="minorHAnsi"/>
          <w:shd w:val="clear" w:color="auto" w:fill="FFFFFF"/>
        </w:rPr>
      </w:pPr>
      <w:r w:rsidRPr="00BE2C1D">
        <w:rPr>
          <w:rFonts w:cstheme="minorHAnsi"/>
          <w:shd w:val="clear" w:color="auto" w:fill="FFFFFF"/>
        </w:rPr>
        <w:t>Campbell, F. K., (2009). </w:t>
      </w:r>
      <w:r w:rsidRPr="00BE2C1D">
        <w:rPr>
          <w:rFonts w:cstheme="minorHAnsi"/>
          <w:i/>
          <w:iCs/>
          <w:shd w:val="clear" w:color="auto" w:fill="FFFFFF"/>
        </w:rPr>
        <w:t>Contours of ableism: The production of disability and abledness</w:t>
      </w:r>
      <w:r w:rsidRPr="00BE2C1D">
        <w:rPr>
          <w:rFonts w:cstheme="minorHAnsi"/>
          <w:shd w:val="clear" w:color="auto" w:fill="FFFFFF"/>
        </w:rPr>
        <w:t xml:space="preserve">. Basingstoke: Palgrave Macmillan. </w:t>
      </w:r>
    </w:p>
    <w:p w14:paraId="1C499CF7" w14:textId="77777777" w:rsidR="00BE2C1D" w:rsidRPr="00BE2C1D" w:rsidRDefault="00BE2C1D" w:rsidP="00BE2C1D">
      <w:pPr>
        <w:spacing w:line="360" w:lineRule="auto"/>
        <w:rPr>
          <w:rFonts w:cstheme="minorHAnsi"/>
          <w:shd w:val="clear" w:color="auto" w:fill="FFFFFF"/>
        </w:rPr>
      </w:pPr>
      <w:r w:rsidRPr="00BE2C1D">
        <w:rPr>
          <w:rFonts w:cstheme="minorHAnsi"/>
          <w:shd w:val="clear" w:color="auto" w:fill="FFFFFF"/>
        </w:rPr>
        <w:t>Canty, J., Stubbe, M., Steers, D. and Collings, S., 2016. The Trouble with Bullying–Deconstructing the Conventional Definition of Bullying for a Child‐centred Investigation into Children's Use of Social Media. </w:t>
      </w:r>
      <w:r w:rsidRPr="00BE2C1D">
        <w:rPr>
          <w:rFonts w:cstheme="minorHAnsi"/>
          <w:i/>
          <w:iCs/>
          <w:shd w:val="clear" w:color="auto" w:fill="FFFFFF"/>
        </w:rPr>
        <w:t>Children &amp; Society</w:t>
      </w:r>
      <w:r w:rsidRPr="00BE2C1D">
        <w:rPr>
          <w:rFonts w:cstheme="minorHAnsi"/>
          <w:shd w:val="clear" w:color="auto" w:fill="FFFFFF"/>
        </w:rPr>
        <w:t>. </w:t>
      </w:r>
      <w:r w:rsidRPr="00BE2C1D">
        <w:rPr>
          <w:rFonts w:cstheme="minorHAnsi"/>
          <w:b/>
          <w:bCs/>
          <w:shd w:val="clear" w:color="auto" w:fill="FFFFFF"/>
        </w:rPr>
        <w:t>30</w:t>
      </w:r>
      <w:r w:rsidRPr="00BE2C1D">
        <w:rPr>
          <w:rFonts w:cstheme="minorHAnsi"/>
          <w:shd w:val="clear" w:color="auto" w:fill="FFFFFF"/>
        </w:rPr>
        <w:t>(1), 48-58.</w:t>
      </w:r>
    </w:p>
    <w:p w14:paraId="4F175E8F" w14:textId="77777777" w:rsidR="00BE2C1D" w:rsidRPr="00BE2C1D" w:rsidRDefault="00BE2C1D" w:rsidP="00BE2C1D">
      <w:pPr>
        <w:spacing w:line="360" w:lineRule="auto"/>
        <w:jc w:val="both"/>
        <w:rPr>
          <w:rFonts w:cstheme="minorHAnsi"/>
          <w:lang w:val="en-US"/>
        </w:rPr>
      </w:pPr>
      <w:r w:rsidRPr="00BE2C1D">
        <w:rPr>
          <w:rFonts w:cstheme="minorHAnsi"/>
          <w:lang w:val="en-US"/>
        </w:rPr>
        <w:t xml:space="preserve">Carr, D., (2010) Constructing disability in online worlds: conceptualising disability in online research. London Review of Education. </w:t>
      </w:r>
      <w:r w:rsidRPr="00BE2C1D">
        <w:rPr>
          <w:rFonts w:cstheme="minorHAnsi"/>
          <w:b/>
          <w:bCs/>
          <w:lang w:val="en-US"/>
        </w:rPr>
        <w:t>8</w:t>
      </w:r>
      <w:r w:rsidRPr="00BE2C1D">
        <w:rPr>
          <w:rFonts w:cstheme="minorHAnsi"/>
          <w:lang w:val="en-US"/>
        </w:rPr>
        <w:t>, 51–61.</w:t>
      </w:r>
    </w:p>
    <w:p w14:paraId="4E9381F2" w14:textId="77777777" w:rsidR="00BE2C1D" w:rsidRPr="00BE2C1D" w:rsidRDefault="00BE2C1D" w:rsidP="00BE2C1D">
      <w:pPr>
        <w:spacing w:line="360" w:lineRule="auto"/>
        <w:rPr>
          <w:rFonts w:cstheme="minorHAnsi"/>
          <w:shd w:val="clear" w:color="auto" w:fill="FFFFFF"/>
        </w:rPr>
      </w:pPr>
      <w:r w:rsidRPr="00BE2C1D">
        <w:rPr>
          <w:rFonts w:cstheme="minorHAnsi"/>
          <w:shd w:val="clear" w:color="auto" w:fill="FFFFFF"/>
        </w:rPr>
        <w:t>Case, A. and Paxson, C., 2008. Stature and status: Height, ability, and labor market outcomes. </w:t>
      </w:r>
      <w:r w:rsidRPr="00BE2C1D">
        <w:rPr>
          <w:rFonts w:cstheme="minorHAnsi"/>
          <w:i/>
          <w:iCs/>
          <w:shd w:val="clear" w:color="auto" w:fill="FFFFFF"/>
        </w:rPr>
        <w:t>Journal of political Economy</w:t>
      </w:r>
      <w:r w:rsidRPr="00BE2C1D">
        <w:rPr>
          <w:rFonts w:cstheme="minorHAnsi"/>
          <w:shd w:val="clear" w:color="auto" w:fill="FFFFFF"/>
        </w:rPr>
        <w:t>. </w:t>
      </w:r>
      <w:r w:rsidRPr="00BE2C1D">
        <w:rPr>
          <w:rFonts w:cstheme="minorHAnsi"/>
          <w:b/>
          <w:bCs/>
          <w:shd w:val="clear" w:color="auto" w:fill="FFFFFF"/>
        </w:rPr>
        <w:t>116</w:t>
      </w:r>
      <w:r w:rsidRPr="00BE2C1D">
        <w:rPr>
          <w:rFonts w:cstheme="minorHAnsi"/>
          <w:shd w:val="clear" w:color="auto" w:fill="FFFFFF"/>
        </w:rPr>
        <w:t>(3), 499-532.</w:t>
      </w:r>
    </w:p>
    <w:p w14:paraId="0BECED45" w14:textId="77777777" w:rsidR="00BE2C1D" w:rsidRPr="00BE2C1D" w:rsidRDefault="00BE2C1D" w:rsidP="00BE2C1D">
      <w:pPr>
        <w:spacing w:line="360" w:lineRule="auto"/>
        <w:rPr>
          <w:rFonts w:cstheme="minorHAnsi"/>
          <w:shd w:val="clear" w:color="auto" w:fill="FFFFFF"/>
        </w:rPr>
      </w:pPr>
      <w:r w:rsidRPr="00BE2C1D">
        <w:rPr>
          <w:rFonts w:cstheme="minorHAnsi"/>
          <w:shd w:val="clear" w:color="auto" w:fill="FFFFFF"/>
        </w:rPr>
        <w:t>Castellucci, H.I., Arezes, P.M. and Molenbroek, J.F.M., 2015. Analysis of the most relevant anthropometric dimensions for school furniture selection based on a study with students from one Chilean region. </w:t>
      </w:r>
      <w:r w:rsidRPr="00BE2C1D">
        <w:rPr>
          <w:rFonts w:cstheme="minorHAnsi"/>
          <w:i/>
          <w:iCs/>
          <w:shd w:val="clear" w:color="auto" w:fill="FFFFFF"/>
        </w:rPr>
        <w:t>Applied ergonomics</w:t>
      </w:r>
      <w:r w:rsidRPr="00BE2C1D">
        <w:rPr>
          <w:rFonts w:cstheme="minorHAnsi"/>
          <w:shd w:val="clear" w:color="auto" w:fill="FFFFFF"/>
        </w:rPr>
        <w:t>. </w:t>
      </w:r>
      <w:r w:rsidRPr="00BE2C1D">
        <w:rPr>
          <w:rFonts w:cstheme="minorHAnsi"/>
          <w:b/>
          <w:bCs/>
          <w:shd w:val="clear" w:color="auto" w:fill="FFFFFF"/>
        </w:rPr>
        <w:t>46,</w:t>
      </w:r>
      <w:r w:rsidRPr="00BE2C1D">
        <w:rPr>
          <w:rFonts w:cstheme="minorHAnsi"/>
          <w:shd w:val="clear" w:color="auto" w:fill="FFFFFF"/>
        </w:rPr>
        <w:t xml:space="preserve"> 201-211.</w:t>
      </w:r>
    </w:p>
    <w:p w14:paraId="1B572711" w14:textId="77777777" w:rsidR="00BE2C1D" w:rsidRPr="00BE2C1D" w:rsidRDefault="00BE2C1D" w:rsidP="00BE2C1D">
      <w:pPr>
        <w:spacing w:line="360" w:lineRule="auto"/>
        <w:jc w:val="both"/>
        <w:rPr>
          <w:rFonts w:cstheme="minorHAnsi"/>
          <w:shd w:val="clear" w:color="auto" w:fill="FFFFFF"/>
        </w:rPr>
      </w:pPr>
      <w:r w:rsidRPr="00BE2C1D">
        <w:rPr>
          <w:rFonts w:cstheme="minorHAnsi"/>
          <w:shd w:val="clear" w:color="auto" w:fill="FFFFFF"/>
        </w:rPr>
        <w:t>Cater, J.K., 2011. Skype a cost-effective method for qualitative research. </w:t>
      </w:r>
      <w:r w:rsidRPr="00BE2C1D">
        <w:rPr>
          <w:rFonts w:cstheme="minorHAnsi"/>
          <w:i/>
          <w:iCs/>
          <w:shd w:val="clear" w:color="auto" w:fill="FFFFFF"/>
        </w:rPr>
        <w:t>Rehabilitation Counselors &amp; Educators Journal</w:t>
      </w:r>
      <w:r w:rsidRPr="00BE2C1D">
        <w:rPr>
          <w:rFonts w:cstheme="minorHAnsi"/>
          <w:shd w:val="clear" w:color="auto" w:fill="FFFFFF"/>
        </w:rPr>
        <w:t>. </w:t>
      </w:r>
      <w:r w:rsidRPr="00BE2C1D">
        <w:rPr>
          <w:rFonts w:cstheme="minorHAnsi"/>
          <w:b/>
          <w:bCs/>
          <w:shd w:val="clear" w:color="auto" w:fill="FFFFFF"/>
        </w:rPr>
        <w:t>4</w:t>
      </w:r>
      <w:r w:rsidRPr="00BE2C1D">
        <w:rPr>
          <w:rFonts w:cstheme="minorHAnsi"/>
          <w:shd w:val="clear" w:color="auto" w:fill="FFFFFF"/>
        </w:rPr>
        <w:t>(2), 3.</w:t>
      </w:r>
    </w:p>
    <w:p w14:paraId="79827716" w14:textId="77777777" w:rsidR="00BE2C1D" w:rsidRPr="00BE2C1D" w:rsidRDefault="00BE2C1D" w:rsidP="00BE2C1D">
      <w:pPr>
        <w:spacing w:line="360" w:lineRule="auto"/>
        <w:rPr>
          <w:rFonts w:cstheme="minorHAnsi"/>
          <w:shd w:val="clear" w:color="auto" w:fill="FFFFFF"/>
        </w:rPr>
      </w:pPr>
      <w:bookmarkStart w:id="196" w:name="_Hlk36762146"/>
      <w:r w:rsidRPr="00BE2C1D">
        <w:rPr>
          <w:rFonts w:cstheme="minorHAnsi"/>
          <w:shd w:val="clear" w:color="auto" w:fill="FFFFFF"/>
        </w:rPr>
        <w:lastRenderedPageBreak/>
        <w:t>Chaplin, J.E., Kriström, B., Jonsson, B., Hägglöf, B., Tuvemo, T., Aronson, A.S., Dahlgren, J. and Albertsson-Wikland, K., 2011. Improvements in behaviour and self-esteem following growth hormone treatment in short prepubertal children. </w:t>
      </w:r>
      <w:r w:rsidRPr="00BE2C1D">
        <w:rPr>
          <w:rFonts w:cstheme="minorHAnsi"/>
          <w:i/>
          <w:iCs/>
          <w:shd w:val="clear" w:color="auto" w:fill="FFFFFF"/>
        </w:rPr>
        <w:t>Hormone research in paediatrics</w:t>
      </w:r>
      <w:r w:rsidRPr="00BE2C1D">
        <w:rPr>
          <w:rFonts w:cstheme="minorHAnsi"/>
          <w:shd w:val="clear" w:color="auto" w:fill="FFFFFF"/>
        </w:rPr>
        <w:t>. </w:t>
      </w:r>
      <w:r w:rsidRPr="00BE2C1D">
        <w:rPr>
          <w:rFonts w:cstheme="minorHAnsi"/>
          <w:b/>
          <w:bCs/>
          <w:shd w:val="clear" w:color="auto" w:fill="FFFFFF"/>
        </w:rPr>
        <w:t>75</w:t>
      </w:r>
      <w:r w:rsidRPr="00BE2C1D">
        <w:rPr>
          <w:rFonts w:cstheme="minorHAnsi"/>
          <w:shd w:val="clear" w:color="auto" w:fill="FFFFFF"/>
        </w:rPr>
        <w:t>(4), 291-303.</w:t>
      </w:r>
    </w:p>
    <w:p w14:paraId="1D1F84E0" w14:textId="77777777" w:rsidR="00BE2C1D" w:rsidRPr="00BE2C1D" w:rsidRDefault="00BE2C1D" w:rsidP="00BE2C1D">
      <w:pPr>
        <w:spacing w:line="360" w:lineRule="auto"/>
        <w:jc w:val="both"/>
        <w:rPr>
          <w:rFonts w:cstheme="minorHAnsi"/>
        </w:rPr>
      </w:pPr>
      <w:r w:rsidRPr="00BE2C1D">
        <w:rPr>
          <w:rFonts w:cstheme="minorHAnsi"/>
        </w:rPr>
        <w:t xml:space="preserve">Charlton, J. L., (1998). </w:t>
      </w:r>
      <w:r w:rsidRPr="00BE2C1D">
        <w:rPr>
          <w:rFonts w:cstheme="minorHAnsi"/>
          <w:i/>
          <w:iCs/>
        </w:rPr>
        <w:t>Nothing About us Without us: disability power and oppression.</w:t>
      </w:r>
      <w:r w:rsidRPr="00BE2C1D">
        <w:rPr>
          <w:rFonts w:cstheme="minorHAnsi"/>
        </w:rPr>
        <w:t xml:space="preserve"> Berkeley: University of California Press. </w:t>
      </w:r>
    </w:p>
    <w:p w14:paraId="5D393ED8" w14:textId="77777777" w:rsidR="00BE2C1D" w:rsidRPr="00BE2C1D" w:rsidRDefault="00BE2C1D" w:rsidP="00BE2C1D">
      <w:pPr>
        <w:spacing w:line="360" w:lineRule="auto"/>
        <w:rPr>
          <w:rFonts w:cstheme="minorHAnsi"/>
          <w:shd w:val="clear" w:color="auto" w:fill="FFFFFF"/>
        </w:rPr>
      </w:pPr>
      <w:r w:rsidRPr="00BE2C1D">
        <w:rPr>
          <w:rFonts w:cstheme="minorHAnsi"/>
          <w:shd w:val="clear" w:color="auto" w:fill="FFFFFF"/>
        </w:rPr>
        <w:t>Chatzitheochari, S., Parsons, S. and Platt, L., 2016. Doubly disadvantaged? Bullying experiences among disabled children and young people in England. </w:t>
      </w:r>
      <w:r w:rsidRPr="00BE2C1D">
        <w:rPr>
          <w:rFonts w:cstheme="minorHAnsi"/>
          <w:i/>
          <w:iCs/>
          <w:shd w:val="clear" w:color="auto" w:fill="FFFFFF"/>
        </w:rPr>
        <w:t>Sociology</w:t>
      </w:r>
      <w:r w:rsidRPr="00BE2C1D">
        <w:rPr>
          <w:rFonts w:cstheme="minorHAnsi"/>
          <w:shd w:val="clear" w:color="auto" w:fill="FFFFFF"/>
        </w:rPr>
        <w:t>. </w:t>
      </w:r>
      <w:r w:rsidRPr="00BE2C1D">
        <w:rPr>
          <w:rFonts w:cstheme="minorHAnsi"/>
          <w:b/>
          <w:bCs/>
          <w:shd w:val="clear" w:color="auto" w:fill="FFFFFF"/>
        </w:rPr>
        <w:t>50</w:t>
      </w:r>
      <w:r w:rsidRPr="00BE2C1D">
        <w:rPr>
          <w:rFonts w:cstheme="minorHAnsi"/>
          <w:shd w:val="clear" w:color="auto" w:fill="FFFFFF"/>
        </w:rPr>
        <w:t>(4), 695-713.</w:t>
      </w:r>
    </w:p>
    <w:p w14:paraId="782CCA85" w14:textId="77777777" w:rsidR="00BE2C1D" w:rsidRPr="00BE2C1D" w:rsidRDefault="00BE2C1D" w:rsidP="00BE2C1D">
      <w:pPr>
        <w:spacing w:line="360" w:lineRule="auto"/>
        <w:rPr>
          <w:rFonts w:cstheme="minorHAnsi"/>
          <w:shd w:val="clear" w:color="auto" w:fill="FFFFFF"/>
        </w:rPr>
      </w:pPr>
      <w:r w:rsidRPr="00BE2C1D">
        <w:rPr>
          <w:rFonts w:cstheme="minorHAnsi"/>
          <w:shd w:val="clear" w:color="auto" w:fill="FFFFFF"/>
        </w:rPr>
        <w:t>Chung, J.W. and Wong, T.K., 2007. Anthropometric evaluation for primary school furniture design. </w:t>
      </w:r>
      <w:r w:rsidRPr="00BE2C1D">
        <w:rPr>
          <w:rFonts w:cstheme="minorHAnsi"/>
          <w:i/>
          <w:iCs/>
          <w:shd w:val="clear" w:color="auto" w:fill="FFFFFF"/>
        </w:rPr>
        <w:t>Ergonomics</w:t>
      </w:r>
      <w:r w:rsidRPr="00BE2C1D">
        <w:rPr>
          <w:rFonts w:cstheme="minorHAnsi"/>
          <w:shd w:val="clear" w:color="auto" w:fill="FFFFFF"/>
        </w:rPr>
        <w:t>. </w:t>
      </w:r>
      <w:r w:rsidRPr="00BE2C1D">
        <w:rPr>
          <w:rFonts w:cstheme="minorHAnsi"/>
          <w:b/>
          <w:bCs/>
          <w:shd w:val="clear" w:color="auto" w:fill="FFFFFF"/>
        </w:rPr>
        <w:t>50</w:t>
      </w:r>
      <w:r w:rsidRPr="00BE2C1D">
        <w:rPr>
          <w:rFonts w:cstheme="minorHAnsi"/>
          <w:shd w:val="clear" w:color="auto" w:fill="FFFFFF"/>
        </w:rPr>
        <w:t>(3), 323-334.</w:t>
      </w:r>
    </w:p>
    <w:p w14:paraId="6962394A" w14:textId="77777777" w:rsidR="00BE2C1D" w:rsidRPr="00BE2C1D" w:rsidRDefault="00BE2C1D" w:rsidP="00BE2C1D">
      <w:pPr>
        <w:spacing w:line="360" w:lineRule="auto"/>
        <w:rPr>
          <w:rFonts w:cstheme="minorHAnsi"/>
          <w:shd w:val="clear" w:color="auto" w:fill="FFFFFF"/>
        </w:rPr>
      </w:pPr>
      <w:r w:rsidRPr="00BE2C1D">
        <w:rPr>
          <w:rFonts w:cstheme="minorHAnsi"/>
          <w:shd w:val="clear" w:color="auto" w:fill="FFFFFF"/>
        </w:rPr>
        <w:t>Cinnirella, F., Piopiunik, M. and Winter, J., 2011. Why does height matter for educational attainment? Evidence from German children. </w:t>
      </w:r>
      <w:r w:rsidRPr="00BE2C1D">
        <w:rPr>
          <w:rFonts w:cstheme="minorHAnsi"/>
          <w:i/>
          <w:iCs/>
          <w:shd w:val="clear" w:color="auto" w:fill="FFFFFF"/>
        </w:rPr>
        <w:t>Economics &amp; Human Biology</w:t>
      </w:r>
      <w:r w:rsidRPr="00BE2C1D">
        <w:rPr>
          <w:rFonts w:cstheme="minorHAnsi"/>
          <w:shd w:val="clear" w:color="auto" w:fill="FFFFFF"/>
        </w:rPr>
        <w:t>. </w:t>
      </w:r>
      <w:r w:rsidRPr="00BE2C1D">
        <w:rPr>
          <w:rFonts w:cstheme="minorHAnsi"/>
          <w:b/>
          <w:bCs/>
          <w:shd w:val="clear" w:color="auto" w:fill="FFFFFF"/>
        </w:rPr>
        <w:t>9</w:t>
      </w:r>
      <w:r w:rsidRPr="00BE2C1D">
        <w:rPr>
          <w:rFonts w:cstheme="minorHAnsi"/>
          <w:shd w:val="clear" w:color="auto" w:fill="FFFFFF"/>
        </w:rPr>
        <w:t>(4), 407-418.</w:t>
      </w:r>
    </w:p>
    <w:p w14:paraId="783CB827" w14:textId="77777777" w:rsidR="00BE2C1D" w:rsidRPr="00BE2C1D" w:rsidRDefault="00BE2C1D" w:rsidP="00BE2C1D">
      <w:pPr>
        <w:spacing w:line="360" w:lineRule="auto"/>
        <w:jc w:val="both"/>
        <w:rPr>
          <w:rFonts w:cstheme="minorHAnsi"/>
        </w:rPr>
      </w:pPr>
      <w:r w:rsidRPr="00BE2C1D">
        <w:rPr>
          <w:rFonts w:cstheme="minorHAnsi"/>
        </w:rPr>
        <w:t xml:space="preserve">Clandinin, J. D. (2006) Narrative inquiry a methodology for studying lived experience. Research studies in Music Education. </w:t>
      </w:r>
      <w:r w:rsidRPr="00BE2C1D">
        <w:rPr>
          <w:rFonts w:cstheme="minorHAnsi"/>
          <w:b/>
          <w:bCs/>
        </w:rPr>
        <w:t>27</w:t>
      </w:r>
      <w:r w:rsidRPr="00BE2C1D">
        <w:rPr>
          <w:rFonts w:cstheme="minorHAnsi"/>
        </w:rPr>
        <w:t>(1), 44-54.</w:t>
      </w:r>
    </w:p>
    <w:p w14:paraId="4C719C10" w14:textId="77777777" w:rsidR="00BE2C1D" w:rsidRPr="00BE2C1D" w:rsidRDefault="00BE2C1D" w:rsidP="00BE2C1D">
      <w:pPr>
        <w:spacing w:line="360" w:lineRule="auto"/>
        <w:jc w:val="both"/>
        <w:rPr>
          <w:rFonts w:cstheme="minorHAnsi"/>
          <w:shd w:val="clear" w:color="auto" w:fill="FFFFFF"/>
        </w:rPr>
      </w:pPr>
      <w:r w:rsidRPr="00BE2C1D">
        <w:rPr>
          <w:rFonts w:cstheme="minorHAnsi"/>
          <w:shd w:val="clear" w:color="auto" w:fill="FFFFFF"/>
        </w:rPr>
        <w:t>Clandinin, D.J. and Rosiek, J., (2006). Borders, tensions and borderlands in narrative inquiry. In: D. J. Clandidin, ed.  </w:t>
      </w:r>
      <w:r w:rsidRPr="00BE2C1D">
        <w:rPr>
          <w:rFonts w:cstheme="minorHAnsi"/>
          <w:i/>
          <w:iCs/>
          <w:shd w:val="clear" w:color="auto" w:fill="FFFFFF"/>
        </w:rPr>
        <w:t>Handbook of narrative inquiry: Mapping a methodology</w:t>
      </w:r>
      <w:r w:rsidRPr="00BE2C1D">
        <w:rPr>
          <w:rFonts w:cstheme="minorHAnsi"/>
          <w:shd w:val="clear" w:color="auto" w:fill="FFFFFF"/>
        </w:rPr>
        <w:t>. London: Sage.  pp.35-76.</w:t>
      </w:r>
    </w:p>
    <w:bookmarkEnd w:id="196"/>
    <w:p w14:paraId="3D7D013B" w14:textId="77777777" w:rsidR="00BE2C1D" w:rsidRPr="00BE2C1D" w:rsidRDefault="00BE2C1D" w:rsidP="00BE2C1D">
      <w:pPr>
        <w:spacing w:line="360" w:lineRule="auto"/>
        <w:rPr>
          <w:rFonts w:cstheme="minorHAnsi"/>
          <w:shd w:val="clear" w:color="auto" w:fill="FFFFFF"/>
        </w:rPr>
      </w:pPr>
      <w:r w:rsidRPr="00BE2C1D">
        <w:rPr>
          <w:rFonts w:cstheme="minorHAnsi"/>
          <w:shd w:val="clear" w:color="auto" w:fill="FFFFFF"/>
        </w:rPr>
        <w:t>Clare, E., (2017). </w:t>
      </w:r>
      <w:r w:rsidRPr="00BE2C1D">
        <w:rPr>
          <w:rFonts w:cstheme="minorHAnsi"/>
          <w:i/>
          <w:iCs/>
          <w:shd w:val="clear" w:color="auto" w:fill="FFFFFF"/>
        </w:rPr>
        <w:t>Brilliant imperfection: Grappling with cure</w:t>
      </w:r>
      <w:r w:rsidRPr="00BE2C1D">
        <w:rPr>
          <w:rFonts w:cstheme="minorHAnsi"/>
          <w:shd w:val="clear" w:color="auto" w:fill="FFFFFF"/>
        </w:rPr>
        <w:t>.  Durham: Duke University Press.</w:t>
      </w:r>
    </w:p>
    <w:p w14:paraId="7FA51217" w14:textId="77777777" w:rsidR="00BE2C1D" w:rsidRPr="00BE2C1D" w:rsidRDefault="00BE2C1D" w:rsidP="00BE2C1D">
      <w:pPr>
        <w:spacing w:line="360" w:lineRule="auto"/>
        <w:rPr>
          <w:rFonts w:cstheme="minorHAnsi"/>
        </w:rPr>
      </w:pPr>
      <w:r w:rsidRPr="00BE2C1D">
        <w:rPr>
          <w:rFonts w:cstheme="minorHAnsi"/>
          <w:bCs/>
        </w:rPr>
        <w:t xml:space="preserve">Clarke, J., Richards, S. and Boggis A., (2015) Ethical spaces and places. In: S. Richards, J. Clark, A. Boggis, eds. </w:t>
      </w:r>
      <w:r w:rsidRPr="00BE2C1D">
        <w:rPr>
          <w:rFonts w:cstheme="minorHAnsi"/>
          <w:bCs/>
          <w:i/>
          <w:iCs/>
        </w:rPr>
        <w:t xml:space="preserve">Ethical Research with Children: Untold Narratives and Taboos. </w:t>
      </w:r>
      <w:r w:rsidRPr="00BE2C1D">
        <w:rPr>
          <w:rFonts w:cstheme="minorHAnsi"/>
          <w:bCs/>
        </w:rPr>
        <w:t>London: Palgrave Macmillan. pp. 32-61.</w:t>
      </w:r>
    </w:p>
    <w:p w14:paraId="7AB3FE81" w14:textId="77777777" w:rsidR="00BE2C1D" w:rsidRPr="00BE2C1D" w:rsidRDefault="00BE2C1D" w:rsidP="00BE2C1D">
      <w:pPr>
        <w:spacing w:line="360" w:lineRule="auto"/>
        <w:rPr>
          <w:rFonts w:cstheme="minorHAnsi"/>
          <w:shd w:val="clear" w:color="auto" w:fill="FFFFFF"/>
        </w:rPr>
      </w:pPr>
      <w:r w:rsidRPr="00BE2C1D">
        <w:rPr>
          <w:rFonts w:cstheme="minorHAnsi"/>
          <w:shd w:val="clear" w:color="auto" w:fill="FFFFFF"/>
        </w:rPr>
        <w:t>Clopper, R., Mazur, T., Ellis, A.M. and Michael, P., 1994. Height and children’s stereotypes. </w:t>
      </w:r>
      <w:r w:rsidRPr="00BE2C1D">
        <w:rPr>
          <w:rFonts w:cstheme="minorHAnsi"/>
          <w:i/>
          <w:iCs/>
          <w:shd w:val="clear" w:color="auto" w:fill="FFFFFF"/>
        </w:rPr>
        <w:t>Growth, Stature and Adaptation</w:t>
      </w:r>
      <w:r w:rsidRPr="00BE2C1D">
        <w:rPr>
          <w:rFonts w:cstheme="minorHAnsi"/>
          <w:shd w:val="clear" w:color="auto" w:fill="FFFFFF"/>
        </w:rPr>
        <w:t>. 7-18.</w:t>
      </w:r>
    </w:p>
    <w:p w14:paraId="66378855" w14:textId="77777777" w:rsidR="00BE2C1D" w:rsidRPr="00BE2C1D" w:rsidRDefault="00BE2C1D" w:rsidP="00BE2C1D">
      <w:pPr>
        <w:spacing w:line="360" w:lineRule="auto"/>
        <w:rPr>
          <w:rFonts w:cstheme="minorHAnsi"/>
          <w:shd w:val="clear" w:color="auto" w:fill="FFFFFF"/>
        </w:rPr>
      </w:pPr>
      <w:r w:rsidRPr="00BE2C1D">
        <w:rPr>
          <w:rFonts w:cstheme="minorHAnsi"/>
          <w:shd w:val="clear" w:color="auto" w:fill="FFFFFF"/>
        </w:rPr>
        <w:t>Coates, J. and Vickerman, P., 2010. Empowering children with special educational needs to speak up: experiences of inclusive physical education. </w:t>
      </w:r>
      <w:r w:rsidRPr="00BE2C1D">
        <w:rPr>
          <w:rFonts w:cstheme="minorHAnsi"/>
          <w:i/>
          <w:iCs/>
          <w:shd w:val="clear" w:color="auto" w:fill="FFFFFF"/>
        </w:rPr>
        <w:t>Disability and rehabilitation</w:t>
      </w:r>
      <w:r w:rsidRPr="00BE2C1D">
        <w:rPr>
          <w:rFonts w:cstheme="minorHAnsi"/>
          <w:shd w:val="clear" w:color="auto" w:fill="FFFFFF"/>
        </w:rPr>
        <w:t>. </w:t>
      </w:r>
      <w:r w:rsidRPr="00BE2C1D">
        <w:rPr>
          <w:rFonts w:cstheme="minorHAnsi"/>
          <w:b/>
          <w:bCs/>
          <w:shd w:val="clear" w:color="auto" w:fill="FFFFFF"/>
        </w:rPr>
        <w:t>32</w:t>
      </w:r>
      <w:r w:rsidRPr="00BE2C1D">
        <w:rPr>
          <w:rFonts w:cstheme="minorHAnsi"/>
          <w:shd w:val="clear" w:color="auto" w:fill="FFFFFF"/>
        </w:rPr>
        <w:t>(18), 1517-1526.</w:t>
      </w:r>
    </w:p>
    <w:p w14:paraId="7B760D40" w14:textId="77777777" w:rsidR="00BE2C1D" w:rsidRPr="00BE2C1D" w:rsidRDefault="00BE2C1D" w:rsidP="00BE2C1D">
      <w:pPr>
        <w:spacing w:line="360" w:lineRule="auto"/>
        <w:rPr>
          <w:rFonts w:cstheme="minorHAnsi"/>
          <w:shd w:val="clear" w:color="auto" w:fill="FFFFFF"/>
        </w:rPr>
      </w:pPr>
      <w:r w:rsidRPr="00BE2C1D">
        <w:rPr>
          <w:rFonts w:cstheme="minorHAnsi"/>
          <w:shd w:val="clear" w:color="auto" w:fill="FFFFFF"/>
        </w:rPr>
        <w:t>Cobley, P., (2001). Narrative: The new critical idiom. London: Routledge.</w:t>
      </w:r>
    </w:p>
    <w:p w14:paraId="7AE7516C" w14:textId="77777777" w:rsidR="00BE2C1D" w:rsidRPr="00BE2C1D" w:rsidRDefault="00BE2C1D" w:rsidP="00BE2C1D">
      <w:pPr>
        <w:spacing w:line="360" w:lineRule="auto"/>
        <w:rPr>
          <w:rFonts w:cstheme="minorHAnsi"/>
          <w:shd w:val="clear" w:color="auto" w:fill="FFFFFF"/>
        </w:rPr>
      </w:pPr>
      <w:r w:rsidRPr="00BE2C1D">
        <w:rPr>
          <w:rFonts w:cstheme="minorHAnsi"/>
          <w:shd w:val="clear" w:color="auto" w:fill="FFFFFF"/>
        </w:rPr>
        <w:t>Cockley, R., (2020).</w:t>
      </w:r>
      <w:r w:rsidRPr="00BE2C1D">
        <w:rPr>
          <w:rFonts w:cstheme="minorHAnsi"/>
        </w:rPr>
        <w:t xml:space="preserve"> </w:t>
      </w:r>
      <w:r w:rsidRPr="00BE2C1D">
        <w:rPr>
          <w:rFonts w:cstheme="minorHAnsi"/>
          <w:i/>
          <w:iCs/>
        </w:rPr>
        <w:t>The Little People Still Think You Don’t Understand Bullying.</w:t>
      </w:r>
      <w:r w:rsidRPr="00BE2C1D">
        <w:rPr>
          <w:rFonts w:cstheme="minorHAnsi"/>
        </w:rPr>
        <w:t xml:space="preserve">  </w:t>
      </w:r>
      <w:r w:rsidRPr="00BE2C1D">
        <w:rPr>
          <w:rFonts w:cstheme="minorHAnsi"/>
          <w:i/>
          <w:iCs/>
        </w:rPr>
        <w:t xml:space="preserve">Medium </w:t>
      </w:r>
      <w:r w:rsidRPr="00BE2C1D">
        <w:rPr>
          <w:rFonts w:cstheme="minorHAnsi"/>
        </w:rPr>
        <w:t>[online]. 22 February 2020. [Viewed 25</w:t>
      </w:r>
      <w:r w:rsidRPr="00BE2C1D">
        <w:rPr>
          <w:rFonts w:cstheme="minorHAnsi"/>
          <w:vertAlign w:val="superscript"/>
        </w:rPr>
        <w:t>th</w:t>
      </w:r>
      <w:r w:rsidRPr="00BE2C1D">
        <w:rPr>
          <w:rFonts w:cstheme="minorHAnsi"/>
        </w:rPr>
        <w:t xml:space="preserve"> February 2020]. Available from: </w:t>
      </w:r>
      <w:hyperlink r:id="rId12" w:history="1">
        <w:r w:rsidRPr="00BE2C1D">
          <w:rPr>
            <w:rFonts w:cstheme="minorHAnsi"/>
            <w:u w:val="single"/>
          </w:rPr>
          <w:t>https://medium.com/@rebecca.cokley/the-little-people-still-think-you-dont-understand-bullying-11b1daa5b3d</w:t>
        </w:r>
      </w:hyperlink>
      <w:r w:rsidRPr="00BE2C1D">
        <w:rPr>
          <w:rFonts w:cstheme="minorHAnsi"/>
          <w:u w:val="single"/>
        </w:rPr>
        <w:t xml:space="preserve">  </w:t>
      </w:r>
      <w:r w:rsidRPr="00BE2C1D">
        <w:rPr>
          <w:rFonts w:cstheme="minorHAnsi"/>
        </w:rPr>
        <w:t xml:space="preserve"> </w:t>
      </w:r>
    </w:p>
    <w:p w14:paraId="172BA222" w14:textId="77777777" w:rsidR="00BE2C1D" w:rsidRPr="00BE2C1D" w:rsidRDefault="00BE2C1D" w:rsidP="00BE2C1D">
      <w:pPr>
        <w:spacing w:line="360" w:lineRule="auto"/>
        <w:rPr>
          <w:rFonts w:cstheme="minorHAnsi"/>
          <w:shd w:val="clear" w:color="auto" w:fill="FFFFFF"/>
        </w:rPr>
      </w:pPr>
      <w:r w:rsidRPr="00BE2C1D">
        <w:rPr>
          <w:rFonts w:cstheme="minorHAnsi"/>
          <w:shd w:val="clear" w:color="auto" w:fill="FFFFFF"/>
        </w:rPr>
        <w:lastRenderedPageBreak/>
        <w:t xml:space="preserve">Compton-Lilly, C., 2016. Time in education: Intertwined dimensions and theoretical possibilities. </w:t>
      </w:r>
      <w:r w:rsidRPr="00BE2C1D">
        <w:rPr>
          <w:rFonts w:cstheme="minorHAnsi"/>
          <w:i/>
          <w:iCs/>
          <w:shd w:val="clear" w:color="auto" w:fill="FFFFFF"/>
        </w:rPr>
        <w:t>Time &amp; Society</w:t>
      </w:r>
      <w:r w:rsidRPr="00BE2C1D">
        <w:rPr>
          <w:rFonts w:cstheme="minorHAnsi"/>
          <w:shd w:val="clear" w:color="auto" w:fill="FFFFFF"/>
        </w:rPr>
        <w:t xml:space="preserve">. </w:t>
      </w:r>
      <w:r w:rsidRPr="00BE2C1D">
        <w:rPr>
          <w:rFonts w:cstheme="minorHAnsi"/>
          <w:b/>
          <w:bCs/>
          <w:shd w:val="clear" w:color="auto" w:fill="FFFFFF"/>
        </w:rPr>
        <w:t>25</w:t>
      </w:r>
      <w:r w:rsidRPr="00BE2C1D">
        <w:rPr>
          <w:rFonts w:cstheme="minorHAnsi"/>
          <w:shd w:val="clear" w:color="auto" w:fill="FFFFFF"/>
        </w:rPr>
        <w:t>(3), 575-593.</w:t>
      </w:r>
    </w:p>
    <w:p w14:paraId="7FF7BC9A" w14:textId="77777777" w:rsidR="00BE2C1D" w:rsidRPr="00BE2C1D" w:rsidRDefault="00BE2C1D" w:rsidP="00BE2C1D">
      <w:pPr>
        <w:spacing w:line="360" w:lineRule="auto"/>
        <w:rPr>
          <w:rFonts w:cstheme="minorHAnsi"/>
          <w:shd w:val="clear" w:color="auto" w:fill="FFFFFF"/>
        </w:rPr>
      </w:pPr>
      <w:r w:rsidRPr="00BE2C1D">
        <w:rPr>
          <w:rFonts w:cstheme="minorHAnsi"/>
          <w:shd w:val="clear" w:color="auto" w:fill="FFFFFF"/>
        </w:rPr>
        <w:t>Connell, R., 2008. Masculinity construction and sports in boys’ education: A framework for thinking about the issue. </w:t>
      </w:r>
      <w:r w:rsidRPr="00BE2C1D">
        <w:rPr>
          <w:rFonts w:cstheme="minorHAnsi"/>
          <w:i/>
          <w:iCs/>
          <w:shd w:val="clear" w:color="auto" w:fill="FFFFFF"/>
        </w:rPr>
        <w:t>Sport, education and society</w:t>
      </w:r>
      <w:r w:rsidRPr="00BE2C1D">
        <w:rPr>
          <w:rFonts w:cstheme="minorHAnsi"/>
          <w:shd w:val="clear" w:color="auto" w:fill="FFFFFF"/>
        </w:rPr>
        <w:t>. </w:t>
      </w:r>
      <w:r w:rsidRPr="00BE2C1D">
        <w:rPr>
          <w:rFonts w:cstheme="minorHAnsi"/>
          <w:b/>
          <w:bCs/>
          <w:shd w:val="clear" w:color="auto" w:fill="FFFFFF"/>
        </w:rPr>
        <w:t>13</w:t>
      </w:r>
      <w:r w:rsidRPr="00BE2C1D">
        <w:rPr>
          <w:rFonts w:cstheme="minorHAnsi"/>
          <w:shd w:val="clear" w:color="auto" w:fill="FFFFFF"/>
        </w:rPr>
        <w:t>(2), 131-145.</w:t>
      </w:r>
    </w:p>
    <w:p w14:paraId="5E0B605F" w14:textId="77777777" w:rsidR="00BE2C1D" w:rsidRPr="00BE2C1D" w:rsidRDefault="00BE2C1D" w:rsidP="00BE2C1D">
      <w:pPr>
        <w:spacing w:line="360" w:lineRule="auto"/>
        <w:rPr>
          <w:rFonts w:cstheme="minorHAnsi"/>
          <w:shd w:val="clear" w:color="auto" w:fill="FFFFFF"/>
        </w:rPr>
      </w:pPr>
      <w:r w:rsidRPr="00BE2C1D">
        <w:rPr>
          <w:rFonts w:cstheme="minorHAnsi"/>
          <w:shd w:val="clear" w:color="auto" w:fill="FFFFFF"/>
        </w:rPr>
        <w:t>Connors, C. and Stalker, K., 2007. Children’s experiences of disability: Pointers to a social model of childhood disability. </w:t>
      </w:r>
      <w:r w:rsidRPr="00BE2C1D">
        <w:rPr>
          <w:rFonts w:cstheme="minorHAnsi"/>
          <w:i/>
          <w:iCs/>
          <w:shd w:val="clear" w:color="auto" w:fill="FFFFFF"/>
        </w:rPr>
        <w:t>Disability &amp; Society</w:t>
      </w:r>
      <w:r w:rsidRPr="00BE2C1D">
        <w:rPr>
          <w:rFonts w:cstheme="minorHAnsi"/>
          <w:shd w:val="clear" w:color="auto" w:fill="FFFFFF"/>
        </w:rPr>
        <w:t>. </w:t>
      </w:r>
      <w:r w:rsidRPr="00BE2C1D">
        <w:rPr>
          <w:rFonts w:cstheme="minorHAnsi"/>
          <w:b/>
          <w:bCs/>
          <w:shd w:val="clear" w:color="auto" w:fill="FFFFFF"/>
        </w:rPr>
        <w:t>22</w:t>
      </w:r>
      <w:r w:rsidRPr="00BE2C1D">
        <w:rPr>
          <w:rFonts w:cstheme="minorHAnsi"/>
          <w:shd w:val="clear" w:color="auto" w:fill="FFFFFF"/>
        </w:rPr>
        <w:t>(1), 19-33.</w:t>
      </w:r>
    </w:p>
    <w:p w14:paraId="757D033C" w14:textId="77777777" w:rsidR="00BE2C1D" w:rsidRPr="00BE2C1D" w:rsidRDefault="00BE2C1D" w:rsidP="00BE2C1D">
      <w:pPr>
        <w:spacing w:line="360" w:lineRule="auto"/>
        <w:rPr>
          <w:rFonts w:cstheme="minorHAnsi"/>
          <w:shd w:val="clear" w:color="auto" w:fill="FFFFFF"/>
        </w:rPr>
      </w:pPr>
      <w:r w:rsidRPr="00BE2C1D">
        <w:rPr>
          <w:rFonts w:cstheme="minorHAnsi"/>
          <w:shd w:val="clear" w:color="auto" w:fill="FFFFFF"/>
        </w:rPr>
        <w:t>Conrad, P. and Potter, D., 2004. Human growth hormone and the temptations of biomedical enhancement. </w:t>
      </w:r>
      <w:r w:rsidRPr="00BE2C1D">
        <w:rPr>
          <w:rFonts w:cstheme="minorHAnsi"/>
          <w:i/>
          <w:iCs/>
          <w:shd w:val="clear" w:color="auto" w:fill="FFFFFF"/>
        </w:rPr>
        <w:t>Sociology of health &amp; illness</w:t>
      </w:r>
      <w:r w:rsidRPr="00BE2C1D">
        <w:rPr>
          <w:rFonts w:cstheme="minorHAnsi"/>
          <w:shd w:val="clear" w:color="auto" w:fill="FFFFFF"/>
        </w:rPr>
        <w:t>. </w:t>
      </w:r>
      <w:r w:rsidRPr="00BE2C1D">
        <w:rPr>
          <w:rFonts w:cstheme="minorHAnsi"/>
          <w:b/>
          <w:bCs/>
          <w:shd w:val="clear" w:color="auto" w:fill="FFFFFF"/>
        </w:rPr>
        <w:t>26</w:t>
      </w:r>
      <w:r w:rsidRPr="00BE2C1D">
        <w:rPr>
          <w:rFonts w:cstheme="minorHAnsi"/>
          <w:shd w:val="clear" w:color="auto" w:fill="FFFFFF"/>
        </w:rPr>
        <w:t>(2), 184-215.</w:t>
      </w:r>
    </w:p>
    <w:p w14:paraId="57F2161F" w14:textId="77777777" w:rsidR="00BE2C1D" w:rsidRPr="00BE2C1D" w:rsidRDefault="00BE2C1D" w:rsidP="00BE2C1D">
      <w:pPr>
        <w:spacing w:line="360" w:lineRule="auto"/>
        <w:rPr>
          <w:rFonts w:cstheme="minorHAnsi"/>
          <w:shd w:val="clear" w:color="auto" w:fill="FFFFFF"/>
        </w:rPr>
      </w:pPr>
      <w:r w:rsidRPr="00BE2C1D">
        <w:rPr>
          <w:rFonts w:cstheme="minorHAnsi"/>
          <w:shd w:val="clear" w:color="auto" w:fill="FFFFFF"/>
        </w:rPr>
        <w:t>Cook, C.R., Williams, K.R., Guerra, N.G., Kim, T.E. and Sadek, S., 2010. Predictors of bullying and victimization in childhood and adolescence: A meta-analytic investigation. </w:t>
      </w:r>
      <w:r w:rsidRPr="00BE2C1D">
        <w:rPr>
          <w:rFonts w:cstheme="minorHAnsi"/>
          <w:i/>
          <w:iCs/>
          <w:shd w:val="clear" w:color="auto" w:fill="FFFFFF"/>
        </w:rPr>
        <w:t>School psychology quarterly</w:t>
      </w:r>
      <w:r w:rsidRPr="00BE2C1D">
        <w:rPr>
          <w:rFonts w:cstheme="minorHAnsi"/>
          <w:shd w:val="clear" w:color="auto" w:fill="FFFFFF"/>
        </w:rPr>
        <w:t>. </w:t>
      </w:r>
      <w:r w:rsidRPr="00BE2C1D">
        <w:rPr>
          <w:rFonts w:cstheme="minorHAnsi"/>
          <w:b/>
          <w:bCs/>
          <w:shd w:val="clear" w:color="auto" w:fill="FFFFFF"/>
        </w:rPr>
        <w:t>25</w:t>
      </w:r>
      <w:r w:rsidRPr="00BE2C1D">
        <w:rPr>
          <w:rFonts w:cstheme="minorHAnsi"/>
          <w:shd w:val="clear" w:color="auto" w:fill="FFFFFF"/>
        </w:rPr>
        <w:t>(2), 65-83.</w:t>
      </w:r>
    </w:p>
    <w:p w14:paraId="7D4790E1" w14:textId="77777777" w:rsidR="00BE2C1D" w:rsidRPr="00BE2C1D" w:rsidRDefault="00BE2C1D" w:rsidP="00BE2C1D">
      <w:pPr>
        <w:spacing w:line="360" w:lineRule="auto"/>
        <w:rPr>
          <w:rFonts w:cstheme="minorHAnsi"/>
          <w:shd w:val="clear" w:color="auto" w:fill="FFFFFF"/>
        </w:rPr>
      </w:pPr>
      <w:r w:rsidRPr="00BE2C1D">
        <w:rPr>
          <w:rFonts w:cstheme="minorHAnsi"/>
          <w:shd w:val="clear" w:color="auto" w:fill="FFFFFF"/>
        </w:rPr>
        <w:t xml:space="preserve">Corcoran, T., Claiborne, L. and Whitburn, B., 2019. Paradoxes in inclusive education: a necessary condition of relationality?. </w:t>
      </w:r>
      <w:r w:rsidRPr="00BE2C1D">
        <w:rPr>
          <w:rFonts w:cstheme="minorHAnsi"/>
          <w:i/>
          <w:iCs/>
          <w:shd w:val="clear" w:color="auto" w:fill="FFFFFF"/>
        </w:rPr>
        <w:t>International Journal of Inclusive Education</w:t>
      </w:r>
      <w:r w:rsidRPr="00BE2C1D">
        <w:rPr>
          <w:rFonts w:cstheme="minorHAnsi"/>
          <w:shd w:val="clear" w:color="auto" w:fill="FFFFFF"/>
        </w:rPr>
        <w:t xml:space="preserve">. </w:t>
      </w:r>
      <w:r w:rsidRPr="00BE2C1D">
        <w:rPr>
          <w:rFonts w:cstheme="minorHAnsi"/>
          <w:b/>
          <w:bCs/>
          <w:shd w:val="clear" w:color="auto" w:fill="FFFFFF"/>
        </w:rPr>
        <w:t>23</w:t>
      </w:r>
      <w:r w:rsidRPr="00BE2C1D">
        <w:rPr>
          <w:rFonts w:cstheme="minorHAnsi"/>
          <w:shd w:val="clear" w:color="auto" w:fill="FFFFFF"/>
        </w:rPr>
        <w:t>(10), 1003-1016.</w:t>
      </w:r>
    </w:p>
    <w:p w14:paraId="3D8DFDFA" w14:textId="77777777" w:rsidR="00BE2C1D" w:rsidRPr="00BE2C1D" w:rsidRDefault="00BE2C1D" w:rsidP="00BE2C1D">
      <w:pPr>
        <w:spacing w:line="360" w:lineRule="auto"/>
        <w:rPr>
          <w:rFonts w:cstheme="minorHAnsi"/>
          <w:shd w:val="clear" w:color="auto" w:fill="FFFFFF"/>
        </w:rPr>
      </w:pPr>
      <w:r w:rsidRPr="00BE2C1D">
        <w:rPr>
          <w:rFonts w:cstheme="minorHAnsi"/>
          <w:shd w:val="clear" w:color="auto" w:fill="FFFFFF"/>
        </w:rPr>
        <w:t xml:space="preserve">Corker, M. and Davis, J., (2001). Portrait of Callum: the disabling of a childhood. In: R Edwards, ed. </w:t>
      </w:r>
      <w:r w:rsidRPr="00BE2C1D">
        <w:rPr>
          <w:rFonts w:cstheme="minorHAnsi"/>
          <w:i/>
          <w:iCs/>
          <w:shd w:val="clear" w:color="auto" w:fill="FFFFFF"/>
        </w:rPr>
        <w:t xml:space="preserve">Children, Home and School. </w:t>
      </w:r>
      <w:r w:rsidRPr="00BE2C1D">
        <w:rPr>
          <w:rFonts w:cstheme="minorHAnsi"/>
          <w:shd w:val="clear" w:color="auto" w:fill="FFFFFF"/>
        </w:rPr>
        <w:t>London: Autonomy, Connection or Regulation. pp. 75-91.</w:t>
      </w:r>
    </w:p>
    <w:p w14:paraId="0B552B94" w14:textId="77777777" w:rsidR="00BE2C1D" w:rsidRPr="00BE2C1D" w:rsidRDefault="00BE2C1D" w:rsidP="00BE2C1D">
      <w:pPr>
        <w:spacing w:line="360" w:lineRule="auto"/>
        <w:rPr>
          <w:rFonts w:cstheme="minorHAnsi"/>
          <w:shd w:val="clear" w:color="auto" w:fill="FFFFFF"/>
        </w:rPr>
      </w:pPr>
      <w:r w:rsidRPr="00BE2C1D">
        <w:rPr>
          <w:rFonts w:cstheme="minorHAnsi"/>
          <w:shd w:val="clear" w:color="auto" w:fill="FFFFFF"/>
        </w:rPr>
        <w:t>Corker, M. and Shakespeare, T. eds., (2002). </w:t>
      </w:r>
      <w:r w:rsidRPr="00BE2C1D">
        <w:rPr>
          <w:rFonts w:cstheme="minorHAnsi"/>
          <w:i/>
          <w:iCs/>
          <w:shd w:val="clear" w:color="auto" w:fill="FFFFFF"/>
        </w:rPr>
        <w:t>Disability/postmodernity: Embodying disability theory</w:t>
      </w:r>
      <w:r w:rsidRPr="00BE2C1D">
        <w:rPr>
          <w:rFonts w:cstheme="minorHAnsi"/>
          <w:shd w:val="clear" w:color="auto" w:fill="FFFFFF"/>
        </w:rPr>
        <w:t>. London: Bloomsbury Publishing.</w:t>
      </w:r>
    </w:p>
    <w:p w14:paraId="5D757261" w14:textId="77777777" w:rsidR="00BE2C1D" w:rsidRPr="00BE2C1D" w:rsidRDefault="00BE2C1D" w:rsidP="00BE2C1D">
      <w:pPr>
        <w:spacing w:line="360" w:lineRule="auto"/>
        <w:rPr>
          <w:rFonts w:cstheme="minorHAnsi"/>
          <w:shd w:val="clear" w:color="auto" w:fill="FFFFFF"/>
        </w:rPr>
      </w:pPr>
      <w:bookmarkStart w:id="197" w:name="_Hlk37071857"/>
      <w:r w:rsidRPr="00BE2C1D">
        <w:rPr>
          <w:rFonts w:cstheme="minorHAnsi"/>
          <w:shd w:val="clear" w:color="auto" w:fill="FFFFFF"/>
        </w:rPr>
        <w:t>Cortes, K.I. and Kochenderfer-Ladd</w:t>
      </w:r>
      <w:bookmarkEnd w:id="197"/>
      <w:r w:rsidRPr="00BE2C1D">
        <w:rPr>
          <w:rFonts w:cstheme="minorHAnsi"/>
          <w:shd w:val="clear" w:color="auto" w:fill="FFFFFF"/>
        </w:rPr>
        <w:t>, B., 2014. To tell or not to tell: What influences children’s decisions to report bullying to their teachers?. </w:t>
      </w:r>
      <w:r w:rsidRPr="00BE2C1D">
        <w:rPr>
          <w:rFonts w:cstheme="minorHAnsi"/>
          <w:i/>
          <w:iCs/>
          <w:shd w:val="clear" w:color="auto" w:fill="FFFFFF"/>
        </w:rPr>
        <w:t>School psychology quarterly</w:t>
      </w:r>
      <w:r w:rsidRPr="00BE2C1D">
        <w:rPr>
          <w:rFonts w:cstheme="minorHAnsi"/>
          <w:shd w:val="clear" w:color="auto" w:fill="FFFFFF"/>
        </w:rPr>
        <w:t>. </w:t>
      </w:r>
      <w:r w:rsidRPr="00BE2C1D">
        <w:rPr>
          <w:rFonts w:cstheme="minorHAnsi"/>
          <w:i/>
          <w:iCs/>
          <w:shd w:val="clear" w:color="auto" w:fill="FFFFFF"/>
        </w:rPr>
        <w:t>29</w:t>
      </w:r>
      <w:r w:rsidRPr="00BE2C1D">
        <w:rPr>
          <w:rFonts w:cstheme="minorHAnsi"/>
          <w:shd w:val="clear" w:color="auto" w:fill="FFFFFF"/>
        </w:rPr>
        <w:t xml:space="preserve">(3), 336-348.  </w:t>
      </w:r>
    </w:p>
    <w:p w14:paraId="7DB1D41E" w14:textId="77777777" w:rsidR="00BE2C1D" w:rsidRPr="00BE2C1D" w:rsidRDefault="00BE2C1D" w:rsidP="00BE2C1D">
      <w:pPr>
        <w:spacing w:line="360" w:lineRule="auto"/>
        <w:rPr>
          <w:rFonts w:cstheme="minorHAnsi"/>
          <w:shd w:val="clear" w:color="auto" w:fill="FFFFFF"/>
        </w:rPr>
      </w:pPr>
      <w:r w:rsidRPr="00BE2C1D">
        <w:rPr>
          <w:rFonts w:cstheme="minorHAnsi"/>
          <w:shd w:val="clear" w:color="auto" w:fill="FFFFFF"/>
        </w:rPr>
        <w:t>Craig, W., Pepler, D. and Blais, J., 2007. Responding to bullying: What works?. </w:t>
      </w:r>
      <w:r w:rsidRPr="00BE2C1D">
        <w:rPr>
          <w:rFonts w:cstheme="minorHAnsi"/>
          <w:i/>
          <w:iCs/>
          <w:shd w:val="clear" w:color="auto" w:fill="FFFFFF"/>
        </w:rPr>
        <w:t>School Psychology International</w:t>
      </w:r>
      <w:r w:rsidRPr="00BE2C1D">
        <w:rPr>
          <w:rFonts w:cstheme="minorHAnsi"/>
          <w:shd w:val="clear" w:color="auto" w:fill="FFFFFF"/>
        </w:rPr>
        <w:t>. </w:t>
      </w:r>
      <w:r w:rsidRPr="00BE2C1D">
        <w:rPr>
          <w:rFonts w:cstheme="minorHAnsi"/>
          <w:b/>
          <w:bCs/>
          <w:shd w:val="clear" w:color="auto" w:fill="FFFFFF"/>
        </w:rPr>
        <w:t>28</w:t>
      </w:r>
      <w:r w:rsidRPr="00BE2C1D">
        <w:rPr>
          <w:rFonts w:cstheme="minorHAnsi"/>
          <w:shd w:val="clear" w:color="auto" w:fill="FFFFFF"/>
        </w:rPr>
        <w:t>(4), 465-477.</w:t>
      </w:r>
    </w:p>
    <w:p w14:paraId="2A237DC8" w14:textId="77777777" w:rsidR="00BE2C1D" w:rsidRPr="00BE2C1D" w:rsidRDefault="00BE2C1D" w:rsidP="00BE2C1D">
      <w:pPr>
        <w:spacing w:line="360" w:lineRule="auto"/>
        <w:rPr>
          <w:rFonts w:cstheme="minorHAnsi"/>
          <w:shd w:val="clear" w:color="auto" w:fill="FFFFFF"/>
        </w:rPr>
      </w:pPr>
      <w:r w:rsidRPr="00BE2C1D">
        <w:rPr>
          <w:rFonts w:cstheme="minorHAnsi"/>
          <w:shd w:val="clear" w:color="auto" w:fill="FFFFFF"/>
        </w:rPr>
        <w:t>Cranz, G., (2000). </w:t>
      </w:r>
      <w:r w:rsidRPr="00BE2C1D">
        <w:rPr>
          <w:rFonts w:cstheme="minorHAnsi"/>
          <w:i/>
          <w:iCs/>
          <w:shd w:val="clear" w:color="auto" w:fill="FFFFFF"/>
        </w:rPr>
        <w:t>The chair: Rethinking culture, body, and design</w:t>
      </w:r>
      <w:r w:rsidRPr="00BE2C1D">
        <w:rPr>
          <w:rFonts w:cstheme="minorHAnsi"/>
          <w:shd w:val="clear" w:color="auto" w:fill="FFFFFF"/>
        </w:rPr>
        <w:t>. New York: WW Norton &amp; Company.</w:t>
      </w:r>
    </w:p>
    <w:p w14:paraId="2E9D374D" w14:textId="77777777" w:rsidR="00BE2C1D" w:rsidRPr="00BE2C1D" w:rsidRDefault="00BE2C1D" w:rsidP="00BE2C1D">
      <w:pPr>
        <w:spacing w:line="360" w:lineRule="auto"/>
        <w:jc w:val="both"/>
        <w:rPr>
          <w:rFonts w:cstheme="minorHAnsi"/>
        </w:rPr>
      </w:pPr>
      <w:r w:rsidRPr="00BE2C1D">
        <w:rPr>
          <w:rFonts w:cstheme="minorHAnsi"/>
          <w:shd w:val="clear" w:color="auto" w:fill="FFFFFF"/>
        </w:rPr>
        <w:t>Crossa, V. (2012). Relational positionality: Conceptualizing research, power, and the everyday politics of neoliberalization in Mexico City. </w:t>
      </w:r>
      <w:r w:rsidRPr="00BE2C1D">
        <w:rPr>
          <w:rFonts w:cstheme="minorHAnsi"/>
          <w:i/>
          <w:iCs/>
          <w:shd w:val="clear" w:color="auto" w:fill="FFFFFF"/>
        </w:rPr>
        <w:t>ACME: An international E-journal for critical geographies</w:t>
      </w:r>
      <w:r w:rsidRPr="00BE2C1D">
        <w:rPr>
          <w:rFonts w:cstheme="minorHAnsi"/>
          <w:shd w:val="clear" w:color="auto" w:fill="FFFFFF"/>
        </w:rPr>
        <w:t>. </w:t>
      </w:r>
      <w:r w:rsidRPr="00BE2C1D">
        <w:rPr>
          <w:rFonts w:cstheme="minorHAnsi"/>
          <w:b/>
          <w:bCs/>
          <w:shd w:val="clear" w:color="auto" w:fill="FFFFFF"/>
        </w:rPr>
        <w:t>11</w:t>
      </w:r>
      <w:r w:rsidRPr="00BE2C1D">
        <w:rPr>
          <w:rFonts w:cstheme="minorHAnsi"/>
          <w:shd w:val="clear" w:color="auto" w:fill="FFFFFF"/>
        </w:rPr>
        <w:t>(1), 110-132.</w:t>
      </w:r>
    </w:p>
    <w:p w14:paraId="605F500D" w14:textId="77777777" w:rsidR="00BE2C1D" w:rsidRPr="00BE2C1D" w:rsidRDefault="00BE2C1D" w:rsidP="00BE2C1D">
      <w:pPr>
        <w:spacing w:line="360" w:lineRule="auto"/>
        <w:rPr>
          <w:rFonts w:cstheme="minorHAnsi"/>
          <w:shd w:val="clear" w:color="auto" w:fill="FFFFFF"/>
        </w:rPr>
      </w:pPr>
      <w:r w:rsidRPr="00BE2C1D">
        <w:rPr>
          <w:rFonts w:cstheme="minorHAnsi"/>
          <w:shd w:val="clear" w:color="auto" w:fill="FFFFFF"/>
        </w:rPr>
        <w:t>Crothers, L.M., Kolbert, J.B. and Barker, W.F., 2006. Middle school students’ preferences for anti-bullying interventions. </w:t>
      </w:r>
      <w:r w:rsidRPr="00BE2C1D">
        <w:rPr>
          <w:rFonts w:cstheme="minorHAnsi"/>
          <w:i/>
          <w:iCs/>
          <w:shd w:val="clear" w:color="auto" w:fill="FFFFFF"/>
        </w:rPr>
        <w:t>School Psychology International</w:t>
      </w:r>
      <w:r w:rsidRPr="00BE2C1D">
        <w:rPr>
          <w:rFonts w:cstheme="minorHAnsi"/>
          <w:shd w:val="clear" w:color="auto" w:fill="FFFFFF"/>
        </w:rPr>
        <w:t>. </w:t>
      </w:r>
      <w:r w:rsidRPr="00BE2C1D">
        <w:rPr>
          <w:rFonts w:cstheme="minorHAnsi"/>
          <w:b/>
          <w:bCs/>
          <w:shd w:val="clear" w:color="auto" w:fill="FFFFFF"/>
        </w:rPr>
        <w:t>27</w:t>
      </w:r>
      <w:r w:rsidRPr="00BE2C1D">
        <w:rPr>
          <w:rFonts w:cstheme="minorHAnsi"/>
          <w:shd w:val="clear" w:color="auto" w:fill="FFFFFF"/>
        </w:rPr>
        <w:t>(4), 475-487.</w:t>
      </w:r>
    </w:p>
    <w:p w14:paraId="438EDCB6" w14:textId="77777777" w:rsidR="00BE2C1D" w:rsidRPr="00BE2C1D" w:rsidRDefault="00BE2C1D" w:rsidP="00BE2C1D">
      <w:pPr>
        <w:spacing w:line="360" w:lineRule="auto"/>
        <w:rPr>
          <w:rFonts w:cstheme="minorHAnsi"/>
          <w:shd w:val="clear" w:color="auto" w:fill="FFFFFF"/>
        </w:rPr>
      </w:pPr>
      <w:r w:rsidRPr="00BE2C1D">
        <w:rPr>
          <w:rFonts w:cstheme="minorHAnsi"/>
        </w:rPr>
        <w:lastRenderedPageBreak/>
        <w:t xml:space="preserve">Crow, L. (1996). Renewing the social model of disability. In: C. Barnes, G. Mercer, eds.  </w:t>
      </w:r>
      <w:r w:rsidRPr="00BE2C1D">
        <w:rPr>
          <w:rFonts w:cstheme="minorHAnsi"/>
          <w:i/>
          <w:iCs/>
        </w:rPr>
        <w:t>Disability &amp; Illness: Exploring the Divide</w:t>
      </w:r>
      <w:r w:rsidRPr="00BE2C1D">
        <w:rPr>
          <w:rFonts w:cstheme="minorHAnsi"/>
        </w:rPr>
        <w:t xml:space="preserve">. Leeds: The Disability Press. pp. </w:t>
      </w:r>
    </w:p>
    <w:p w14:paraId="5AB611B9" w14:textId="77777777" w:rsidR="00BE2C1D" w:rsidRPr="00BE2C1D" w:rsidRDefault="00BE2C1D" w:rsidP="00BE2C1D">
      <w:pPr>
        <w:spacing w:line="360" w:lineRule="auto"/>
        <w:rPr>
          <w:rFonts w:cstheme="minorHAnsi"/>
          <w:shd w:val="clear" w:color="auto" w:fill="FFFFFF"/>
        </w:rPr>
      </w:pPr>
      <w:r w:rsidRPr="00BE2C1D">
        <w:rPr>
          <w:rFonts w:cstheme="minorHAnsi"/>
          <w:shd w:val="clear" w:color="auto" w:fill="FFFFFF"/>
        </w:rPr>
        <w:t>Crowhurst, I., 2013. The fallacy of the instrumental gate? Contextualising the process of gaining access through gatekeepers. </w:t>
      </w:r>
      <w:r w:rsidRPr="00BE2C1D">
        <w:rPr>
          <w:rFonts w:cstheme="minorHAnsi"/>
          <w:i/>
          <w:iCs/>
          <w:shd w:val="clear" w:color="auto" w:fill="FFFFFF"/>
        </w:rPr>
        <w:t>International Journal of Social Research Methodology</w:t>
      </w:r>
      <w:r w:rsidRPr="00BE2C1D">
        <w:rPr>
          <w:rFonts w:cstheme="minorHAnsi"/>
          <w:shd w:val="clear" w:color="auto" w:fill="FFFFFF"/>
        </w:rPr>
        <w:t>. </w:t>
      </w:r>
      <w:r w:rsidRPr="00BE2C1D">
        <w:rPr>
          <w:rFonts w:cstheme="minorHAnsi"/>
          <w:b/>
          <w:bCs/>
          <w:shd w:val="clear" w:color="auto" w:fill="FFFFFF"/>
        </w:rPr>
        <w:t>16</w:t>
      </w:r>
      <w:r w:rsidRPr="00BE2C1D">
        <w:rPr>
          <w:rFonts w:cstheme="minorHAnsi"/>
          <w:shd w:val="clear" w:color="auto" w:fill="FFFFFF"/>
        </w:rPr>
        <w:t>(6), 463-475.</w:t>
      </w:r>
    </w:p>
    <w:p w14:paraId="15D2DDB8" w14:textId="77777777" w:rsidR="00BE2C1D" w:rsidRPr="00BE2C1D" w:rsidRDefault="00BE2C1D" w:rsidP="00BE2C1D">
      <w:pPr>
        <w:spacing w:line="360" w:lineRule="auto"/>
        <w:rPr>
          <w:rFonts w:cstheme="minorHAnsi"/>
        </w:rPr>
      </w:pPr>
      <w:r w:rsidRPr="00BE2C1D">
        <w:rPr>
          <w:rFonts w:cstheme="minorHAnsi"/>
        </w:rPr>
        <w:t xml:space="preserve">Crowhurst, I. &amp; kennedy-macfoy, M. 2013. Troubling gatekeepers: methodological considerations for social research, </w:t>
      </w:r>
      <w:r w:rsidRPr="00BE2C1D">
        <w:rPr>
          <w:rFonts w:cstheme="minorHAnsi"/>
          <w:i/>
          <w:iCs/>
        </w:rPr>
        <w:t>International Journal of Social Research Methodology</w:t>
      </w:r>
      <w:r w:rsidRPr="00BE2C1D">
        <w:rPr>
          <w:rFonts w:cstheme="minorHAnsi"/>
        </w:rPr>
        <w:t xml:space="preserve">. </w:t>
      </w:r>
      <w:r w:rsidRPr="00BE2C1D">
        <w:rPr>
          <w:rFonts w:cstheme="minorHAnsi"/>
          <w:b/>
          <w:bCs/>
        </w:rPr>
        <w:t>16</w:t>
      </w:r>
      <w:r w:rsidRPr="00BE2C1D">
        <w:rPr>
          <w:rFonts w:cstheme="minorHAnsi"/>
        </w:rPr>
        <w:t>(6), 457-462.</w:t>
      </w:r>
    </w:p>
    <w:p w14:paraId="5590AAD1" w14:textId="77777777" w:rsidR="00BE2C1D" w:rsidRPr="00BE2C1D" w:rsidRDefault="00BE2C1D" w:rsidP="00BE2C1D">
      <w:pPr>
        <w:spacing w:line="360" w:lineRule="auto"/>
        <w:rPr>
          <w:rFonts w:cstheme="minorHAnsi"/>
          <w:shd w:val="clear" w:color="auto" w:fill="FFFFFF"/>
        </w:rPr>
      </w:pPr>
      <w:r w:rsidRPr="00BE2C1D">
        <w:rPr>
          <w:rFonts w:cstheme="minorHAnsi"/>
          <w:shd w:val="clear" w:color="auto" w:fill="FFFFFF"/>
        </w:rPr>
        <w:t xml:space="preserve">Curran, T., (2013). Disabled Children’s Childhood Studies: Alternative Relations and Forms of Authority?. In: T. Curran, K. Runswick-Cole, eds. </w:t>
      </w:r>
      <w:r w:rsidRPr="00BE2C1D">
        <w:rPr>
          <w:rFonts w:cstheme="minorHAnsi"/>
          <w:i/>
          <w:iCs/>
          <w:shd w:val="clear" w:color="auto" w:fill="FFFFFF"/>
        </w:rPr>
        <w:t>Disabled Children’s Childhood Studies</w:t>
      </w:r>
      <w:r w:rsidRPr="00BE2C1D">
        <w:rPr>
          <w:rFonts w:cstheme="minorHAnsi"/>
          <w:shd w:val="clear" w:color="auto" w:fill="FFFFFF"/>
        </w:rPr>
        <w:t>. London: Palgrave Macmillan. pp. 121-135.</w:t>
      </w:r>
    </w:p>
    <w:p w14:paraId="29F5FF00" w14:textId="77777777" w:rsidR="00BE2C1D" w:rsidRPr="00BE2C1D" w:rsidRDefault="00BE2C1D" w:rsidP="00BE2C1D">
      <w:pPr>
        <w:spacing w:line="360" w:lineRule="auto"/>
        <w:rPr>
          <w:rFonts w:cstheme="minorHAnsi"/>
          <w:shd w:val="clear" w:color="auto" w:fill="FFFFFF"/>
        </w:rPr>
      </w:pPr>
      <w:r w:rsidRPr="00BE2C1D">
        <w:rPr>
          <w:rFonts w:cstheme="minorHAnsi"/>
          <w:shd w:val="clear" w:color="auto" w:fill="FFFFFF"/>
        </w:rPr>
        <w:t>Curran, T. and Runswick-Cole, K., 2014. Disabled children’s childhood studies: a distinct approach?. </w:t>
      </w:r>
      <w:r w:rsidRPr="00BE2C1D">
        <w:rPr>
          <w:rFonts w:cstheme="minorHAnsi"/>
          <w:i/>
          <w:iCs/>
          <w:shd w:val="clear" w:color="auto" w:fill="FFFFFF"/>
        </w:rPr>
        <w:t>Disability &amp; Society</w:t>
      </w:r>
      <w:r w:rsidRPr="00BE2C1D">
        <w:rPr>
          <w:rFonts w:cstheme="minorHAnsi"/>
          <w:shd w:val="clear" w:color="auto" w:fill="FFFFFF"/>
        </w:rPr>
        <w:t>. </w:t>
      </w:r>
      <w:r w:rsidRPr="00BE2C1D">
        <w:rPr>
          <w:rFonts w:cstheme="minorHAnsi"/>
          <w:b/>
          <w:bCs/>
          <w:shd w:val="clear" w:color="auto" w:fill="FFFFFF"/>
        </w:rPr>
        <w:t>29</w:t>
      </w:r>
      <w:r w:rsidRPr="00BE2C1D">
        <w:rPr>
          <w:rFonts w:cstheme="minorHAnsi"/>
          <w:shd w:val="clear" w:color="auto" w:fill="FFFFFF"/>
        </w:rPr>
        <w:t>(10), 617-1630.</w:t>
      </w:r>
    </w:p>
    <w:p w14:paraId="5D446C21" w14:textId="77777777" w:rsidR="00BE2C1D" w:rsidRPr="00BE2C1D" w:rsidRDefault="00BE2C1D" w:rsidP="00BE2C1D">
      <w:pPr>
        <w:spacing w:line="360" w:lineRule="auto"/>
        <w:rPr>
          <w:rFonts w:cstheme="minorHAnsi"/>
          <w:shd w:val="clear" w:color="auto" w:fill="FFFFFF"/>
        </w:rPr>
      </w:pPr>
      <w:r w:rsidRPr="00BE2C1D">
        <w:rPr>
          <w:rFonts w:cstheme="minorHAnsi"/>
          <w:shd w:val="clear" w:color="auto" w:fill="FFFFFF"/>
        </w:rPr>
        <w:t>Curran, T., Liddiard, K. and Runswick-Cole, K., (2018). The everyday worlds of disabled children. In: G. Thomas, D. Sakellariou, eds. </w:t>
      </w:r>
      <w:r w:rsidRPr="00BE2C1D">
        <w:rPr>
          <w:rFonts w:cstheme="minorHAnsi"/>
          <w:i/>
          <w:iCs/>
          <w:shd w:val="clear" w:color="auto" w:fill="FFFFFF"/>
        </w:rPr>
        <w:t>Disability, Normalcy, and the Everyday</w:t>
      </w:r>
      <w:r w:rsidRPr="00BE2C1D">
        <w:rPr>
          <w:rFonts w:cstheme="minorHAnsi"/>
          <w:shd w:val="clear" w:color="auto" w:fill="FFFFFF"/>
        </w:rPr>
        <w:t>. London: Routledge. pp. 41-60.</w:t>
      </w:r>
    </w:p>
    <w:p w14:paraId="24F5129E" w14:textId="77777777" w:rsidR="00BE2C1D" w:rsidRPr="00BE2C1D" w:rsidRDefault="00BE2C1D" w:rsidP="00BE2C1D">
      <w:pPr>
        <w:spacing w:line="360" w:lineRule="auto"/>
        <w:rPr>
          <w:rFonts w:cstheme="minorHAnsi"/>
          <w:shd w:val="clear" w:color="auto" w:fill="FFFFFF"/>
        </w:rPr>
      </w:pPr>
      <w:r w:rsidRPr="00BE2C1D">
        <w:rPr>
          <w:rFonts w:cstheme="minorHAnsi"/>
          <w:shd w:val="clear" w:color="auto" w:fill="FFFFFF"/>
        </w:rPr>
        <w:t>Cutler L, Silvers JB, Singh J, et al., 1996. Short Stature and Growth Hormone Therapy: A National Study of Physician Recommendation Patterns. </w:t>
      </w:r>
      <w:r w:rsidRPr="00BE2C1D">
        <w:rPr>
          <w:rFonts w:cstheme="minorHAnsi"/>
          <w:i/>
          <w:iCs/>
          <w:shd w:val="clear" w:color="auto" w:fill="FFFFFF"/>
        </w:rPr>
        <w:t>JAMA.</w:t>
      </w:r>
      <w:r w:rsidRPr="00BE2C1D">
        <w:rPr>
          <w:rFonts w:cstheme="minorHAnsi"/>
          <w:shd w:val="clear" w:color="auto" w:fill="FFFFFF"/>
        </w:rPr>
        <w:t xml:space="preserve"> </w:t>
      </w:r>
      <w:r w:rsidRPr="00BE2C1D">
        <w:rPr>
          <w:rFonts w:cstheme="minorHAnsi"/>
          <w:b/>
          <w:bCs/>
          <w:shd w:val="clear" w:color="auto" w:fill="FFFFFF"/>
        </w:rPr>
        <w:t>276</w:t>
      </w:r>
      <w:r w:rsidRPr="00BE2C1D">
        <w:rPr>
          <w:rFonts w:cstheme="minorHAnsi"/>
          <w:shd w:val="clear" w:color="auto" w:fill="FFFFFF"/>
        </w:rPr>
        <w:t>(7), 531–537.</w:t>
      </w:r>
    </w:p>
    <w:p w14:paraId="68D80F10" w14:textId="77777777" w:rsidR="00BE2C1D" w:rsidRPr="00BE2C1D" w:rsidRDefault="00BE2C1D" w:rsidP="00BE2C1D">
      <w:pPr>
        <w:spacing w:line="360" w:lineRule="auto"/>
        <w:rPr>
          <w:rFonts w:cstheme="minorHAnsi"/>
        </w:rPr>
      </w:pPr>
      <w:r w:rsidRPr="00BE2C1D">
        <w:rPr>
          <w:rFonts w:cstheme="minorHAnsi"/>
        </w:rPr>
        <w:t xml:space="preserve">Dale, K., (2001). </w:t>
      </w:r>
      <w:r w:rsidRPr="00BE2C1D">
        <w:rPr>
          <w:rFonts w:cstheme="minorHAnsi"/>
          <w:i/>
          <w:iCs/>
        </w:rPr>
        <w:t>Anatomising Embodiment and Organisation Theory</w:t>
      </w:r>
      <w:r w:rsidRPr="00BE2C1D">
        <w:rPr>
          <w:rFonts w:cstheme="minorHAnsi"/>
        </w:rPr>
        <w:t>. Basingstoke: Palgrave Macmillan.</w:t>
      </w:r>
    </w:p>
    <w:p w14:paraId="43C6C695" w14:textId="77777777" w:rsidR="00BE2C1D" w:rsidRPr="00BE2C1D" w:rsidRDefault="00BE2C1D" w:rsidP="00BE2C1D">
      <w:pPr>
        <w:spacing w:line="360" w:lineRule="auto"/>
        <w:rPr>
          <w:rFonts w:cstheme="minorHAnsi"/>
          <w:shd w:val="clear" w:color="auto" w:fill="FFFFFF"/>
        </w:rPr>
      </w:pPr>
      <w:r w:rsidRPr="00BE2C1D">
        <w:rPr>
          <w:rFonts w:cstheme="minorHAnsi"/>
          <w:shd w:val="clear" w:color="auto" w:fill="FFFFFF"/>
        </w:rPr>
        <w:t>Davies, B., 2011. Bullies as Guardians of the Moral Order or an Ethic of Truths?. </w:t>
      </w:r>
      <w:r w:rsidRPr="00BE2C1D">
        <w:rPr>
          <w:rFonts w:cstheme="minorHAnsi"/>
          <w:i/>
          <w:iCs/>
          <w:shd w:val="clear" w:color="auto" w:fill="FFFFFF"/>
        </w:rPr>
        <w:t>Children &amp; Society</w:t>
      </w:r>
      <w:r w:rsidRPr="00BE2C1D">
        <w:rPr>
          <w:rFonts w:cstheme="minorHAnsi"/>
          <w:shd w:val="clear" w:color="auto" w:fill="FFFFFF"/>
        </w:rPr>
        <w:t>. </w:t>
      </w:r>
      <w:r w:rsidRPr="00BE2C1D">
        <w:rPr>
          <w:rFonts w:cstheme="minorHAnsi"/>
          <w:b/>
          <w:bCs/>
          <w:shd w:val="clear" w:color="auto" w:fill="FFFFFF"/>
        </w:rPr>
        <w:t>25</w:t>
      </w:r>
      <w:r w:rsidRPr="00BE2C1D">
        <w:rPr>
          <w:rFonts w:cstheme="minorHAnsi"/>
          <w:shd w:val="clear" w:color="auto" w:fill="FFFFFF"/>
        </w:rPr>
        <w:t>(4), 278-286.</w:t>
      </w:r>
    </w:p>
    <w:p w14:paraId="3BBD1FF1" w14:textId="77777777" w:rsidR="00BE2C1D" w:rsidRPr="00BE2C1D" w:rsidRDefault="00BE2C1D" w:rsidP="00BE2C1D">
      <w:pPr>
        <w:autoSpaceDE w:val="0"/>
        <w:autoSpaceDN w:val="0"/>
        <w:adjustRightInd w:val="0"/>
        <w:spacing w:after="0" w:line="360" w:lineRule="auto"/>
        <w:jc w:val="both"/>
        <w:rPr>
          <w:rFonts w:cstheme="minorHAnsi"/>
          <w:shd w:val="clear" w:color="auto" w:fill="FFFFFF"/>
        </w:rPr>
      </w:pPr>
      <w:r w:rsidRPr="00BE2C1D">
        <w:rPr>
          <w:rFonts w:cstheme="minorHAnsi"/>
          <w:shd w:val="clear" w:color="auto" w:fill="FFFFFF"/>
        </w:rPr>
        <w:t>Davies, H., 2008. Reflexivity in research practice: Informed consent with children at school and at home. </w:t>
      </w:r>
      <w:r w:rsidRPr="00BE2C1D">
        <w:rPr>
          <w:rFonts w:cstheme="minorHAnsi"/>
          <w:i/>
          <w:iCs/>
          <w:shd w:val="clear" w:color="auto" w:fill="FFFFFF"/>
        </w:rPr>
        <w:t>Sociological Research Online</w:t>
      </w:r>
      <w:r w:rsidRPr="00BE2C1D">
        <w:rPr>
          <w:rFonts w:cstheme="minorHAnsi"/>
          <w:shd w:val="clear" w:color="auto" w:fill="FFFFFF"/>
        </w:rPr>
        <w:t>. </w:t>
      </w:r>
      <w:r w:rsidRPr="00BE2C1D">
        <w:rPr>
          <w:rFonts w:cstheme="minorHAnsi"/>
          <w:b/>
          <w:bCs/>
          <w:shd w:val="clear" w:color="auto" w:fill="FFFFFF"/>
        </w:rPr>
        <w:t>13</w:t>
      </w:r>
      <w:r w:rsidRPr="00BE2C1D">
        <w:rPr>
          <w:rFonts w:cstheme="minorHAnsi"/>
          <w:shd w:val="clear" w:color="auto" w:fill="FFFFFF"/>
        </w:rPr>
        <w:t>(4), 17-30.</w:t>
      </w:r>
    </w:p>
    <w:p w14:paraId="617F23E9" w14:textId="77777777" w:rsidR="00BE2C1D" w:rsidRPr="00BE2C1D" w:rsidRDefault="00BE2C1D" w:rsidP="00BE2C1D">
      <w:pPr>
        <w:autoSpaceDE w:val="0"/>
        <w:autoSpaceDN w:val="0"/>
        <w:adjustRightInd w:val="0"/>
        <w:spacing w:after="0" w:line="360" w:lineRule="auto"/>
        <w:jc w:val="both"/>
        <w:rPr>
          <w:rFonts w:cstheme="minorHAnsi"/>
          <w:shd w:val="clear" w:color="auto" w:fill="FFFFFF"/>
        </w:rPr>
      </w:pPr>
    </w:p>
    <w:p w14:paraId="659186CC" w14:textId="77777777" w:rsidR="00BE2C1D" w:rsidRPr="00BE2C1D" w:rsidRDefault="00BE2C1D" w:rsidP="00BE2C1D">
      <w:pPr>
        <w:spacing w:line="360" w:lineRule="auto"/>
        <w:rPr>
          <w:rFonts w:cstheme="minorHAnsi"/>
          <w:shd w:val="clear" w:color="auto" w:fill="FFFFFF"/>
        </w:rPr>
      </w:pPr>
      <w:r w:rsidRPr="00BE2C1D">
        <w:rPr>
          <w:rFonts w:cstheme="minorHAnsi"/>
          <w:shd w:val="clear" w:color="auto" w:fill="FFFFFF"/>
        </w:rPr>
        <w:t>Davis, J. M., (2004). Disability and childhood: Deconstructing the stereotypes. In J. Swain, S. French, C. Barnes, C. Thomas eds. 2</w:t>
      </w:r>
      <w:r w:rsidRPr="00BE2C1D">
        <w:rPr>
          <w:rFonts w:cstheme="minorHAnsi"/>
          <w:shd w:val="clear" w:color="auto" w:fill="FFFFFF"/>
          <w:vertAlign w:val="superscript"/>
        </w:rPr>
        <w:t>nd</w:t>
      </w:r>
      <w:r w:rsidRPr="00BE2C1D">
        <w:rPr>
          <w:rFonts w:cstheme="minorHAnsi"/>
          <w:shd w:val="clear" w:color="auto" w:fill="FFFFFF"/>
        </w:rPr>
        <w:t xml:space="preserve"> edition. </w:t>
      </w:r>
      <w:r w:rsidRPr="00BE2C1D">
        <w:rPr>
          <w:rFonts w:cstheme="minorHAnsi"/>
          <w:i/>
          <w:iCs/>
          <w:shd w:val="clear" w:color="auto" w:fill="FFFFFF"/>
        </w:rPr>
        <w:t>Disabling barriers-enabling environments</w:t>
      </w:r>
      <w:r w:rsidRPr="00BE2C1D">
        <w:rPr>
          <w:rFonts w:cstheme="minorHAnsi"/>
          <w:shd w:val="clear" w:color="auto" w:fill="FFFFFF"/>
        </w:rPr>
        <w:t>. London: Sage. pp.142-148.</w:t>
      </w:r>
    </w:p>
    <w:p w14:paraId="1AED2231" w14:textId="77777777" w:rsidR="00BE2C1D" w:rsidRPr="00BE2C1D" w:rsidRDefault="00BE2C1D" w:rsidP="00BE2C1D">
      <w:pPr>
        <w:spacing w:line="360" w:lineRule="auto"/>
        <w:rPr>
          <w:rFonts w:cstheme="minorHAnsi"/>
          <w:shd w:val="clear" w:color="auto" w:fill="FFFFFF"/>
        </w:rPr>
      </w:pPr>
      <w:r w:rsidRPr="00BE2C1D">
        <w:rPr>
          <w:rFonts w:cstheme="minorHAnsi"/>
          <w:shd w:val="clear" w:color="auto" w:fill="FFFFFF"/>
        </w:rPr>
        <w:t>Davis, J., (2013). Conceptual Issues in Childhood and Disability: integrating theories from childhood and disability studies. In N. Watson, A. Roulstone, C. Thomas.  </w:t>
      </w:r>
      <w:r w:rsidRPr="00BE2C1D">
        <w:rPr>
          <w:rFonts w:cstheme="minorHAnsi"/>
          <w:i/>
          <w:iCs/>
          <w:shd w:val="clear" w:color="auto" w:fill="FFFFFF"/>
        </w:rPr>
        <w:t>Routledge handbook of disability studies</w:t>
      </w:r>
      <w:r w:rsidRPr="00BE2C1D">
        <w:rPr>
          <w:rFonts w:cstheme="minorHAnsi"/>
          <w:shd w:val="clear" w:color="auto" w:fill="FFFFFF"/>
        </w:rPr>
        <w:t>. London: Routledge. pp. 422-433.</w:t>
      </w:r>
    </w:p>
    <w:p w14:paraId="164582BA" w14:textId="77777777" w:rsidR="00BE2C1D" w:rsidRPr="00BE2C1D" w:rsidRDefault="00BE2C1D" w:rsidP="00BE2C1D">
      <w:pPr>
        <w:spacing w:line="360" w:lineRule="auto"/>
        <w:rPr>
          <w:rFonts w:cstheme="minorHAnsi"/>
          <w:shd w:val="clear" w:color="auto" w:fill="FFFFFF"/>
        </w:rPr>
      </w:pPr>
      <w:r w:rsidRPr="00BE2C1D">
        <w:rPr>
          <w:rFonts w:cstheme="minorHAnsi"/>
          <w:shd w:val="clear" w:color="auto" w:fill="FFFFFF"/>
        </w:rPr>
        <w:t>Davis, J. M. and Watson, N., 2001. Where are the children's experiences? Analysing social and cultural exclusion in 'special' and 'mainstream' schools. </w:t>
      </w:r>
      <w:r w:rsidRPr="00BE2C1D">
        <w:rPr>
          <w:rFonts w:cstheme="minorHAnsi"/>
          <w:i/>
          <w:iCs/>
          <w:shd w:val="clear" w:color="auto" w:fill="FFFFFF"/>
        </w:rPr>
        <w:t>Disability &amp; Society</w:t>
      </w:r>
      <w:r w:rsidRPr="00BE2C1D">
        <w:rPr>
          <w:rFonts w:cstheme="minorHAnsi"/>
          <w:shd w:val="clear" w:color="auto" w:fill="FFFFFF"/>
        </w:rPr>
        <w:t>. </w:t>
      </w:r>
      <w:r w:rsidRPr="00BE2C1D">
        <w:rPr>
          <w:rFonts w:cstheme="minorHAnsi"/>
          <w:b/>
          <w:bCs/>
          <w:shd w:val="clear" w:color="auto" w:fill="FFFFFF"/>
        </w:rPr>
        <w:t>16</w:t>
      </w:r>
      <w:r w:rsidRPr="00BE2C1D">
        <w:rPr>
          <w:rFonts w:cstheme="minorHAnsi"/>
          <w:shd w:val="clear" w:color="auto" w:fill="FFFFFF"/>
        </w:rPr>
        <w:t>(5), .671-687.</w:t>
      </w:r>
    </w:p>
    <w:p w14:paraId="03B4D3A5" w14:textId="77777777" w:rsidR="00BE2C1D" w:rsidRPr="00BE2C1D" w:rsidRDefault="00BE2C1D" w:rsidP="00BE2C1D">
      <w:pPr>
        <w:spacing w:line="360" w:lineRule="auto"/>
        <w:rPr>
          <w:rFonts w:cstheme="minorHAnsi"/>
          <w:shd w:val="clear" w:color="auto" w:fill="FFFFFF"/>
        </w:rPr>
      </w:pPr>
      <w:r w:rsidRPr="00BE2C1D">
        <w:rPr>
          <w:rFonts w:cstheme="minorHAnsi"/>
          <w:shd w:val="clear" w:color="auto" w:fill="FFFFFF"/>
        </w:rPr>
        <w:lastRenderedPageBreak/>
        <w:t xml:space="preserve">Davis, J. and Watson, N., (2002). Countering stereotypes of disability: Disabled children and resistance. In: M. Corker, T. Shakespeare, eds. </w:t>
      </w:r>
      <w:r w:rsidRPr="00BE2C1D">
        <w:rPr>
          <w:rFonts w:cstheme="minorHAnsi"/>
          <w:i/>
          <w:iCs/>
          <w:shd w:val="clear" w:color="auto" w:fill="FFFFFF"/>
        </w:rPr>
        <w:t>Disability/postmodernity: Embodying disability theory</w:t>
      </w:r>
      <w:r w:rsidRPr="00BE2C1D">
        <w:rPr>
          <w:rFonts w:cstheme="minorHAnsi"/>
          <w:shd w:val="clear" w:color="auto" w:fill="FFFFFF"/>
        </w:rPr>
        <w:t>. London: Bloomsbury. pp.159-74.</w:t>
      </w:r>
    </w:p>
    <w:p w14:paraId="4B280BA6" w14:textId="77777777" w:rsidR="00BE2C1D" w:rsidRPr="00BE2C1D" w:rsidRDefault="00BE2C1D" w:rsidP="00BE2C1D">
      <w:pPr>
        <w:spacing w:line="360" w:lineRule="auto"/>
        <w:rPr>
          <w:rFonts w:cstheme="minorHAnsi"/>
          <w:shd w:val="clear" w:color="auto" w:fill="FFFFFF"/>
        </w:rPr>
      </w:pPr>
      <w:r w:rsidRPr="00BE2C1D">
        <w:rPr>
          <w:rFonts w:cstheme="minorHAnsi"/>
          <w:shd w:val="clear" w:color="auto" w:fill="FFFFFF"/>
        </w:rPr>
        <w:t>De Beauvoir, S. 2000. Det annet kjønn [The second sex]. Oslo: Pax Forlag, A/S</w:t>
      </w:r>
    </w:p>
    <w:p w14:paraId="5A53CDAC" w14:textId="77777777" w:rsidR="00BE2C1D" w:rsidRPr="00BE2C1D" w:rsidRDefault="00BE2C1D" w:rsidP="00BE2C1D">
      <w:pPr>
        <w:spacing w:line="360" w:lineRule="auto"/>
        <w:rPr>
          <w:rFonts w:cstheme="minorHAnsi"/>
          <w:shd w:val="clear" w:color="auto" w:fill="FFFFFF"/>
        </w:rPr>
      </w:pPr>
      <w:r w:rsidRPr="00BE2C1D">
        <w:rPr>
          <w:rFonts w:cstheme="minorHAnsi"/>
          <w:shd w:val="clear" w:color="auto" w:fill="FFFFFF"/>
        </w:rPr>
        <w:t>De Onis, M., Onyango, A., Borghi, E., Siyam, A., Blössner, M. and Lutter, C., 2012. Worldwide implementation of the WHO child growth standards. </w:t>
      </w:r>
      <w:r w:rsidRPr="00BE2C1D">
        <w:rPr>
          <w:rFonts w:cstheme="minorHAnsi"/>
          <w:i/>
          <w:iCs/>
          <w:shd w:val="clear" w:color="auto" w:fill="FFFFFF"/>
        </w:rPr>
        <w:t>Public health nutrition</w:t>
      </w:r>
      <w:r w:rsidRPr="00BE2C1D">
        <w:rPr>
          <w:rFonts w:cstheme="minorHAnsi"/>
          <w:shd w:val="clear" w:color="auto" w:fill="FFFFFF"/>
        </w:rPr>
        <w:t>. </w:t>
      </w:r>
      <w:r w:rsidRPr="00BE2C1D">
        <w:rPr>
          <w:rFonts w:cstheme="minorHAnsi"/>
          <w:b/>
          <w:bCs/>
          <w:shd w:val="clear" w:color="auto" w:fill="FFFFFF"/>
        </w:rPr>
        <w:t>15</w:t>
      </w:r>
      <w:r w:rsidRPr="00BE2C1D">
        <w:rPr>
          <w:rFonts w:cstheme="minorHAnsi"/>
          <w:shd w:val="clear" w:color="auto" w:fill="FFFFFF"/>
        </w:rPr>
        <w:t>(9),1603-1610.</w:t>
      </w:r>
    </w:p>
    <w:p w14:paraId="5C062EAD" w14:textId="77777777" w:rsidR="00BE2C1D" w:rsidRPr="00BE2C1D" w:rsidRDefault="00BE2C1D" w:rsidP="00BE2C1D">
      <w:pPr>
        <w:spacing w:line="360" w:lineRule="auto"/>
        <w:rPr>
          <w:rFonts w:cstheme="minorHAnsi"/>
          <w:shd w:val="clear" w:color="auto" w:fill="FFFFFF"/>
        </w:rPr>
      </w:pPr>
      <w:r w:rsidRPr="00BE2C1D">
        <w:rPr>
          <w:rFonts w:cstheme="minorHAnsi"/>
          <w:shd w:val="clear" w:color="auto" w:fill="FFFFFF"/>
        </w:rPr>
        <w:t>Deal, M., 2003. Disabled people's attitudes toward other impairment groups: a hierarchy of impairments. </w:t>
      </w:r>
      <w:r w:rsidRPr="00BE2C1D">
        <w:rPr>
          <w:rFonts w:cstheme="minorHAnsi"/>
          <w:i/>
          <w:iCs/>
          <w:shd w:val="clear" w:color="auto" w:fill="FFFFFF"/>
        </w:rPr>
        <w:t>Disability &amp; society</w:t>
      </w:r>
      <w:r w:rsidRPr="00BE2C1D">
        <w:rPr>
          <w:rFonts w:cstheme="minorHAnsi"/>
          <w:shd w:val="clear" w:color="auto" w:fill="FFFFFF"/>
        </w:rPr>
        <w:t>. </w:t>
      </w:r>
      <w:r w:rsidRPr="00BE2C1D">
        <w:rPr>
          <w:rFonts w:cstheme="minorHAnsi"/>
          <w:b/>
          <w:bCs/>
          <w:shd w:val="clear" w:color="auto" w:fill="FFFFFF"/>
        </w:rPr>
        <w:t>18</w:t>
      </w:r>
      <w:r w:rsidRPr="00BE2C1D">
        <w:rPr>
          <w:rFonts w:cstheme="minorHAnsi"/>
          <w:shd w:val="clear" w:color="auto" w:fill="FFFFFF"/>
        </w:rPr>
        <w:t>(7), 897-910.</w:t>
      </w:r>
    </w:p>
    <w:p w14:paraId="743991F7" w14:textId="77777777" w:rsidR="00BE2C1D" w:rsidRPr="00BE2C1D" w:rsidRDefault="00BE2C1D" w:rsidP="00BE2C1D">
      <w:pPr>
        <w:spacing w:line="360" w:lineRule="auto"/>
        <w:rPr>
          <w:rFonts w:cstheme="minorHAnsi"/>
          <w:shd w:val="clear" w:color="auto" w:fill="FFFFFF"/>
        </w:rPr>
      </w:pPr>
      <w:r w:rsidRPr="00BE2C1D">
        <w:rPr>
          <w:rFonts w:cstheme="minorHAnsi"/>
          <w:shd w:val="clear" w:color="auto" w:fill="FFFFFF"/>
        </w:rPr>
        <w:t>Dedousis-Wallace, A. and Shute, R.H., 2009. Indirect bullying: Predictors of teacher intervention, and outcome of a pilot educational presentation about impact on adolescent mental health. </w:t>
      </w:r>
      <w:r w:rsidRPr="00BE2C1D">
        <w:rPr>
          <w:rFonts w:cstheme="minorHAnsi"/>
          <w:i/>
          <w:iCs/>
          <w:shd w:val="clear" w:color="auto" w:fill="FFFFFF"/>
        </w:rPr>
        <w:t>Australian Journal of Educational &amp; Developmental Psychology</w:t>
      </w:r>
      <w:r w:rsidRPr="00BE2C1D">
        <w:rPr>
          <w:rFonts w:cstheme="minorHAnsi"/>
          <w:shd w:val="clear" w:color="auto" w:fill="FFFFFF"/>
        </w:rPr>
        <w:t>. </w:t>
      </w:r>
      <w:r w:rsidRPr="00BE2C1D">
        <w:rPr>
          <w:rFonts w:cstheme="minorHAnsi"/>
          <w:b/>
          <w:bCs/>
          <w:shd w:val="clear" w:color="auto" w:fill="FFFFFF"/>
        </w:rPr>
        <w:t>9,</w:t>
      </w:r>
      <w:r w:rsidRPr="00BE2C1D">
        <w:rPr>
          <w:rFonts w:cstheme="minorHAnsi"/>
          <w:shd w:val="clear" w:color="auto" w:fill="FFFFFF"/>
        </w:rPr>
        <w:t xml:space="preserve"> 2-17.</w:t>
      </w:r>
    </w:p>
    <w:p w14:paraId="5FA198E1" w14:textId="77777777" w:rsidR="00BE2C1D" w:rsidRPr="00BE2C1D" w:rsidRDefault="00BE2C1D" w:rsidP="00BE2C1D">
      <w:pPr>
        <w:spacing w:line="360" w:lineRule="auto"/>
        <w:jc w:val="both"/>
        <w:rPr>
          <w:rFonts w:cstheme="minorHAnsi"/>
          <w:lang w:val="en-US"/>
        </w:rPr>
      </w:pPr>
      <w:r w:rsidRPr="00BE2C1D">
        <w:rPr>
          <w:rFonts w:cstheme="minorHAnsi"/>
          <w:lang w:val="en-US"/>
        </w:rPr>
        <w:t xml:space="preserve">Del Busso, L., 2007. Embodying Feminist Politics in the Research Interview: Material Bodies and Reflexivity. </w:t>
      </w:r>
      <w:r w:rsidRPr="00BE2C1D">
        <w:rPr>
          <w:rFonts w:cstheme="minorHAnsi"/>
          <w:i/>
          <w:iCs/>
          <w:lang w:val="en-US"/>
        </w:rPr>
        <w:t>Feminism &amp; Psychology</w:t>
      </w:r>
      <w:r w:rsidRPr="00BE2C1D">
        <w:rPr>
          <w:rFonts w:cstheme="minorHAnsi"/>
          <w:lang w:val="en-US"/>
        </w:rPr>
        <w:t xml:space="preserve">. 17(3), 309–315. </w:t>
      </w:r>
    </w:p>
    <w:p w14:paraId="5572DC29" w14:textId="77777777" w:rsidR="00BE2C1D" w:rsidRPr="00BE2C1D" w:rsidRDefault="00BE2C1D" w:rsidP="00BE2C1D">
      <w:pPr>
        <w:spacing w:line="360" w:lineRule="auto"/>
        <w:rPr>
          <w:rFonts w:cstheme="minorHAnsi"/>
          <w:shd w:val="clear" w:color="auto" w:fill="FFFFFF"/>
        </w:rPr>
      </w:pPr>
      <w:r w:rsidRPr="00BE2C1D">
        <w:rPr>
          <w:rFonts w:cstheme="minorHAnsi"/>
          <w:shd w:val="clear" w:color="auto" w:fill="FFFFFF"/>
        </w:rPr>
        <w:t>Del Rosso, J., 2011. The penis as public part: Embodiment and the performance of masculinity in public settings. </w:t>
      </w:r>
      <w:r w:rsidRPr="00BE2C1D">
        <w:rPr>
          <w:rFonts w:cstheme="minorHAnsi"/>
          <w:i/>
          <w:iCs/>
          <w:shd w:val="clear" w:color="auto" w:fill="FFFFFF"/>
        </w:rPr>
        <w:t>Sexualities</w:t>
      </w:r>
      <w:r w:rsidRPr="00BE2C1D">
        <w:rPr>
          <w:rFonts w:cstheme="minorHAnsi"/>
          <w:shd w:val="clear" w:color="auto" w:fill="FFFFFF"/>
        </w:rPr>
        <w:t>. </w:t>
      </w:r>
      <w:r w:rsidRPr="00BE2C1D">
        <w:rPr>
          <w:rFonts w:cstheme="minorHAnsi"/>
          <w:b/>
          <w:bCs/>
          <w:shd w:val="clear" w:color="auto" w:fill="FFFFFF"/>
        </w:rPr>
        <w:t>14</w:t>
      </w:r>
      <w:r w:rsidRPr="00BE2C1D">
        <w:rPr>
          <w:rFonts w:cstheme="minorHAnsi"/>
          <w:shd w:val="clear" w:color="auto" w:fill="FFFFFF"/>
        </w:rPr>
        <w:t>(6), 704-724.</w:t>
      </w:r>
    </w:p>
    <w:p w14:paraId="3274E45E" w14:textId="77777777" w:rsidR="00BE2C1D" w:rsidRPr="00BE2C1D" w:rsidRDefault="00BE2C1D" w:rsidP="00BE2C1D">
      <w:pPr>
        <w:spacing w:line="360" w:lineRule="auto"/>
        <w:rPr>
          <w:rFonts w:cstheme="minorHAnsi"/>
          <w:shd w:val="clear" w:color="auto" w:fill="FFFFFF"/>
        </w:rPr>
      </w:pPr>
      <w:r w:rsidRPr="00BE2C1D">
        <w:rPr>
          <w:rFonts w:cstheme="minorHAnsi"/>
          <w:shd w:val="clear" w:color="auto" w:fill="FFFFFF"/>
        </w:rPr>
        <w:t>DeLara, E.W., 2008. Developing a philosophy about bullying and sexual harassment: Cognitive coping strategies among high school students. </w:t>
      </w:r>
      <w:r w:rsidRPr="00BE2C1D">
        <w:rPr>
          <w:rFonts w:cstheme="minorHAnsi"/>
          <w:i/>
          <w:iCs/>
          <w:shd w:val="clear" w:color="auto" w:fill="FFFFFF"/>
        </w:rPr>
        <w:t>Journal of School Violence</w:t>
      </w:r>
      <w:r w:rsidRPr="00BE2C1D">
        <w:rPr>
          <w:rFonts w:cstheme="minorHAnsi"/>
          <w:shd w:val="clear" w:color="auto" w:fill="FFFFFF"/>
        </w:rPr>
        <w:t>. </w:t>
      </w:r>
      <w:r w:rsidRPr="00BE2C1D">
        <w:rPr>
          <w:rFonts w:cstheme="minorHAnsi"/>
          <w:b/>
          <w:bCs/>
          <w:shd w:val="clear" w:color="auto" w:fill="FFFFFF"/>
        </w:rPr>
        <w:t>7</w:t>
      </w:r>
      <w:r w:rsidRPr="00BE2C1D">
        <w:rPr>
          <w:rFonts w:cstheme="minorHAnsi"/>
          <w:shd w:val="clear" w:color="auto" w:fill="FFFFFF"/>
        </w:rPr>
        <w:t>(4), 72-96.</w:t>
      </w:r>
    </w:p>
    <w:p w14:paraId="4969AAF6" w14:textId="1EAF2B24" w:rsidR="00BE2C1D" w:rsidRDefault="00BE2C1D" w:rsidP="00BE2C1D">
      <w:pPr>
        <w:spacing w:line="360" w:lineRule="auto"/>
        <w:rPr>
          <w:rFonts w:cstheme="minorHAnsi"/>
          <w:shd w:val="clear" w:color="auto" w:fill="FFFFFF"/>
        </w:rPr>
      </w:pPr>
      <w:r w:rsidRPr="00BE2C1D">
        <w:rPr>
          <w:rFonts w:cstheme="minorHAnsi"/>
          <w:shd w:val="clear" w:color="auto" w:fill="FFFFFF"/>
        </w:rPr>
        <w:t>DeLara, E.W., 2012. Why adolescents don't disclose incidents of bullying and harassment. </w:t>
      </w:r>
      <w:r w:rsidRPr="00BE2C1D">
        <w:rPr>
          <w:rFonts w:cstheme="minorHAnsi"/>
          <w:i/>
          <w:iCs/>
          <w:shd w:val="clear" w:color="auto" w:fill="FFFFFF"/>
        </w:rPr>
        <w:t>Journal of School Violence</w:t>
      </w:r>
      <w:r w:rsidRPr="00BE2C1D">
        <w:rPr>
          <w:rFonts w:cstheme="minorHAnsi"/>
          <w:shd w:val="clear" w:color="auto" w:fill="FFFFFF"/>
        </w:rPr>
        <w:t>. </w:t>
      </w:r>
      <w:r w:rsidRPr="00BE2C1D">
        <w:rPr>
          <w:rFonts w:cstheme="minorHAnsi"/>
          <w:b/>
          <w:bCs/>
          <w:shd w:val="clear" w:color="auto" w:fill="FFFFFF"/>
        </w:rPr>
        <w:t>11</w:t>
      </w:r>
      <w:r w:rsidRPr="00BE2C1D">
        <w:rPr>
          <w:rFonts w:cstheme="minorHAnsi"/>
          <w:shd w:val="clear" w:color="auto" w:fill="FFFFFF"/>
        </w:rPr>
        <w:t>(4), 288-305.</w:t>
      </w:r>
    </w:p>
    <w:p w14:paraId="4116BAED" w14:textId="65101879" w:rsidR="00FA7F0C" w:rsidRPr="00BE2C1D" w:rsidRDefault="00FA7F0C" w:rsidP="00BE2C1D">
      <w:pPr>
        <w:spacing w:line="360" w:lineRule="auto"/>
        <w:rPr>
          <w:rFonts w:cstheme="minorHAnsi"/>
          <w:shd w:val="clear" w:color="auto" w:fill="FFFFFF"/>
        </w:rPr>
      </w:pPr>
      <w:r w:rsidRPr="00FA7F0C">
        <w:rPr>
          <w:rFonts w:cstheme="minorHAnsi"/>
          <w:shd w:val="clear" w:color="auto" w:fill="FFFFFF"/>
        </w:rPr>
        <w:t xml:space="preserve">DfE &amp; DoH (Department for Education &amp; Department of Health) (2015) </w:t>
      </w:r>
      <w:r w:rsidRPr="00FA7F0C">
        <w:rPr>
          <w:rFonts w:cstheme="minorHAnsi"/>
          <w:i/>
          <w:iCs/>
          <w:shd w:val="clear" w:color="auto" w:fill="FFFFFF"/>
        </w:rPr>
        <w:t>Special Educational Needs and Disability Code of Practice: 0 to 25 years. Statutory guidance for organisations which work with and support chil-dren and young people who have special educational needs or disabilities</w:t>
      </w:r>
      <w:r>
        <w:rPr>
          <w:rFonts w:cstheme="minorHAnsi"/>
          <w:i/>
          <w:iCs/>
          <w:shd w:val="clear" w:color="auto" w:fill="FFFFFF"/>
        </w:rPr>
        <w:t xml:space="preserve"> </w:t>
      </w:r>
      <w:r>
        <w:rPr>
          <w:rFonts w:cstheme="minorHAnsi"/>
          <w:shd w:val="clear" w:color="auto" w:fill="FFFFFF"/>
        </w:rPr>
        <w:t>[</w:t>
      </w:r>
      <w:r w:rsidRPr="00FA7F0C">
        <w:rPr>
          <w:rFonts w:cstheme="minorHAnsi"/>
          <w:shd w:val="clear" w:color="auto" w:fill="FFFFFF"/>
        </w:rPr>
        <w:t>https://www.gov.uk/government/uploads/system/uploads/attachment_data/le/398815/SEND_Code_of_Practice_January_2015.pdf</w:t>
      </w:r>
      <w:r>
        <w:rPr>
          <w:rFonts w:cstheme="minorHAnsi"/>
          <w:shd w:val="clear" w:color="auto" w:fill="FFFFFF"/>
        </w:rPr>
        <w:t>].</w:t>
      </w:r>
    </w:p>
    <w:p w14:paraId="75D07DC6" w14:textId="77777777" w:rsidR="00BE2C1D" w:rsidRPr="00BE2C1D" w:rsidRDefault="00BE2C1D" w:rsidP="00BE2C1D">
      <w:pPr>
        <w:spacing w:line="360" w:lineRule="auto"/>
        <w:rPr>
          <w:rFonts w:cstheme="minorHAnsi"/>
          <w:shd w:val="clear" w:color="auto" w:fill="FFFFFF"/>
        </w:rPr>
      </w:pPr>
      <w:r w:rsidRPr="00BE2C1D">
        <w:rPr>
          <w:rFonts w:cstheme="minorHAnsi"/>
          <w:shd w:val="clear" w:color="auto" w:fill="FFFFFF"/>
        </w:rPr>
        <w:t>DePauw, K.P., 1997. The (In) visibility of disability: cultural contexts and “sporting bodies”. </w:t>
      </w:r>
      <w:r w:rsidRPr="00BE2C1D">
        <w:rPr>
          <w:rFonts w:cstheme="minorHAnsi"/>
          <w:i/>
          <w:iCs/>
          <w:shd w:val="clear" w:color="auto" w:fill="FFFFFF"/>
        </w:rPr>
        <w:t>Quest</w:t>
      </w:r>
      <w:r w:rsidRPr="00BE2C1D">
        <w:rPr>
          <w:rFonts w:cstheme="minorHAnsi"/>
          <w:shd w:val="clear" w:color="auto" w:fill="FFFFFF"/>
        </w:rPr>
        <w:t>. </w:t>
      </w:r>
      <w:r w:rsidRPr="00BE2C1D">
        <w:rPr>
          <w:rFonts w:cstheme="minorHAnsi"/>
          <w:b/>
          <w:bCs/>
          <w:shd w:val="clear" w:color="auto" w:fill="FFFFFF"/>
        </w:rPr>
        <w:t>49</w:t>
      </w:r>
      <w:r w:rsidRPr="00BE2C1D">
        <w:rPr>
          <w:rFonts w:cstheme="minorHAnsi"/>
          <w:shd w:val="clear" w:color="auto" w:fill="FFFFFF"/>
        </w:rPr>
        <w:t>(4), 416-430.</w:t>
      </w:r>
    </w:p>
    <w:p w14:paraId="5A761009" w14:textId="77777777" w:rsidR="00BE2C1D" w:rsidRPr="00BE2C1D" w:rsidRDefault="00BE2C1D" w:rsidP="00BE2C1D">
      <w:pPr>
        <w:spacing w:line="360" w:lineRule="auto"/>
        <w:rPr>
          <w:rFonts w:cstheme="minorHAnsi"/>
          <w:shd w:val="clear" w:color="auto" w:fill="FFFFFF"/>
        </w:rPr>
      </w:pPr>
      <w:r w:rsidRPr="00BE2C1D">
        <w:rPr>
          <w:rFonts w:cstheme="minorHAnsi"/>
          <w:shd w:val="clear" w:color="auto" w:fill="FFFFFF"/>
        </w:rPr>
        <w:t>De Schauwer, E., Van Hove, G., Mortier, K. and Loots, G., 2009. ‘I Need Help on Mondays, It’s Not My Day. The Other Days, I’m OK’.—Perspectives of Disabled Children on Inclusive Education. </w:t>
      </w:r>
      <w:r w:rsidRPr="00BE2C1D">
        <w:rPr>
          <w:rFonts w:cstheme="minorHAnsi"/>
          <w:i/>
          <w:iCs/>
          <w:shd w:val="clear" w:color="auto" w:fill="FFFFFF"/>
        </w:rPr>
        <w:t>Children &amp; Society</w:t>
      </w:r>
      <w:r w:rsidRPr="00BE2C1D">
        <w:rPr>
          <w:rFonts w:cstheme="minorHAnsi"/>
          <w:shd w:val="clear" w:color="auto" w:fill="FFFFFF"/>
        </w:rPr>
        <w:t>. </w:t>
      </w:r>
      <w:r w:rsidRPr="00BE2C1D">
        <w:rPr>
          <w:rFonts w:cstheme="minorHAnsi"/>
          <w:b/>
          <w:bCs/>
          <w:shd w:val="clear" w:color="auto" w:fill="FFFFFF"/>
        </w:rPr>
        <w:t>23</w:t>
      </w:r>
      <w:r w:rsidRPr="00BE2C1D">
        <w:rPr>
          <w:rFonts w:cstheme="minorHAnsi"/>
          <w:shd w:val="clear" w:color="auto" w:fill="FFFFFF"/>
        </w:rPr>
        <w:t>(2), 99-111.</w:t>
      </w:r>
    </w:p>
    <w:p w14:paraId="7E5213E4" w14:textId="77777777" w:rsidR="00BE2C1D" w:rsidRPr="00BE2C1D" w:rsidRDefault="00BE2C1D" w:rsidP="00BE2C1D">
      <w:pPr>
        <w:spacing w:line="360" w:lineRule="auto"/>
        <w:rPr>
          <w:rFonts w:cstheme="minorHAnsi"/>
          <w:shd w:val="clear" w:color="auto" w:fill="FFFFFF"/>
        </w:rPr>
      </w:pPr>
      <w:r w:rsidRPr="00BE2C1D">
        <w:rPr>
          <w:rFonts w:cstheme="minorHAnsi"/>
          <w:shd w:val="clear" w:color="auto" w:fill="FFFFFF"/>
        </w:rPr>
        <w:lastRenderedPageBreak/>
        <w:t>De Schauwer, E., Van de Putte, I., Blockmans, I.G. and Davies, B., 2018. The intra-active production of normativity and difference. </w:t>
      </w:r>
      <w:r w:rsidRPr="00BE2C1D">
        <w:rPr>
          <w:rFonts w:cstheme="minorHAnsi"/>
          <w:i/>
          <w:iCs/>
          <w:shd w:val="clear" w:color="auto" w:fill="FFFFFF"/>
        </w:rPr>
        <w:t>Gender and Education</w:t>
      </w:r>
      <w:r w:rsidRPr="00BE2C1D">
        <w:rPr>
          <w:rFonts w:cstheme="minorHAnsi"/>
          <w:shd w:val="clear" w:color="auto" w:fill="FFFFFF"/>
        </w:rPr>
        <w:t>. </w:t>
      </w:r>
      <w:r w:rsidRPr="00BE2C1D">
        <w:rPr>
          <w:rFonts w:cstheme="minorHAnsi"/>
          <w:b/>
          <w:bCs/>
          <w:shd w:val="clear" w:color="auto" w:fill="FFFFFF"/>
        </w:rPr>
        <w:t>30</w:t>
      </w:r>
      <w:r w:rsidRPr="00BE2C1D">
        <w:rPr>
          <w:rFonts w:cstheme="minorHAnsi"/>
          <w:shd w:val="clear" w:color="auto" w:fill="FFFFFF"/>
        </w:rPr>
        <w:t>(5), 607-622.</w:t>
      </w:r>
    </w:p>
    <w:p w14:paraId="2DD1FDE0" w14:textId="77777777" w:rsidR="00BE2C1D" w:rsidRPr="00BE2C1D" w:rsidRDefault="00BE2C1D" w:rsidP="00BE2C1D">
      <w:pPr>
        <w:spacing w:line="360" w:lineRule="auto"/>
        <w:rPr>
          <w:rFonts w:cstheme="minorHAnsi"/>
          <w:shd w:val="clear" w:color="auto" w:fill="FFFFFF"/>
        </w:rPr>
      </w:pPr>
      <w:r w:rsidRPr="00BE2C1D">
        <w:rPr>
          <w:rFonts w:cstheme="minorHAnsi"/>
          <w:shd w:val="clear" w:color="auto" w:fill="FFFFFF"/>
        </w:rPr>
        <w:t>Devecchi, C., Dettori, F., Doveston, M., Sedgwick, P. and Jament, J., 2012. Inclusive classrooms in Italy and England: the role of support teachers and teaching assistants. </w:t>
      </w:r>
      <w:r w:rsidRPr="00BE2C1D">
        <w:rPr>
          <w:rFonts w:cstheme="minorHAnsi"/>
          <w:i/>
          <w:iCs/>
          <w:shd w:val="clear" w:color="auto" w:fill="FFFFFF"/>
        </w:rPr>
        <w:t>European Journal of Special Needs Education</w:t>
      </w:r>
      <w:r w:rsidRPr="00BE2C1D">
        <w:rPr>
          <w:rFonts w:cstheme="minorHAnsi"/>
          <w:shd w:val="clear" w:color="auto" w:fill="FFFFFF"/>
        </w:rPr>
        <w:t>. </w:t>
      </w:r>
      <w:r w:rsidRPr="00BE2C1D">
        <w:rPr>
          <w:rFonts w:cstheme="minorHAnsi"/>
          <w:b/>
          <w:bCs/>
          <w:shd w:val="clear" w:color="auto" w:fill="FFFFFF"/>
        </w:rPr>
        <w:t>27</w:t>
      </w:r>
      <w:r w:rsidRPr="00BE2C1D">
        <w:rPr>
          <w:rFonts w:cstheme="minorHAnsi"/>
          <w:shd w:val="clear" w:color="auto" w:fill="FFFFFF"/>
        </w:rPr>
        <w:t>(2), 171-184.</w:t>
      </w:r>
    </w:p>
    <w:p w14:paraId="6C055184" w14:textId="77777777" w:rsidR="00BE2C1D" w:rsidRPr="00BE2C1D" w:rsidRDefault="00BE2C1D" w:rsidP="00BE2C1D">
      <w:pPr>
        <w:spacing w:line="360" w:lineRule="auto"/>
        <w:rPr>
          <w:rFonts w:cstheme="minorHAnsi"/>
        </w:rPr>
      </w:pPr>
      <w:r w:rsidRPr="00BE2C1D">
        <w:rPr>
          <w:rFonts w:cstheme="minorHAnsi"/>
        </w:rPr>
        <w:t xml:space="preserve">Dorn M. L., (1998). Beyond nomadism: The travel narratives of a ‘cripple’. In: H. J. Nast, S. Pile S, eds. </w:t>
      </w:r>
      <w:r w:rsidRPr="00BE2C1D">
        <w:rPr>
          <w:rFonts w:cstheme="minorHAnsi"/>
          <w:i/>
          <w:iCs/>
        </w:rPr>
        <w:t>Places through the Body</w:t>
      </w:r>
      <w:r w:rsidRPr="00BE2C1D">
        <w:rPr>
          <w:rFonts w:cstheme="minorHAnsi"/>
        </w:rPr>
        <w:t>. London: Routledge. 183-206.</w:t>
      </w:r>
    </w:p>
    <w:p w14:paraId="2315184F" w14:textId="77777777" w:rsidR="00BE2C1D" w:rsidRPr="00BE2C1D" w:rsidRDefault="00BE2C1D" w:rsidP="00BE2C1D">
      <w:pPr>
        <w:spacing w:line="360" w:lineRule="auto"/>
        <w:jc w:val="both"/>
        <w:rPr>
          <w:rFonts w:cstheme="minorHAnsi"/>
          <w:shd w:val="clear" w:color="auto" w:fill="FFFFFF"/>
        </w:rPr>
      </w:pPr>
      <w:r w:rsidRPr="00BE2C1D">
        <w:rPr>
          <w:rFonts w:cstheme="minorHAnsi"/>
        </w:rPr>
        <w:t>Douglas, M., (1966). </w:t>
      </w:r>
      <w:r w:rsidRPr="00BE2C1D">
        <w:rPr>
          <w:rFonts w:cstheme="minorHAnsi"/>
          <w:i/>
          <w:iCs/>
        </w:rPr>
        <w:t>Purity and danger.</w:t>
      </w:r>
      <w:r w:rsidRPr="00BE2C1D">
        <w:rPr>
          <w:rFonts w:cstheme="minorHAnsi"/>
        </w:rPr>
        <w:t> London: Routledge.</w:t>
      </w:r>
    </w:p>
    <w:p w14:paraId="7B526324" w14:textId="77777777" w:rsidR="00BE2C1D" w:rsidRPr="00BE2C1D" w:rsidRDefault="00BE2C1D" w:rsidP="00BE2C1D">
      <w:pPr>
        <w:spacing w:line="360" w:lineRule="auto"/>
        <w:jc w:val="both"/>
        <w:rPr>
          <w:rFonts w:cstheme="minorHAnsi"/>
        </w:rPr>
      </w:pPr>
      <w:r w:rsidRPr="00BE2C1D">
        <w:rPr>
          <w:rFonts w:cstheme="minorHAnsi"/>
          <w:shd w:val="clear" w:color="auto" w:fill="FFFFFF"/>
        </w:rPr>
        <w:t>Douglas, P., 2010. ‘Problematising ’inclusion: education and the question of autism. </w:t>
      </w:r>
      <w:r w:rsidRPr="00BE2C1D">
        <w:rPr>
          <w:rFonts w:cstheme="minorHAnsi"/>
          <w:i/>
          <w:iCs/>
          <w:shd w:val="clear" w:color="auto" w:fill="FFFFFF"/>
        </w:rPr>
        <w:t>Pedagogy, Culture &amp; Society</w:t>
      </w:r>
      <w:r w:rsidRPr="00BE2C1D">
        <w:rPr>
          <w:rFonts w:cstheme="minorHAnsi"/>
          <w:shd w:val="clear" w:color="auto" w:fill="FFFFFF"/>
        </w:rPr>
        <w:t>. </w:t>
      </w:r>
      <w:r w:rsidRPr="00BE2C1D">
        <w:rPr>
          <w:rFonts w:cstheme="minorHAnsi"/>
          <w:b/>
          <w:bCs/>
          <w:shd w:val="clear" w:color="auto" w:fill="FFFFFF"/>
        </w:rPr>
        <w:t>18</w:t>
      </w:r>
      <w:r w:rsidRPr="00BE2C1D">
        <w:rPr>
          <w:rFonts w:cstheme="minorHAnsi"/>
          <w:shd w:val="clear" w:color="auto" w:fill="FFFFFF"/>
        </w:rPr>
        <w:t>(2), 105-121.</w:t>
      </w:r>
    </w:p>
    <w:p w14:paraId="22B2511E" w14:textId="77777777" w:rsidR="00BE2C1D" w:rsidRPr="00BE2C1D" w:rsidRDefault="00BE2C1D" w:rsidP="00BE2C1D">
      <w:pPr>
        <w:spacing w:line="360" w:lineRule="auto"/>
        <w:rPr>
          <w:rFonts w:cstheme="minorHAnsi"/>
        </w:rPr>
      </w:pPr>
      <w:r w:rsidRPr="00BE2C1D">
        <w:rPr>
          <w:rFonts w:cstheme="minorHAnsi"/>
          <w:shd w:val="clear" w:color="auto" w:fill="FFFFFF"/>
        </w:rPr>
        <w:t>Douglas, P., Rice, C., Runswick-Cole, K., Easton, A., Gibson, M.F., Gruson-Wood, J., Klar, E. and Shields, R., 2019. Re-storying autism: a body becoming disability studies in education approach. </w:t>
      </w:r>
      <w:r w:rsidRPr="00BE2C1D">
        <w:rPr>
          <w:rFonts w:cstheme="minorHAnsi"/>
          <w:i/>
          <w:iCs/>
          <w:shd w:val="clear" w:color="auto" w:fill="FFFFFF"/>
        </w:rPr>
        <w:t>International Journal of Inclusive Education</w:t>
      </w:r>
      <w:r w:rsidRPr="00BE2C1D">
        <w:rPr>
          <w:rFonts w:cstheme="minorHAnsi"/>
          <w:shd w:val="clear" w:color="auto" w:fill="FFFFFF"/>
        </w:rPr>
        <w:t>. .1-18.</w:t>
      </w:r>
    </w:p>
    <w:p w14:paraId="2DDEBB40" w14:textId="77777777" w:rsidR="00BE2C1D" w:rsidRPr="00BE2C1D" w:rsidRDefault="00BE2C1D" w:rsidP="00BE2C1D">
      <w:pPr>
        <w:spacing w:line="360" w:lineRule="auto"/>
        <w:rPr>
          <w:rFonts w:cstheme="minorHAnsi"/>
          <w:shd w:val="clear" w:color="auto" w:fill="FFFFFF"/>
        </w:rPr>
      </w:pPr>
      <w:r w:rsidRPr="00BE2C1D">
        <w:rPr>
          <w:rFonts w:cstheme="minorHAnsi"/>
          <w:shd w:val="clear" w:color="auto" w:fill="FFFFFF"/>
        </w:rPr>
        <w:t>Dovey, K. and Fisher, K., 2014. Designing for adaptation: The school as socio-spatial assemblage. </w:t>
      </w:r>
      <w:r w:rsidRPr="00BE2C1D">
        <w:rPr>
          <w:rFonts w:cstheme="minorHAnsi"/>
          <w:i/>
          <w:iCs/>
          <w:shd w:val="clear" w:color="auto" w:fill="FFFFFF"/>
        </w:rPr>
        <w:t>The Journal of Architecture</w:t>
      </w:r>
      <w:r w:rsidRPr="00BE2C1D">
        <w:rPr>
          <w:rFonts w:cstheme="minorHAnsi"/>
          <w:shd w:val="clear" w:color="auto" w:fill="FFFFFF"/>
        </w:rPr>
        <w:t>. </w:t>
      </w:r>
      <w:r w:rsidRPr="00BE2C1D">
        <w:rPr>
          <w:rFonts w:cstheme="minorHAnsi"/>
          <w:b/>
          <w:bCs/>
          <w:shd w:val="clear" w:color="auto" w:fill="FFFFFF"/>
        </w:rPr>
        <w:t>19</w:t>
      </w:r>
      <w:r w:rsidRPr="00BE2C1D">
        <w:rPr>
          <w:rFonts w:cstheme="minorHAnsi"/>
          <w:shd w:val="clear" w:color="auto" w:fill="FFFFFF"/>
        </w:rPr>
        <w:t>(1), 43-63.</w:t>
      </w:r>
    </w:p>
    <w:p w14:paraId="54C24770" w14:textId="77777777" w:rsidR="00BE2C1D" w:rsidRPr="00BE2C1D" w:rsidRDefault="00BE2C1D" w:rsidP="00BE2C1D">
      <w:pPr>
        <w:spacing w:line="360" w:lineRule="auto"/>
        <w:rPr>
          <w:rFonts w:cstheme="minorHAnsi"/>
          <w:shd w:val="clear" w:color="auto" w:fill="FFFFFF"/>
        </w:rPr>
      </w:pPr>
      <w:r w:rsidRPr="00BE2C1D">
        <w:rPr>
          <w:rFonts w:cstheme="minorHAnsi"/>
          <w:shd w:val="clear" w:color="auto" w:fill="FFFFFF"/>
        </w:rPr>
        <w:t>Dowdney, L., Skuse, D., Heptinstall, E., Puckering, C. and Zur‐Szpiro, S., 1987. Growth retardation and developmental delay amongst inner‐city children. </w:t>
      </w:r>
      <w:r w:rsidRPr="00BE2C1D">
        <w:rPr>
          <w:rFonts w:cstheme="minorHAnsi"/>
          <w:i/>
          <w:iCs/>
          <w:shd w:val="clear" w:color="auto" w:fill="FFFFFF"/>
        </w:rPr>
        <w:t>Journal of Child Psychology and Psychiatry</w:t>
      </w:r>
      <w:r w:rsidRPr="00BE2C1D">
        <w:rPr>
          <w:rFonts w:cstheme="minorHAnsi"/>
          <w:shd w:val="clear" w:color="auto" w:fill="FFFFFF"/>
        </w:rPr>
        <w:t>. </w:t>
      </w:r>
      <w:r w:rsidRPr="00BE2C1D">
        <w:rPr>
          <w:rFonts w:cstheme="minorHAnsi"/>
          <w:b/>
          <w:bCs/>
          <w:shd w:val="clear" w:color="auto" w:fill="FFFFFF"/>
        </w:rPr>
        <w:t>28</w:t>
      </w:r>
      <w:r w:rsidRPr="00BE2C1D">
        <w:rPr>
          <w:rFonts w:cstheme="minorHAnsi"/>
          <w:shd w:val="clear" w:color="auto" w:fill="FFFFFF"/>
        </w:rPr>
        <w:t>(4), 529-541.</w:t>
      </w:r>
    </w:p>
    <w:p w14:paraId="3C3B6E93" w14:textId="77777777" w:rsidR="00BE2C1D" w:rsidRPr="00BE2C1D" w:rsidRDefault="00BE2C1D" w:rsidP="00BE2C1D">
      <w:pPr>
        <w:spacing w:line="360" w:lineRule="auto"/>
        <w:rPr>
          <w:rFonts w:cstheme="minorHAnsi"/>
          <w:shd w:val="clear" w:color="auto" w:fill="FFFFFF"/>
        </w:rPr>
      </w:pPr>
      <w:r w:rsidRPr="00BE2C1D">
        <w:rPr>
          <w:rFonts w:cstheme="minorHAnsi"/>
          <w:shd w:val="clear" w:color="auto" w:fill="FFFFFF"/>
        </w:rPr>
        <w:t>Downie, A.B., Mulligan, J., McCaughey, E.S., Stratford, R.J., Betts, P.R. and Voss, L.D., 1996. Psychological response to growth hormone treatment in short normal children. </w:t>
      </w:r>
      <w:r w:rsidRPr="00BE2C1D">
        <w:rPr>
          <w:rFonts w:cstheme="minorHAnsi"/>
          <w:i/>
          <w:iCs/>
          <w:shd w:val="clear" w:color="auto" w:fill="FFFFFF"/>
        </w:rPr>
        <w:t>Archives of disease in childhood</w:t>
      </w:r>
      <w:r w:rsidRPr="00BE2C1D">
        <w:rPr>
          <w:rFonts w:cstheme="minorHAnsi"/>
          <w:shd w:val="clear" w:color="auto" w:fill="FFFFFF"/>
        </w:rPr>
        <w:t>. </w:t>
      </w:r>
      <w:r w:rsidRPr="00BE2C1D">
        <w:rPr>
          <w:rFonts w:cstheme="minorHAnsi"/>
          <w:b/>
          <w:bCs/>
          <w:shd w:val="clear" w:color="auto" w:fill="FFFFFF"/>
        </w:rPr>
        <w:t>75</w:t>
      </w:r>
      <w:r w:rsidRPr="00BE2C1D">
        <w:rPr>
          <w:rFonts w:cstheme="minorHAnsi"/>
          <w:shd w:val="clear" w:color="auto" w:fill="FFFFFF"/>
        </w:rPr>
        <w:t>(1), 32-35.</w:t>
      </w:r>
    </w:p>
    <w:p w14:paraId="4F0DE3E7" w14:textId="77777777" w:rsidR="00BE2C1D" w:rsidRPr="00BE2C1D" w:rsidRDefault="00BE2C1D" w:rsidP="00BE2C1D">
      <w:pPr>
        <w:spacing w:line="360" w:lineRule="auto"/>
        <w:rPr>
          <w:rFonts w:cstheme="minorHAnsi"/>
          <w:shd w:val="clear" w:color="auto" w:fill="FFFFFF"/>
        </w:rPr>
      </w:pPr>
      <w:r w:rsidRPr="00BE2C1D">
        <w:rPr>
          <w:rFonts w:cstheme="minorHAnsi"/>
          <w:shd w:val="clear" w:color="auto" w:fill="FFFFFF"/>
        </w:rPr>
        <w:t xml:space="preserve">Doyle, L.H., 2002. Leadership and inclusion: Reculturing for reform. International Journal of Educational Reform. </w:t>
      </w:r>
      <w:r w:rsidRPr="00BE2C1D">
        <w:rPr>
          <w:rFonts w:cstheme="minorHAnsi"/>
          <w:b/>
          <w:bCs/>
          <w:shd w:val="clear" w:color="auto" w:fill="FFFFFF"/>
        </w:rPr>
        <w:t>11</w:t>
      </w:r>
      <w:r w:rsidRPr="00BE2C1D">
        <w:rPr>
          <w:rFonts w:cstheme="minorHAnsi"/>
          <w:shd w:val="clear" w:color="auto" w:fill="FFFFFF"/>
        </w:rPr>
        <w:t>(1), 38-62.</w:t>
      </w:r>
    </w:p>
    <w:p w14:paraId="62ED0156" w14:textId="77777777" w:rsidR="00BE2C1D" w:rsidRPr="00BE2C1D" w:rsidRDefault="00BE2C1D" w:rsidP="00BE2C1D">
      <w:pPr>
        <w:spacing w:line="360" w:lineRule="auto"/>
        <w:rPr>
          <w:rFonts w:cstheme="minorHAnsi"/>
          <w:shd w:val="clear" w:color="auto" w:fill="FFFFFF"/>
        </w:rPr>
      </w:pPr>
      <w:r w:rsidRPr="00BE2C1D">
        <w:rPr>
          <w:rFonts w:cstheme="minorHAnsi"/>
          <w:shd w:val="clear" w:color="auto" w:fill="FFFFFF"/>
        </w:rPr>
        <w:t>Duncan, N., 2013. Using disability models to rethink bullying in schools. </w:t>
      </w:r>
      <w:r w:rsidRPr="00BE2C1D">
        <w:rPr>
          <w:rFonts w:cstheme="minorHAnsi"/>
          <w:i/>
          <w:iCs/>
          <w:shd w:val="clear" w:color="auto" w:fill="FFFFFF"/>
        </w:rPr>
        <w:t>Education, citizenship and social justice</w:t>
      </w:r>
      <w:r w:rsidRPr="00BE2C1D">
        <w:rPr>
          <w:rFonts w:cstheme="minorHAnsi"/>
          <w:shd w:val="clear" w:color="auto" w:fill="FFFFFF"/>
        </w:rPr>
        <w:t>. </w:t>
      </w:r>
      <w:r w:rsidRPr="00BE2C1D">
        <w:rPr>
          <w:rFonts w:cstheme="minorHAnsi"/>
          <w:b/>
          <w:bCs/>
          <w:shd w:val="clear" w:color="auto" w:fill="FFFFFF"/>
        </w:rPr>
        <w:t>8</w:t>
      </w:r>
      <w:r w:rsidRPr="00BE2C1D">
        <w:rPr>
          <w:rFonts w:cstheme="minorHAnsi"/>
          <w:shd w:val="clear" w:color="auto" w:fill="FFFFFF"/>
        </w:rPr>
        <w:t>(3), 254-262.</w:t>
      </w:r>
    </w:p>
    <w:p w14:paraId="39593A14" w14:textId="77777777" w:rsidR="00BE2C1D" w:rsidRPr="00BE2C1D" w:rsidRDefault="00BE2C1D" w:rsidP="00BE2C1D">
      <w:pPr>
        <w:spacing w:line="360" w:lineRule="auto"/>
        <w:jc w:val="both"/>
        <w:rPr>
          <w:rFonts w:cstheme="minorHAnsi"/>
        </w:rPr>
      </w:pPr>
      <w:r w:rsidRPr="00BE2C1D">
        <w:rPr>
          <w:rFonts w:cstheme="minorHAnsi"/>
        </w:rPr>
        <w:t xml:space="preserve">Duncombe, J. and Jessop, J., (2002). Rapport and the Ethics of “Faking Friendship”. In: M. Mauthner,  M. Birch, eds. </w:t>
      </w:r>
      <w:r w:rsidRPr="00BE2C1D">
        <w:rPr>
          <w:rFonts w:cstheme="minorHAnsi"/>
          <w:i/>
          <w:iCs/>
        </w:rPr>
        <w:t>Ethics in Qualitative Research</w:t>
      </w:r>
      <w:r w:rsidRPr="00BE2C1D">
        <w:rPr>
          <w:rFonts w:cstheme="minorHAnsi"/>
        </w:rPr>
        <w:t>. London: Sage. pp. 107-122.</w:t>
      </w:r>
    </w:p>
    <w:p w14:paraId="2F15D214" w14:textId="77777777" w:rsidR="00BE2C1D" w:rsidRPr="00BE2C1D" w:rsidRDefault="00BE2C1D" w:rsidP="00BE2C1D">
      <w:pPr>
        <w:spacing w:line="360" w:lineRule="auto"/>
        <w:rPr>
          <w:rFonts w:cstheme="minorHAnsi"/>
          <w:shd w:val="clear" w:color="auto" w:fill="FFFFFF"/>
        </w:rPr>
      </w:pPr>
      <w:r w:rsidRPr="00BE2C1D">
        <w:rPr>
          <w:rFonts w:cstheme="minorHAnsi"/>
          <w:shd w:val="clear" w:color="auto" w:fill="FFFFFF"/>
        </w:rPr>
        <w:t>Dyment, J. and O'Connell, T.S., 2013. The impact of playground design on play choices and behaviors of pre-school children. </w:t>
      </w:r>
      <w:r w:rsidRPr="00BE2C1D">
        <w:rPr>
          <w:rFonts w:cstheme="minorHAnsi"/>
          <w:i/>
          <w:iCs/>
          <w:shd w:val="clear" w:color="auto" w:fill="FFFFFF"/>
        </w:rPr>
        <w:t>Children's Geographies</w:t>
      </w:r>
      <w:r w:rsidRPr="00BE2C1D">
        <w:rPr>
          <w:rFonts w:cstheme="minorHAnsi"/>
          <w:shd w:val="clear" w:color="auto" w:fill="FFFFFF"/>
        </w:rPr>
        <w:t>. </w:t>
      </w:r>
      <w:r w:rsidRPr="00BE2C1D">
        <w:rPr>
          <w:rFonts w:cstheme="minorHAnsi"/>
          <w:b/>
          <w:bCs/>
          <w:shd w:val="clear" w:color="auto" w:fill="FFFFFF"/>
        </w:rPr>
        <w:t>11</w:t>
      </w:r>
      <w:r w:rsidRPr="00BE2C1D">
        <w:rPr>
          <w:rFonts w:cstheme="minorHAnsi"/>
          <w:shd w:val="clear" w:color="auto" w:fill="FFFFFF"/>
        </w:rPr>
        <w:t>(3), 263-280.</w:t>
      </w:r>
    </w:p>
    <w:p w14:paraId="732927AC" w14:textId="77777777" w:rsidR="00BE2C1D" w:rsidRPr="00BE2C1D" w:rsidRDefault="00BE2C1D" w:rsidP="00BE2C1D">
      <w:pPr>
        <w:spacing w:line="360" w:lineRule="auto"/>
        <w:rPr>
          <w:rFonts w:cstheme="minorHAnsi"/>
        </w:rPr>
      </w:pPr>
      <w:r w:rsidRPr="00BE2C1D">
        <w:rPr>
          <w:rFonts w:cstheme="minorHAnsi"/>
        </w:rPr>
        <w:lastRenderedPageBreak/>
        <w:t xml:space="preserve">Economic and Social Research Centre (ESRC) (2015). Framework for Research Ethics. Available at: </w:t>
      </w:r>
      <w:hyperlink r:id="rId13" w:history="1">
        <w:r w:rsidRPr="00BE2C1D">
          <w:rPr>
            <w:rFonts w:cstheme="minorHAnsi"/>
            <w:color w:val="0563C1" w:themeColor="hyperlink"/>
            <w:u w:val="single"/>
          </w:rPr>
          <w:t>https://esrc.ukri.org/files/funding/guidance-for-applicants/esrc-framework-for-research-ethics-2015/</w:t>
        </w:r>
      </w:hyperlink>
      <w:r w:rsidRPr="00BE2C1D">
        <w:rPr>
          <w:rFonts w:cstheme="minorHAnsi"/>
        </w:rPr>
        <w:t xml:space="preserve"> </w:t>
      </w:r>
    </w:p>
    <w:p w14:paraId="0CE3EC98" w14:textId="77777777" w:rsidR="00BE2C1D" w:rsidRPr="00BE2C1D" w:rsidRDefault="00BE2C1D" w:rsidP="00BE2C1D">
      <w:pPr>
        <w:spacing w:line="360" w:lineRule="auto"/>
        <w:rPr>
          <w:rFonts w:cstheme="minorHAnsi"/>
          <w:shd w:val="clear" w:color="auto" w:fill="FFFFFF"/>
        </w:rPr>
      </w:pPr>
      <w:r w:rsidRPr="00BE2C1D">
        <w:rPr>
          <w:rFonts w:cstheme="minorHAnsi"/>
          <w:shd w:val="clear" w:color="auto" w:fill="FFFFFF"/>
        </w:rPr>
        <w:t>Egilson, S.T. and Traustadottir, R., 2009. Assistance to pupils with physical disabilities in regular schools: promoting inclusion or creating dependency?. </w:t>
      </w:r>
      <w:r w:rsidRPr="00BE2C1D">
        <w:rPr>
          <w:rFonts w:cstheme="minorHAnsi"/>
          <w:i/>
          <w:iCs/>
          <w:shd w:val="clear" w:color="auto" w:fill="FFFFFF"/>
        </w:rPr>
        <w:t>European Journal of Special Needs Education</w:t>
      </w:r>
      <w:r w:rsidRPr="00BE2C1D">
        <w:rPr>
          <w:rFonts w:cstheme="minorHAnsi"/>
          <w:shd w:val="clear" w:color="auto" w:fill="FFFFFF"/>
        </w:rPr>
        <w:t>. </w:t>
      </w:r>
      <w:r w:rsidRPr="00BE2C1D">
        <w:rPr>
          <w:rFonts w:cstheme="minorHAnsi"/>
          <w:b/>
          <w:bCs/>
          <w:shd w:val="clear" w:color="auto" w:fill="FFFFFF"/>
        </w:rPr>
        <w:t>24</w:t>
      </w:r>
      <w:r w:rsidRPr="00BE2C1D">
        <w:rPr>
          <w:rFonts w:cstheme="minorHAnsi"/>
          <w:shd w:val="clear" w:color="auto" w:fill="FFFFFF"/>
        </w:rPr>
        <w:t>(1), 21-36.</w:t>
      </w:r>
    </w:p>
    <w:p w14:paraId="1EF8477B" w14:textId="77777777" w:rsidR="00BE2C1D" w:rsidRPr="00BE2C1D" w:rsidRDefault="00BE2C1D" w:rsidP="00BE2C1D">
      <w:pPr>
        <w:spacing w:line="360" w:lineRule="auto"/>
        <w:rPr>
          <w:rFonts w:cstheme="minorHAnsi"/>
          <w:shd w:val="clear" w:color="auto" w:fill="FFFFFF"/>
        </w:rPr>
      </w:pPr>
      <w:r w:rsidRPr="00BE2C1D">
        <w:rPr>
          <w:rFonts w:cstheme="minorHAnsi"/>
          <w:shd w:val="clear" w:color="auto" w:fill="FFFFFF"/>
        </w:rPr>
        <w:t>Eiholzer, U., Haverkamp, F. and Voss, L. eds., (1999). </w:t>
      </w:r>
      <w:r w:rsidRPr="00BE2C1D">
        <w:rPr>
          <w:rFonts w:cstheme="minorHAnsi"/>
          <w:i/>
          <w:iCs/>
          <w:shd w:val="clear" w:color="auto" w:fill="FFFFFF"/>
        </w:rPr>
        <w:t>Growth, stature, and psychosocial well-being</w:t>
      </w:r>
      <w:r w:rsidRPr="00BE2C1D">
        <w:rPr>
          <w:rFonts w:cstheme="minorHAnsi"/>
          <w:shd w:val="clear" w:color="auto" w:fill="FFFFFF"/>
        </w:rPr>
        <w:t>. Hogrefe &amp; Huber Pub.</w:t>
      </w:r>
    </w:p>
    <w:p w14:paraId="35DAFF5E" w14:textId="77777777" w:rsidR="00BE2C1D" w:rsidRPr="00BE2C1D" w:rsidRDefault="00BE2C1D" w:rsidP="00BE2C1D">
      <w:pPr>
        <w:spacing w:line="360" w:lineRule="auto"/>
        <w:jc w:val="both"/>
        <w:rPr>
          <w:rFonts w:cstheme="minorHAnsi"/>
          <w:lang w:eastAsia="en-GB"/>
        </w:rPr>
      </w:pPr>
      <w:r w:rsidRPr="00BE2C1D">
        <w:rPr>
          <w:rFonts w:cstheme="minorHAnsi"/>
          <w:shd w:val="clear" w:color="auto" w:fill="FFFFFF"/>
        </w:rPr>
        <w:t xml:space="preserve">Eldridge, A., 2013. Gatekeeping and drinking cultures: how do we talk about drinking?. </w:t>
      </w:r>
      <w:r w:rsidRPr="00BE2C1D">
        <w:rPr>
          <w:rFonts w:cstheme="minorHAnsi"/>
          <w:i/>
          <w:iCs/>
          <w:shd w:val="clear" w:color="auto" w:fill="FFFFFF"/>
        </w:rPr>
        <w:t>International Journal of Social Research Methodology</w:t>
      </w:r>
      <w:r w:rsidRPr="00BE2C1D">
        <w:rPr>
          <w:rFonts w:cstheme="minorHAnsi"/>
          <w:shd w:val="clear" w:color="auto" w:fill="FFFFFF"/>
        </w:rPr>
        <w:t>. </w:t>
      </w:r>
      <w:r w:rsidRPr="00BE2C1D">
        <w:rPr>
          <w:rFonts w:cstheme="minorHAnsi"/>
          <w:b/>
          <w:bCs/>
          <w:shd w:val="clear" w:color="auto" w:fill="FFFFFF"/>
        </w:rPr>
        <w:t>16</w:t>
      </w:r>
      <w:r w:rsidRPr="00BE2C1D">
        <w:rPr>
          <w:rFonts w:cstheme="minorHAnsi"/>
          <w:shd w:val="clear" w:color="auto" w:fill="FFFFFF"/>
        </w:rPr>
        <w:t>(6), 477-489.</w:t>
      </w:r>
    </w:p>
    <w:p w14:paraId="2D839024" w14:textId="77777777" w:rsidR="00BE2C1D" w:rsidRPr="00BE2C1D" w:rsidRDefault="00BE2C1D" w:rsidP="00BE2C1D">
      <w:pPr>
        <w:spacing w:line="360" w:lineRule="auto"/>
        <w:jc w:val="both"/>
        <w:rPr>
          <w:rFonts w:cstheme="minorHAnsi"/>
          <w:sz w:val="20"/>
          <w:szCs w:val="20"/>
          <w:lang w:val="en-US"/>
        </w:rPr>
      </w:pPr>
      <w:r w:rsidRPr="00BE2C1D">
        <w:rPr>
          <w:rFonts w:cstheme="minorHAnsi"/>
          <w:sz w:val="20"/>
          <w:szCs w:val="20"/>
          <w:lang w:val="en-US"/>
        </w:rPr>
        <w:t xml:space="preserve">Ellingson, L. (2006). Embodied Knowledge: Writing Researchers’ Bodies Into Qualitative Health Research. </w:t>
      </w:r>
      <w:r w:rsidRPr="00BE2C1D">
        <w:rPr>
          <w:rFonts w:cstheme="minorHAnsi"/>
          <w:i/>
          <w:iCs/>
          <w:sz w:val="20"/>
          <w:szCs w:val="20"/>
          <w:lang w:val="en-US"/>
        </w:rPr>
        <w:t>Qualitative Health Research</w:t>
      </w:r>
      <w:r w:rsidRPr="00BE2C1D">
        <w:rPr>
          <w:rFonts w:cstheme="minorHAnsi"/>
          <w:sz w:val="20"/>
          <w:szCs w:val="20"/>
          <w:lang w:val="en-US"/>
        </w:rPr>
        <w:t xml:space="preserve">. </w:t>
      </w:r>
      <w:r w:rsidRPr="00BE2C1D">
        <w:rPr>
          <w:rFonts w:cstheme="minorHAnsi"/>
          <w:b/>
          <w:bCs/>
          <w:sz w:val="20"/>
          <w:szCs w:val="20"/>
          <w:lang w:val="en-US"/>
        </w:rPr>
        <w:t>16</w:t>
      </w:r>
      <w:r w:rsidRPr="00BE2C1D">
        <w:rPr>
          <w:rFonts w:cstheme="minorHAnsi"/>
          <w:sz w:val="20"/>
          <w:szCs w:val="20"/>
          <w:lang w:val="en-US"/>
        </w:rPr>
        <w:t>(2), 298–310.</w:t>
      </w:r>
    </w:p>
    <w:p w14:paraId="2B3D8A7F" w14:textId="77777777" w:rsidR="00BE2C1D" w:rsidRPr="00BE2C1D" w:rsidRDefault="00BE2C1D" w:rsidP="00BE2C1D">
      <w:pPr>
        <w:spacing w:line="360" w:lineRule="auto"/>
        <w:jc w:val="both"/>
        <w:rPr>
          <w:rFonts w:cstheme="minorHAnsi"/>
          <w:lang w:eastAsia="en-GB"/>
        </w:rPr>
      </w:pPr>
      <w:r w:rsidRPr="00BE2C1D">
        <w:rPr>
          <w:rFonts w:cstheme="minorHAnsi"/>
          <w:shd w:val="clear" w:color="auto" w:fill="FFFFFF"/>
        </w:rPr>
        <w:t>Ellingson, L., (2017). </w:t>
      </w:r>
      <w:r w:rsidRPr="00BE2C1D">
        <w:rPr>
          <w:rFonts w:cstheme="minorHAnsi"/>
          <w:i/>
          <w:iCs/>
          <w:shd w:val="clear" w:color="auto" w:fill="FFFFFF"/>
        </w:rPr>
        <w:t>Embodiment in qualitative research</w:t>
      </w:r>
      <w:r w:rsidRPr="00BE2C1D">
        <w:rPr>
          <w:rFonts w:cstheme="minorHAnsi"/>
          <w:shd w:val="clear" w:color="auto" w:fill="FFFFFF"/>
        </w:rPr>
        <w:t>. Oxon: Routledge.</w:t>
      </w:r>
    </w:p>
    <w:p w14:paraId="72F706AC" w14:textId="77777777" w:rsidR="00BE2C1D" w:rsidRPr="00BE2C1D" w:rsidRDefault="00BE2C1D" w:rsidP="00BE2C1D">
      <w:pPr>
        <w:spacing w:line="360" w:lineRule="auto"/>
        <w:rPr>
          <w:rFonts w:cstheme="minorHAnsi"/>
          <w:shd w:val="clear" w:color="auto" w:fill="FFFFFF"/>
        </w:rPr>
      </w:pPr>
      <w:r w:rsidRPr="00BE2C1D">
        <w:rPr>
          <w:rFonts w:cstheme="minorHAnsi"/>
        </w:rPr>
        <w:t>Ellis, K., Garland-Thomson, R., Kent, M. and Robertson, R., (2019). </w:t>
      </w:r>
      <w:r w:rsidRPr="00BE2C1D">
        <w:rPr>
          <w:rFonts w:cstheme="minorHAnsi"/>
          <w:i/>
          <w:iCs/>
        </w:rPr>
        <w:t>Manifestos for the Future of Critical Disability Studies</w:t>
      </w:r>
      <w:r w:rsidRPr="00BE2C1D">
        <w:rPr>
          <w:rFonts w:cstheme="minorHAnsi"/>
        </w:rPr>
        <w:t>. Oxon: Routledge.</w:t>
      </w:r>
    </w:p>
    <w:p w14:paraId="09C7DAD7" w14:textId="77777777" w:rsidR="00BE2C1D" w:rsidRPr="00BE2C1D" w:rsidRDefault="00BE2C1D" w:rsidP="00BE2C1D">
      <w:pPr>
        <w:spacing w:line="360" w:lineRule="auto"/>
        <w:rPr>
          <w:rFonts w:cstheme="minorHAnsi"/>
          <w:shd w:val="clear" w:color="auto" w:fill="FFFFFF"/>
        </w:rPr>
      </w:pPr>
      <w:r w:rsidRPr="00BE2C1D">
        <w:rPr>
          <w:rFonts w:cstheme="minorHAnsi"/>
          <w:shd w:val="clear" w:color="auto" w:fill="FFFFFF"/>
        </w:rPr>
        <w:t>Ellis, L., 2018. Through a filtered lens: unauthorized picture-taking of people with dwarfism in public spaces. </w:t>
      </w:r>
      <w:r w:rsidRPr="00BE2C1D">
        <w:rPr>
          <w:rFonts w:cstheme="minorHAnsi"/>
          <w:i/>
          <w:iCs/>
          <w:shd w:val="clear" w:color="auto" w:fill="FFFFFF"/>
        </w:rPr>
        <w:t>Disability &amp; Society</w:t>
      </w:r>
      <w:r w:rsidRPr="00BE2C1D">
        <w:rPr>
          <w:rFonts w:cstheme="minorHAnsi"/>
          <w:shd w:val="clear" w:color="auto" w:fill="FFFFFF"/>
        </w:rPr>
        <w:t>. </w:t>
      </w:r>
      <w:r w:rsidRPr="00BE2C1D">
        <w:rPr>
          <w:rFonts w:cstheme="minorHAnsi"/>
          <w:b/>
          <w:bCs/>
          <w:shd w:val="clear" w:color="auto" w:fill="FFFFFF"/>
        </w:rPr>
        <w:t>33</w:t>
      </w:r>
      <w:r w:rsidRPr="00BE2C1D">
        <w:rPr>
          <w:rFonts w:cstheme="minorHAnsi"/>
          <w:shd w:val="clear" w:color="auto" w:fill="FFFFFF"/>
        </w:rPr>
        <w:t>(2), 218-237.</w:t>
      </w:r>
    </w:p>
    <w:p w14:paraId="53232260" w14:textId="77777777" w:rsidR="00BE2C1D" w:rsidRPr="00BE2C1D" w:rsidRDefault="00BE2C1D" w:rsidP="00BE2C1D">
      <w:pPr>
        <w:spacing w:line="360" w:lineRule="auto"/>
        <w:jc w:val="both"/>
        <w:rPr>
          <w:rFonts w:cstheme="minorHAnsi"/>
          <w:lang w:val="en-US"/>
        </w:rPr>
      </w:pPr>
      <w:r w:rsidRPr="00BE2C1D">
        <w:rPr>
          <w:rFonts w:cstheme="minorHAnsi"/>
          <w:lang w:val="en-US"/>
        </w:rPr>
        <w:t xml:space="preserve">Engelsrud, G., 2005. The Lived Body as Experience and Perspective: Methodological Challenges. </w:t>
      </w:r>
      <w:r w:rsidRPr="00BE2C1D">
        <w:rPr>
          <w:rFonts w:cstheme="minorHAnsi"/>
          <w:i/>
          <w:iCs/>
          <w:lang w:val="en-US"/>
        </w:rPr>
        <w:t>Qualitative Research.</w:t>
      </w:r>
      <w:r w:rsidRPr="00BE2C1D">
        <w:rPr>
          <w:rFonts w:cstheme="minorHAnsi"/>
          <w:lang w:val="en-US"/>
        </w:rPr>
        <w:t xml:space="preserve"> </w:t>
      </w:r>
      <w:r w:rsidRPr="00BE2C1D">
        <w:rPr>
          <w:rFonts w:cstheme="minorHAnsi"/>
          <w:b/>
          <w:bCs/>
          <w:lang w:val="en-US"/>
        </w:rPr>
        <w:t>5</w:t>
      </w:r>
      <w:r w:rsidRPr="00BE2C1D">
        <w:rPr>
          <w:rFonts w:cstheme="minorHAnsi"/>
          <w:lang w:val="en-US"/>
        </w:rPr>
        <w:t>(3), 267–284.</w:t>
      </w:r>
    </w:p>
    <w:p w14:paraId="05EAA687" w14:textId="77777777" w:rsidR="00BE2C1D" w:rsidRPr="00BE2C1D" w:rsidRDefault="00BE2C1D" w:rsidP="00BE2C1D">
      <w:pPr>
        <w:spacing w:line="360" w:lineRule="auto"/>
        <w:rPr>
          <w:rFonts w:cstheme="minorHAnsi"/>
          <w:shd w:val="clear" w:color="auto" w:fill="FFFFFF"/>
        </w:rPr>
      </w:pPr>
      <w:r w:rsidRPr="00BE2C1D">
        <w:rPr>
          <w:rFonts w:cstheme="minorHAnsi"/>
          <w:shd w:val="clear" w:color="auto" w:fill="FFFFFF"/>
        </w:rPr>
        <w:t>Epstein, D., Kehily, M., Mac An Ghaill, M. and Redman, P., 2001. Boys and girls come out to play: Making masculinities and femininities in school playgrounds. </w:t>
      </w:r>
      <w:r w:rsidRPr="00BE2C1D">
        <w:rPr>
          <w:rFonts w:cstheme="minorHAnsi"/>
          <w:i/>
          <w:iCs/>
          <w:shd w:val="clear" w:color="auto" w:fill="FFFFFF"/>
        </w:rPr>
        <w:t>Men and masculinities</w:t>
      </w:r>
      <w:r w:rsidRPr="00BE2C1D">
        <w:rPr>
          <w:rFonts w:cstheme="minorHAnsi"/>
          <w:shd w:val="clear" w:color="auto" w:fill="FFFFFF"/>
        </w:rPr>
        <w:t>, </w:t>
      </w:r>
      <w:r w:rsidRPr="00BE2C1D">
        <w:rPr>
          <w:rFonts w:cstheme="minorHAnsi"/>
          <w:b/>
          <w:bCs/>
          <w:shd w:val="clear" w:color="auto" w:fill="FFFFFF"/>
        </w:rPr>
        <w:t>4</w:t>
      </w:r>
      <w:r w:rsidRPr="00BE2C1D">
        <w:rPr>
          <w:rFonts w:cstheme="minorHAnsi"/>
          <w:shd w:val="clear" w:color="auto" w:fill="FFFFFF"/>
        </w:rPr>
        <w:t>(2), 158-172.</w:t>
      </w:r>
    </w:p>
    <w:p w14:paraId="160340DE" w14:textId="77777777" w:rsidR="00BE2C1D" w:rsidRPr="00BE2C1D" w:rsidRDefault="00BE2C1D" w:rsidP="00BE2C1D">
      <w:pPr>
        <w:spacing w:line="360" w:lineRule="auto"/>
        <w:rPr>
          <w:rFonts w:cstheme="minorHAnsi"/>
        </w:rPr>
      </w:pPr>
      <w:r w:rsidRPr="00BE2C1D">
        <w:rPr>
          <w:rFonts w:cstheme="minorHAnsi"/>
        </w:rPr>
        <w:t xml:space="preserve">Equality and Human Rights Commission (2017). Being Disabled In Britain 2016: A Journey Less Equal. Available at: </w:t>
      </w:r>
      <w:hyperlink r:id="rId14" w:history="1">
        <w:r w:rsidRPr="00BE2C1D">
          <w:rPr>
            <w:rFonts w:cstheme="minorHAnsi"/>
            <w:color w:val="0563C1" w:themeColor="hyperlink"/>
            <w:u w:val="single"/>
          </w:rPr>
          <w:t>https://www.equalityhumanrights.com/en/publication-download/being-disabled-britain-journey-less-equal</w:t>
        </w:r>
      </w:hyperlink>
      <w:r w:rsidRPr="00BE2C1D">
        <w:rPr>
          <w:rFonts w:cstheme="minorHAnsi"/>
        </w:rPr>
        <w:t xml:space="preserve"> </w:t>
      </w:r>
    </w:p>
    <w:p w14:paraId="15DC447E" w14:textId="77777777" w:rsidR="00BE2C1D" w:rsidRPr="00BE2C1D" w:rsidRDefault="00BE2C1D" w:rsidP="00BE2C1D">
      <w:pPr>
        <w:spacing w:line="360" w:lineRule="auto"/>
        <w:rPr>
          <w:rFonts w:cstheme="minorHAnsi"/>
        </w:rPr>
      </w:pPr>
      <w:r w:rsidRPr="00BE2C1D">
        <w:rPr>
          <w:rFonts w:cstheme="minorHAnsi"/>
        </w:rPr>
        <w:t xml:space="preserve">Equality and Human Rights Commission (2018). Is Britain fairer? Available at: </w:t>
      </w:r>
      <w:hyperlink r:id="rId15" w:history="1">
        <w:r w:rsidRPr="00BE2C1D">
          <w:rPr>
            <w:rFonts w:cstheme="minorHAnsi"/>
            <w:color w:val="0563C1" w:themeColor="hyperlink"/>
            <w:u w:val="single"/>
          </w:rPr>
          <w:t>https://www.equalityhumanrights.com/en/publication-download/britain-fairer-2018</w:t>
        </w:r>
      </w:hyperlink>
      <w:r w:rsidRPr="00BE2C1D">
        <w:rPr>
          <w:rFonts w:cstheme="minorHAnsi"/>
        </w:rPr>
        <w:t xml:space="preserve"> </w:t>
      </w:r>
    </w:p>
    <w:p w14:paraId="3E3C3FF5" w14:textId="77777777" w:rsidR="00BE2C1D" w:rsidRPr="00BE2C1D" w:rsidRDefault="00BE2C1D" w:rsidP="00BE2C1D">
      <w:pPr>
        <w:spacing w:line="360" w:lineRule="auto"/>
        <w:rPr>
          <w:rFonts w:cstheme="minorHAnsi"/>
          <w:shd w:val="clear" w:color="auto" w:fill="FFFFFF"/>
        </w:rPr>
      </w:pPr>
      <w:r w:rsidRPr="00BE2C1D">
        <w:rPr>
          <w:rFonts w:cstheme="minorHAnsi"/>
          <w:shd w:val="clear" w:color="auto" w:fill="FFFFFF"/>
        </w:rPr>
        <w:t>Erevelles, N., 2000. Educating unruly bodies: Critical pedagogy, disability studies, and the politics of schooling. </w:t>
      </w:r>
      <w:r w:rsidRPr="00BE2C1D">
        <w:rPr>
          <w:rFonts w:cstheme="minorHAnsi"/>
          <w:i/>
          <w:iCs/>
          <w:shd w:val="clear" w:color="auto" w:fill="FFFFFF"/>
        </w:rPr>
        <w:t>Educational theory</w:t>
      </w:r>
      <w:r w:rsidRPr="00BE2C1D">
        <w:rPr>
          <w:rFonts w:cstheme="minorHAnsi"/>
          <w:shd w:val="clear" w:color="auto" w:fill="FFFFFF"/>
        </w:rPr>
        <w:t>. </w:t>
      </w:r>
      <w:r w:rsidRPr="00BE2C1D">
        <w:rPr>
          <w:rFonts w:cstheme="minorHAnsi"/>
          <w:b/>
          <w:bCs/>
          <w:shd w:val="clear" w:color="auto" w:fill="FFFFFF"/>
        </w:rPr>
        <w:t>50</w:t>
      </w:r>
      <w:r w:rsidRPr="00BE2C1D">
        <w:rPr>
          <w:rFonts w:cstheme="minorHAnsi"/>
          <w:shd w:val="clear" w:color="auto" w:fill="FFFFFF"/>
        </w:rPr>
        <w:t>(1), 25-47.</w:t>
      </w:r>
    </w:p>
    <w:p w14:paraId="286E7DF6" w14:textId="77777777" w:rsidR="00BE2C1D" w:rsidRPr="00BE2C1D" w:rsidRDefault="00BE2C1D" w:rsidP="00BE2C1D">
      <w:pPr>
        <w:spacing w:line="360" w:lineRule="auto"/>
        <w:rPr>
          <w:rFonts w:cstheme="minorHAnsi"/>
          <w:shd w:val="clear" w:color="auto" w:fill="FFFFFF"/>
        </w:rPr>
      </w:pPr>
      <w:r w:rsidRPr="00BE2C1D">
        <w:rPr>
          <w:rFonts w:cstheme="minorHAnsi"/>
          <w:shd w:val="clear" w:color="auto" w:fill="FFFFFF"/>
        </w:rPr>
        <w:t>Erevelles, N., 2011.  Coming Out “Crip" in Inclusive Education. </w:t>
      </w:r>
      <w:r w:rsidRPr="00BE2C1D">
        <w:rPr>
          <w:rFonts w:cstheme="minorHAnsi"/>
          <w:i/>
          <w:iCs/>
          <w:shd w:val="clear" w:color="auto" w:fill="FFFFFF"/>
        </w:rPr>
        <w:t>Teachers College Record</w:t>
      </w:r>
      <w:r w:rsidRPr="00BE2C1D">
        <w:rPr>
          <w:rFonts w:cstheme="minorHAnsi"/>
          <w:shd w:val="clear" w:color="auto" w:fill="FFFFFF"/>
        </w:rPr>
        <w:t>. </w:t>
      </w:r>
      <w:r w:rsidRPr="00BE2C1D">
        <w:rPr>
          <w:rFonts w:cstheme="minorHAnsi"/>
          <w:b/>
          <w:bCs/>
          <w:shd w:val="clear" w:color="auto" w:fill="FFFFFF"/>
        </w:rPr>
        <w:t>113</w:t>
      </w:r>
      <w:r w:rsidRPr="00BE2C1D">
        <w:rPr>
          <w:rFonts w:cstheme="minorHAnsi"/>
          <w:shd w:val="clear" w:color="auto" w:fill="FFFFFF"/>
        </w:rPr>
        <w:t>(10), 2155-2185.</w:t>
      </w:r>
    </w:p>
    <w:p w14:paraId="31E305AF" w14:textId="77777777" w:rsidR="00BE2C1D" w:rsidRPr="00BE2C1D" w:rsidRDefault="00BE2C1D" w:rsidP="00BE2C1D">
      <w:pPr>
        <w:spacing w:line="360" w:lineRule="auto"/>
        <w:rPr>
          <w:rFonts w:cstheme="minorHAnsi"/>
          <w:shd w:val="clear" w:color="auto" w:fill="FFFFFF"/>
        </w:rPr>
      </w:pPr>
      <w:r w:rsidRPr="00BE2C1D">
        <w:rPr>
          <w:rFonts w:cstheme="minorHAnsi"/>
          <w:shd w:val="clear" w:color="auto" w:fill="FFFFFF"/>
        </w:rPr>
        <w:lastRenderedPageBreak/>
        <w:t>Eriksen, I.M., 2018. The power of the word: students’ and school staff’s use of the established bullying definition. </w:t>
      </w:r>
      <w:r w:rsidRPr="00BE2C1D">
        <w:rPr>
          <w:rFonts w:cstheme="minorHAnsi"/>
          <w:i/>
          <w:iCs/>
          <w:shd w:val="clear" w:color="auto" w:fill="FFFFFF"/>
        </w:rPr>
        <w:t>Educational Research</w:t>
      </w:r>
      <w:r w:rsidRPr="00BE2C1D">
        <w:rPr>
          <w:rFonts w:cstheme="minorHAnsi"/>
          <w:shd w:val="clear" w:color="auto" w:fill="FFFFFF"/>
        </w:rPr>
        <w:t>. </w:t>
      </w:r>
      <w:r w:rsidRPr="00BE2C1D">
        <w:rPr>
          <w:rFonts w:cstheme="minorHAnsi"/>
          <w:b/>
          <w:bCs/>
          <w:shd w:val="clear" w:color="auto" w:fill="FFFFFF"/>
        </w:rPr>
        <w:t>60</w:t>
      </w:r>
      <w:r w:rsidRPr="00BE2C1D">
        <w:rPr>
          <w:rFonts w:cstheme="minorHAnsi"/>
          <w:shd w:val="clear" w:color="auto" w:fill="FFFFFF"/>
        </w:rPr>
        <w:t>(2), 157-170.</w:t>
      </w:r>
    </w:p>
    <w:p w14:paraId="6D5DD0B4" w14:textId="77777777" w:rsidR="00BE2C1D" w:rsidRPr="00BE2C1D" w:rsidRDefault="00BE2C1D" w:rsidP="00BE2C1D">
      <w:pPr>
        <w:spacing w:line="360" w:lineRule="auto"/>
        <w:rPr>
          <w:rFonts w:cstheme="minorHAnsi"/>
          <w:shd w:val="clear" w:color="auto" w:fill="FFFFFF"/>
        </w:rPr>
      </w:pPr>
      <w:r w:rsidRPr="00BE2C1D">
        <w:rPr>
          <w:rFonts w:cstheme="minorHAnsi"/>
          <w:shd w:val="clear" w:color="auto" w:fill="FFFFFF"/>
        </w:rPr>
        <w:t>Espelage, D.L., Rose, C.A. and Polanin, J. R., 2015. Social-emotional learning program to reduce bullying, fighting, and victimization among middle school students with disabilities. </w:t>
      </w:r>
      <w:r w:rsidRPr="00BE2C1D">
        <w:rPr>
          <w:rFonts w:cstheme="minorHAnsi"/>
          <w:i/>
          <w:iCs/>
          <w:shd w:val="clear" w:color="auto" w:fill="FFFFFF"/>
        </w:rPr>
        <w:t>Remedial and special education</w:t>
      </w:r>
      <w:r w:rsidRPr="00BE2C1D">
        <w:rPr>
          <w:rFonts w:cstheme="minorHAnsi"/>
          <w:shd w:val="clear" w:color="auto" w:fill="FFFFFF"/>
        </w:rPr>
        <w:t>. </w:t>
      </w:r>
      <w:r w:rsidRPr="00BE2C1D">
        <w:rPr>
          <w:rFonts w:cstheme="minorHAnsi"/>
          <w:b/>
          <w:bCs/>
          <w:shd w:val="clear" w:color="auto" w:fill="FFFFFF"/>
        </w:rPr>
        <w:t>36</w:t>
      </w:r>
      <w:r w:rsidRPr="00BE2C1D">
        <w:rPr>
          <w:rFonts w:cstheme="minorHAnsi"/>
          <w:shd w:val="clear" w:color="auto" w:fill="FFFFFF"/>
        </w:rPr>
        <w:t>(5), 299-311.</w:t>
      </w:r>
    </w:p>
    <w:p w14:paraId="431C8A31" w14:textId="77777777" w:rsidR="00BE2C1D" w:rsidRPr="00BE2C1D" w:rsidRDefault="00BE2C1D" w:rsidP="00BE2C1D">
      <w:pPr>
        <w:spacing w:line="360" w:lineRule="auto"/>
        <w:rPr>
          <w:rFonts w:cstheme="minorHAnsi"/>
          <w:shd w:val="clear" w:color="auto" w:fill="FFFFFF"/>
        </w:rPr>
      </w:pPr>
      <w:r w:rsidRPr="00BE2C1D">
        <w:rPr>
          <w:rFonts w:cstheme="minorHAnsi"/>
          <w:shd w:val="clear" w:color="auto" w:fill="FFFFFF"/>
        </w:rPr>
        <w:t>Evans, J., 2004. Making a difference? Education and ‘Ability’ in physical education. </w:t>
      </w:r>
      <w:r w:rsidRPr="00BE2C1D">
        <w:rPr>
          <w:rFonts w:cstheme="minorHAnsi"/>
          <w:i/>
          <w:iCs/>
          <w:shd w:val="clear" w:color="auto" w:fill="FFFFFF"/>
        </w:rPr>
        <w:t>European physical education review</w:t>
      </w:r>
      <w:r w:rsidRPr="00BE2C1D">
        <w:rPr>
          <w:rFonts w:cstheme="minorHAnsi"/>
          <w:shd w:val="clear" w:color="auto" w:fill="FFFFFF"/>
        </w:rPr>
        <w:t>. </w:t>
      </w:r>
      <w:r w:rsidRPr="00BE2C1D">
        <w:rPr>
          <w:rFonts w:cstheme="minorHAnsi"/>
          <w:b/>
          <w:bCs/>
          <w:shd w:val="clear" w:color="auto" w:fill="FFFFFF"/>
        </w:rPr>
        <w:t>10</w:t>
      </w:r>
      <w:r w:rsidRPr="00BE2C1D">
        <w:rPr>
          <w:rFonts w:cstheme="minorHAnsi"/>
          <w:shd w:val="clear" w:color="auto" w:fill="FFFFFF"/>
        </w:rPr>
        <w:t>(1), 95-108.</w:t>
      </w:r>
    </w:p>
    <w:p w14:paraId="38EE5CEF" w14:textId="77777777" w:rsidR="00BE2C1D" w:rsidRPr="00BE2C1D" w:rsidRDefault="00BE2C1D" w:rsidP="00BE2C1D">
      <w:pPr>
        <w:spacing w:line="360" w:lineRule="auto"/>
        <w:rPr>
          <w:rFonts w:cstheme="minorHAnsi"/>
          <w:shd w:val="clear" w:color="auto" w:fill="FFFFFF"/>
        </w:rPr>
      </w:pPr>
      <w:r w:rsidRPr="00BE2C1D">
        <w:rPr>
          <w:rFonts w:cstheme="minorHAnsi"/>
          <w:shd w:val="clear" w:color="auto" w:fill="FFFFFF"/>
        </w:rPr>
        <w:t>Evans, J., Rich, E., Allwood, R. and Davies, B., (2007). Being ‘able’in a performative culture: Physical education’s contribution to a healthy interest in sport?. In: I. Wellard, ed.  </w:t>
      </w:r>
      <w:r w:rsidRPr="00BE2C1D">
        <w:rPr>
          <w:rFonts w:cstheme="minorHAnsi"/>
          <w:i/>
          <w:iCs/>
          <w:shd w:val="clear" w:color="auto" w:fill="FFFFFF"/>
        </w:rPr>
        <w:t>Rethinking gender and youth sport</w:t>
      </w:r>
      <w:r w:rsidRPr="00BE2C1D">
        <w:rPr>
          <w:rFonts w:cstheme="minorHAnsi"/>
          <w:shd w:val="clear" w:color="auto" w:fill="FFFFFF"/>
        </w:rPr>
        <w:t>. London: Routledge. pp.67-83.</w:t>
      </w:r>
    </w:p>
    <w:p w14:paraId="2B6FFC37" w14:textId="77777777" w:rsidR="00BE2C1D" w:rsidRPr="00BE2C1D" w:rsidRDefault="00BE2C1D" w:rsidP="00BE2C1D">
      <w:pPr>
        <w:spacing w:line="360" w:lineRule="auto"/>
        <w:rPr>
          <w:rFonts w:cstheme="minorHAnsi"/>
          <w:shd w:val="clear" w:color="auto" w:fill="FFFFFF"/>
        </w:rPr>
      </w:pPr>
      <w:r w:rsidRPr="00BE2C1D">
        <w:rPr>
          <w:rFonts w:cstheme="minorHAnsi"/>
          <w:shd w:val="clear" w:color="auto" w:fill="FFFFFF"/>
        </w:rPr>
        <w:t>Eyres, I., Cable, C., Hancock, R. and Turner, J., 2004. ‘Whoops, I forgot David’: children's perceptions of the adults who work in their classrooms. </w:t>
      </w:r>
      <w:r w:rsidRPr="00BE2C1D">
        <w:rPr>
          <w:rFonts w:cstheme="minorHAnsi"/>
          <w:i/>
          <w:iCs/>
          <w:shd w:val="clear" w:color="auto" w:fill="FFFFFF"/>
        </w:rPr>
        <w:t>Early Years</w:t>
      </w:r>
      <w:r w:rsidRPr="00BE2C1D">
        <w:rPr>
          <w:rFonts w:cstheme="minorHAnsi"/>
          <w:shd w:val="clear" w:color="auto" w:fill="FFFFFF"/>
        </w:rPr>
        <w:t>. </w:t>
      </w:r>
      <w:r w:rsidRPr="00BE2C1D">
        <w:rPr>
          <w:rFonts w:cstheme="minorHAnsi"/>
          <w:b/>
          <w:bCs/>
          <w:shd w:val="clear" w:color="auto" w:fill="FFFFFF"/>
        </w:rPr>
        <w:t>24</w:t>
      </w:r>
      <w:r w:rsidRPr="00BE2C1D">
        <w:rPr>
          <w:rFonts w:cstheme="minorHAnsi"/>
          <w:shd w:val="clear" w:color="auto" w:fill="FFFFFF"/>
        </w:rPr>
        <w:t>(2),149-162.</w:t>
      </w:r>
    </w:p>
    <w:p w14:paraId="022B9716" w14:textId="77777777" w:rsidR="00BE2C1D" w:rsidRPr="00BE2C1D" w:rsidRDefault="00BE2C1D" w:rsidP="00BE2C1D">
      <w:pPr>
        <w:spacing w:line="360" w:lineRule="auto"/>
        <w:rPr>
          <w:rFonts w:cstheme="minorHAnsi"/>
        </w:rPr>
      </w:pPr>
      <w:r w:rsidRPr="00BE2C1D">
        <w:rPr>
          <w:rFonts w:cstheme="minorHAnsi"/>
        </w:rPr>
        <w:t>Farrell, P., Balshaw, M. and Polat, F. 2000. The work of learning support assistants in mainstream schools: Implications for educational psychologists. </w:t>
      </w:r>
      <w:r w:rsidRPr="00BE2C1D">
        <w:rPr>
          <w:rFonts w:cstheme="minorHAnsi"/>
          <w:i/>
          <w:iCs/>
        </w:rPr>
        <w:t>Educational and Child Psychology</w:t>
      </w:r>
      <w:r w:rsidRPr="00BE2C1D">
        <w:rPr>
          <w:rFonts w:cstheme="minorHAnsi"/>
        </w:rPr>
        <w:t>, 17(2): 66–76 (double check Farrell et al. 2000)</w:t>
      </w:r>
    </w:p>
    <w:p w14:paraId="5D4FD6F2" w14:textId="77777777" w:rsidR="00BE2C1D" w:rsidRPr="00BE2C1D" w:rsidRDefault="00BE2C1D" w:rsidP="00BE2C1D">
      <w:pPr>
        <w:spacing w:line="360" w:lineRule="auto"/>
        <w:rPr>
          <w:rFonts w:cstheme="minorHAnsi"/>
        </w:rPr>
      </w:pPr>
      <w:r w:rsidRPr="00BE2C1D">
        <w:rPr>
          <w:rFonts w:cstheme="minorHAnsi"/>
          <w:shd w:val="clear" w:color="auto" w:fill="FFFFFF"/>
        </w:rPr>
        <w:t>Farrell, P., Alborz, A., Howes, A. and Pearson, D., 2010. The impact of teaching assistants on improving pupils’ academic achievement in mainstream schools: A review of the literature. </w:t>
      </w:r>
      <w:r w:rsidRPr="00BE2C1D">
        <w:rPr>
          <w:rFonts w:cstheme="minorHAnsi"/>
          <w:i/>
          <w:iCs/>
          <w:shd w:val="clear" w:color="auto" w:fill="FFFFFF"/>
        </w:rPr>
        <w:t>Educational review</w:t>
      </w:r>
      <w:r w:rsidRPr="00BE2C1D">
        <w:rPr>
          <w:rFonts w:cstheme="minorHAnsi"/>
          <w:shd w:val="clear" w:color="auto" w:fill="FFFFFF"/>
        </w:rPr>
        <w:t>. </w:t>
      </w:r>
      <w:r w:rsidRPr="00BE2C1D">
        <w:rPr>
          <w:rFonts w:cstheme="minorHAnsi"/>
          <w:b/>
          <w:bCs/>
          <w:shd w:val="clear" w:color="auto" w:fill="FFFFFF"/>
        </w:rPr>
        <w:t>62</w:t>
      </w:r>
      <w:r w:rsidRPr="00BE2C1D">
        <w:rPr>
          <w:rFonts w:cstheme="minorHAnsi"/>
          <w:shd w:val="clear" w:color="auto" w:fill="FFFFFF"/>
        </w:rPr>
        <w:t>(4), 435-448.</w:t>
      </w:r>
    </w:p>
    <w:p w14:paraId="5AF5E558" w14:textId="77777777" w:rsidR="00BE2C1D" w:rsidRPr="00BE2C1D" w:rsidRDefault="00BE2C1D" w:rsidP="00BE2C1D">
      <w:pPr>
        <w:spacing w:line="360" w:lineRule="auto"/>
        <w:rPr>
          <w:rFonts w:cstheme="minorHAnsi"/>
          <w:shd w:val="clear" w:color="auto" w:fill="FFFFFF"/>
        </w:rPr>
      </w:pPr>
      <w:r w:rsidRPr="00BE2C1D">
        <w:rPr>
          <w:rFonts w:cstheme="minorHAnsi"/>
          <w:shd w:val="clear" w:color="auto" w:fill="FFFFFF"/>
        </w:rPr>
        <w:t>Feely, M., 2016. Disability studies after the ontological turn: a return to the material world and material bodies without a return to essentialism. </w:t>
      </w:r>
      <w:r w:rsidRPr="00BE2C1D">
        <w:rPr>
          <w:rFonts w:cstheme="minorHAnsi"/>
          <w:i/>
          <w:iCs/>
          <w:shd w:val="clear" w:color="auto" w:fill="FFFFFF"/>
        </w:rPr>
        <w:t>Disability &amp; Society</w:t>
      </w:r>
      <w:r w:rsidRPr="00BE2C1D">
        <w:rPr>
          <w:rFonts w:cstheme="minorHAnsi"/>
          <w:shd w:val="clear" w:color="auto" w:fill="FFFFFF"/>
        </w:rPr>
        <w:t>. </w:t>
      </w:r>
      <w:r w:rsidRPr="00BE2C1D">
        <w:rPr>
          <w:rFonts w:cstheme="minorHAnsi"/>
          <w:b/>
          <w:bCs/>
          <w:shd w:val="clear" w:color="auto" w:fill="FFFFFF"/>
        </w:rPr>
        <w:t>31</w:t>
      </w:r>
      <w:r w:rsidRPr="00BE2C1D">
        <w:rPr>
          <w:rFonts w:cstheme="minorHAnsi"/>
          <w:shd w:val="clear" w:color="auto" w:fill="FFFFFF"/>
        </w:rPr>
        <w:t>(7), 863-883.</w:t>
      </w:r>
    </w:p>
    <w:p w14:paraId="266C533C" w14:textId="77777777" w:rsidR="00BE2C1D" w:rsidRPr="00BE2C1D" w:rsidRDefault="00BE2C1D" w:rsidP="00BE2C1D">
      <w:pPr>
        <w:spacing w:line="360" w:lineRule="auto"/>
        <w:rPr>
          <w:rFonts w:cstheme="minorHAnsi"/>
          <w:shd w:val="clear" w:color="auto" w:fill="FFFFFF"/>
        </w:rPr>
      </w:pPr>
      <w:r w:rsidRPr="00BE2C1D">
        <w:rPr>
          <w:rFonts w:cstheme="minorHAnsi"/>
          <w:shd w:val="clear" w:color="auto" w:fill="FFFFFF"/>
        </w:rPr>
        <w:t>Feely, M., 2019. Assemblage analysis: an experimental new-materialist method for analysing narrative data. </w:t>
      </w:r>
      <w:r w:rsidRPr="00BE2C1D">
        <w:rPr>
          <w:rFonts w:cstheme="minorHAnsi"/>
          <w:i/>
          <w:iCs/>
          <w:shd w:val="clear" w:color="auto" w:fill="FFFFFF"/>
        </w:rPr>
        <w:t>Qualitative Research</w:t>
      </w:r>
      <w:r w:rsidRPr="00BE2C1D">
        <w:rPr>
          <w:rFonts w:cstheme="minorHAnsi"/>
          <w:shd w:val="clear" w:color="auto" w:fill="FFFFFF"/>
        </w:rPr>
        <w:t>.  1-20.</w:t>
      </w:r>
    </w:p>
    <w:p w14:paraId="24C1FEB6" w14:textId="77777777" w:rsidR="00BE2C1D" w:rsidRPr="00BE2C1D" w:rsidRDefault="00BE2C1D" w:rsidP="00BE2C1D">
      <w:pPr>
        <w:spacing w:line="360" w:lineRule="auto"/>
        <w:rPr>
          <w:rFonts w:cstheme="minorHAnsi"/>
          <w:shd w:val="clear" w:color="auto" w:fill="FFFFFF"/>
        </w:rPr>
      </w:pPr>
      <w:r w:rsidRPr="00BE2C1D">
        <w:rPr>
          <w:rFonts w:cstheme="minorHAnsi"/>
          <w:shd w:val="clear" w:color="auto" w:fill="FFFFFF"/>
        </w:rPr>
        <w:t>Feldman, S.D., 1975. The presentation of shortness in everyday life—height and heightism in American society: Toward a sociology of stature. </w:t>
      </w:r>
      <w:r w:rsidRPr="00BE2C1D">
        <w:rPr>
          <w:rFonts w:cstheme="minorHAnsi"/>
          <w:i/>
          <w:iCs/>
          <w:shd w:val="clear" w:color="auto" w:fill="FFFFFF"/>
        </w:rPr>
        <w:t>Life styles: Diversity in American society</w:t>
      </w:r>
      <w:r w:rsidRPr="00BE2C1D">
        <w:rPr>
          <w:rFonts w:cstheme="minorHAnsi"/>
          <w:shd w:val="clear" w:color="auto" w:fill="FFFFFF"/>
        </w:rPr>
        <w:t>, pp.427-442.</w:t>
      </w:r>
    </w:p>
    <w:p w14:paraId="415564C2" w14:textId="77777777" w:rsidR="00BE2C1D" w:rsidRPr="00BE2C1D" w:rsidRDefault="00BE2C1D" w:rsidP="00BE2C1D">
      <w:pPr>
        <w:spacing w:line="360" w:lineRule="auto"/>
        <w:rPr>
          <w:rFonts w:cstheme="minorHAnsi"/>
        </w:rPr>
      </w:pPr>
      <w:r w:rsidRPr="00BE2C1D">
        <w:rPr>
          <w:rFonts w:cstheme="minorHAnsi"/>
        </w:rPr>
        <w:t xml:space="preserve">Filkenstein, V., (1980). </w:t>
      </w:r>
      <w:r w:rsidRPr="00BE2C1D">
        <w:rPr>
          <w:rFonts w:cstheme="minorHAnsi"/>
          <w:i/>
          <w:iCs/>
        </w:rPr>
        <w:t xml:space="preserve">Attitudes and Disabled People. </w:t>
      </w:r>
      <w:r w:rsidRPr="00BE2C1D">
        <w:rPr>
          <w:rFonts w:cstheme="minorHAnsi"/>
        </w:rPr>
        <w:t xml:space="preserve">New York: World Rehabilitation Fund. </w:t>
      </w:r>
    </w:p>
    <w:p w14:paraId="04073BC0" w14:textId="77777777" w:rsidR="00BE2C1D" w:rsidRPr="00BE2C1D" w:rsidRDefault="00BE2C1D" w:rsidP="00BE2C1D">
      <w:pPr>
        <w:spacing w:line="360" w:lineRule="auto"/>
        <w:jc w:val="both"/>
        <w:rPr>
          <w:rFonts w:cstheme="minorHAnsi"/>
          <w:lang w:val="en-US"/>
        </w:rPr>
      </w:pPr>
      <w:r w:rsidRPr="00BE2C1D">
        <w:rPr>
          <w:rFonts w:cstheme="minorHAnsi"/>
          <w:lang w:val="en-US"/>
        </w:rPr>
        <w:t xml:space="preserve">Finlay, L. and Gough, B., (2003). </w:t>
      </w:r>
      <w:r w:rsidRPr="00BE2C1D">
        <w:rPr>
          <w:rFonts w:cstheme="minorHAnsi"/>
          <w:i/>
          <w:iCs/>
          <w:lang w:val="en-US"/>
        </w:rPr>
        <w:t xml:space="preserve">Reflexivity: a practical guide for researchers in health and social sciences. </w:t>
      </w:r>
      <w:r w:rsidRPr="00BE2C1D">
        <w:rPr>
          <w:rFonts w:cstheme="minorHAnsi"/>
          <w:lang w:val="en-US"/>
        </w:rPr>
        <w:t xml:space="preserve">Oxford: Blackwell. </w:t>
      </w:r>
    </w:p>
    <w:p w14:paraId="248BDCFD" w14:textId="77777777" w:rsidR="00BE2C1D" w:rsidRPr="00BE2C1D" w:rsidRDefault="00BE2C1D" w:rsidP="00BE2C1D">
      <w:pPr>
        <w:spacing w:line="360" w:lineRule="auto"/>
        <w:jc w:val="both"/>
        <w:rPr>
          <w:rFonts w:cstheme="minorHAnsi"/>
          <w:lang w:val="en-US"/>
        </w:rPr>
      </w:pPr>
      <w:r w:rsidRPr="00BE2C1D">
        <w:rPr>
          <w:rFonts w:cstheme="minorHAnsi"/>
          <w:shd w:val="clear" w:color="auto" w:fill="FFFFFF"/>
        </w:rPr>
        <w:t>Finlay, L., 2006. The body's disclosure in phenomenological research. </w:t>
      </w:r>
      <w:r w:rsidRPr="00BE2C1D">
        <w:rPr>
          <w:rFonts w:cstheme="minorHAnsi"/>
          <w:i/>
          <w:iCs/>
          <w:shd w:val="clear" w:color="auto" w:fill="FFFFFF"/>
        </w:rPr>
        <w:t>Qualitative research in psychology</w:t>
      </w:r>
      <w:r w:rsidRPr="00BE2C1D">
        <w:rPr>
          <w:rFonts w:cstheme="minorHAnsi"/>
          <w:shd w:val="clear" w:color="auto" w:fill="FFFFFF"/>
        </w:rPr>
        <w:t>. </w:t>
      </w:r>
      <w:r w:rsidRPr="00BE2C1D">
        <w:rPr>
          <w:rFonts w:cstheme="minorHAnsi"/>
          <w:b/>
          <w:bCs/>
          <w:shd w:val="clear" w:color="auto" w:fill="FFFFFF"/>
        </w:rPr>
        <w:t>3</w:t>
      </w:r>
      <w:r w:rsidRPr="00BE2C1D">
        <w:rPr>
          <w:rFonts w:cstheme="minorHAnsi"/>
          <w:shd w:val="clear" w:color="auto" w:fill="FFFFFF"/>
        </w:rPr>
        <w:t>(1), 19-30.</w:t>
      </w:r>
    </w:p>
    <w:p w14:paraId="24A99E25" w14:textId="77777777" w:rsidR="00BE2C1D" w:rsidRPr="00BE2C1D" w:rsidRDefault="00BE2C1D" w:rsidP="00BE2C1D">
      <w:pPr>
        <w:spacing w:line="360" w:lineRule="auto"/>
        <w:jc w:val="both"/>
        <w:rPr>
          <w:rFonts w:cstheme="minorHAnsi"/>
          <w:lang w:eastAsia="en-GB"/>
        </w:rPr>
      </w:pPr>
      <w:r w:rsidRPr="00BE2C1D">
        <w:rPr>
          <w:rFonts w:cstheme="minorHAnsi"/>
        </w:rPr>
        <w:lastRenderedPageBreak/>
        <w:t xml:space="preserve">Fisher, P. and Goodley, D., 2007. </w:t>
      </w:r>
      <w:r w:rsidRPr="00BE2C1D">
        <w:rPr>
          <w:rFonts w:cstheme="minorHAnsi"/>
          <w:lang w:eastAsia="en-GB"/>
        </w:rPr>
        <w:t xml:space="preserve">The linear medical model of disability: mothers of disabled babies resist with counter-narratives. </w:t>
      </w:r>
      <w:r w:rsidRPr="00BE2C1D">
        <w:rPr>
          <w:rFonts w:cstheme="minorHAnsi"/>
          <w:i/>
          <w:iCs/>
          <w:lang w:eastAsia="en-GB"/>
        </w:rPr>
        <w:t>Sociology of Health and Illness.</w:t>
      </w:r>
      <w:r w:rsidRPr="00BE2C1D">
        <w:rPr>
          <w:rFonts w:cstheme="minorHAnsi"/>
          <w:lang w:eastAsia="en-GB"/>
        </w:rPr>
        <w:t xml:space="preserve"> </w:t>
      </w:r>
      <w:r w:rsidRPr="00BE2C1D">
        <w:rPr>
          <w:rFonts w:cstheme="minorHAnsi"/>
          <w:b/>
          <w:bCs/>
          <w:lang w:eastAsia="en-GB"/>
        </w:rPr>
        <w:t>29</w:t>
      </w:r>
      <w:r w:rsidRPr="00BE2C1D">
        <w:rPr>
          <w:rFonts w:cstheme="minorHAnsi"/>
          <w:lang w:eastAsia="en-GB"/>
        </w:rPr>
        <w:t xml:space="preserve">(1), 66-81. </w:t>
      </w:r>
    </w:p>
    <w:p w14:paraId="1A24A8D1" w14:textId="77777777" w:rsidR="00BE2C1D" w:rsidRPr="00BE2C1D" w:rsidRDefault="00BE2C1D" w:rsidP="00BE2C1D">
      <w:pPr>
        <w:spacing w:line="360" w:lineRule="auto"/>
        <w:rPr>
          <w:rFonts w:cstheme="minorHAnsi"/>
          <w:shd w:val="clear" w:color="auto" w:fill="FFFFFF"/>
        </w:rPr>
      </w:pPr>
      <w:r w:rsidRPr="00BE2C1D">
        <w:rPr>
          <w:rFonts w:cstheme="minorHAnsi"/>
          <w:shd w:val="clear" w:color="auto" w:fill="FFFFFF"/>
        </w:rPr>
        <w:t>Fitzgerald, H., 2005. Still feeling like a spare piece of luggage? Embodied experiences of (dis) ability in physical education and school sport. </w:t>
      </w:r>
      <w:r w:rsidRPr="00BE2C1D">
        <w:rPr>
          <w:rFonts w:cstheme="minorHAnsi"/>
          <w:i/>
          <w:iCs/>
          <w:shd w:val="clear" w:color="auto" w:fill="FFFFFF"/>
        </w:rPr>
        <w:t>Physical education &amp; sport pedagogy</w:t>
      </w:r>
      <w:r w:rsidRPr="00BE2C1D">
        <w:rPr>
          <w:rFonts w:cstheme="minorHAnsi"/>
          <w:shd w:val="clear" w:color="auto" w:fill="FFFFFF"/>
        </w:rPr>
        <w:t>. </w:t>
      </w:r>
      <w:r w:rsidRPr="00BE2C1D">
        <w:rPr>
          <w:rFonts w:cstheme="minorHAnsi"/>
          <w:b/>
          <w:bCs/>
          <w:shd w:val="clear" w:color="auto" w:fill="FFFFFF"/>
        </w:rPr>
        <w:t>10</w:t>
      </w:r>
      <w:r w:rsidRPr="00BE2C1D">
        <w:rPr>
          <w:rFonts w:cstheme="minorHAnsi"/>
          <w:shd w:val="clear" w:color="auto" w:fill="FFFFFF"/>
        </w:rPr>
        <w:t>(1), 41-59.</w:t>
      </w:r>
    </w:p>
    <w:p w14:paraId="0B6D1652" w14:textId="77777777" w:rsidR="00BE2C1D" w:rsidRPr="00BE2C1D" w:rsidRDefault="00BE2C1D" w:rsidP="00BE2C1D">
      <w:pPr>
        <w:spacing w:line="360" w:lineRule="auto"/>
        <w:rPr>
          <w:rFonts w:cstheme="minorHAnsi"/>
        </w:rPr>
      </w:pPr>
      <w:r w:rsidRPr="00BE2C1D">
        <w:rPr>
          <w:rFonts w:cstheme="minorHAnsi"/>
        </w:rPr>
        <w:t>Fitzgerald, H., (2006). Disability and physical education. In: D. Kirk, D. Macdonald, M. O’ Sullivan, eds. </w:t>
      </w:r>
      <w:r w:rsidRPr="00BE2C1D">
        <w:rPr>
          <w:rFonts w:cstheme="minorHAnsi"/>
          <w:i/>
          <w:iCs/>
        </w:rPr>
        <w:t>The handbook of physical education</w:t>
      </w:r>
      <w:r w:rsidRPr="00BE2C1D">
        <w:rPr>
          <w:rFonts w:cstheme="minorHAnsi"/>
        </w:rPr>
        <w:t>. Thousand Oaks, CA: Sage. pp. 752-766.</w:t>
      </w:r>
    </w:p>
    <w:p w14:paraId="72FE0AB2" w14:textId="77777777" w:rsidR="00BE2C1D" w:rsidRPr="00BE2C1D" w:rsidRDefault="00BE2C1D" w:rsidP="00BE2C1D">
      <w:pPr>
        <w:spacing w:line="360" w:lineRule="auto"/>
        <w:rPr>
          <w:rFonts w:cstheme="minorHAnsi"/>
        </w:rPr>
      </w:pPr>
      <w:r w:rsidRPr="00BE2C1D">
        <w:rPr>
          <w:rFonts w:cstheme="minorHAnsi"/>
        </w:rPr>
        <w:t>Fitzgerald, H. and Hay, P., (2015). Understanding </w:t>
      </w:r>
      <w:r w:rsidRPr="00BE2C1D">
        <w:rPr>
          <w:rFonts w:cstheme="minorHAnsi"/>
          <w:i/>
          <w:iCs/>
        </w:rPr>
        <w:t>dis/</w:t>
      </w:r>
      <w:r w:rsidRPr="00BE2C1D">
        <w:rPr>
          <w:rFonts w:cstheme="minorHAnsi"/>
        </w:rPr>
        <w:t>Ability in Physical Education Through the Lens of Bourdieu. In: W. Smith, Lisahunter, E. Emerald, eds. </w:t>
      </w:r>
      <w:r w:rsidRPr="00BE2C1D">
        <w:rPr>
          <w:rFonts w:cstheme="minorHAnsi"/>
          <w:i/>
          <w:iCs/>
        </w:rPr>
        <w:t>Pierre Bourdieu and Physical Culture</w:t>
      </w:r>
      <w:r w:rsidRPr="00BE2C1D">
        <w:rPr>
          <w:rFonts w:cstheme="minorHAnsi"/>
        </w:rPr>
        <w:t>. London: Routledge. pp.117-125.</w:t>
      </w:r>
    </w:p>
    <w:p w14:paraId="16ED56BD" w14:textId="77777777" w:rsidR="00BE2C1D" w:rsidRPr="00BE2C1D" w:rsidRDefault="00BE2C1D" w:rsidP="00BE2C1D">
      <w:pPr>
        <w:spacing w:line="360" w:lineRule="auto"/>
        <w:rPr>
          <w:rFonts w:cstheme="minorHAnsi"/>
        </w:rPr>
      </w:pPr>
      <w:r w:rsidRPr="00BE2C1D">
        <w:rPr>
          <w:rFonts w:cstheme="minorHAnsi"/>
          <w:shd w:val="clear" w:color="auto" w:fill="FFFFFF"/>
        </w:rPr>
        <w:t>Fitzgerald, H., Jobling, A. and Kirk 1, D., 2003. Valuing the voices of young disabled people: Exploring experience of physical education and sport. </w:t>
      </w:r>
      <w:r w:rsidRPr="00BE2C1D">
        <w:rPr>
          <w:rFonts w:cstheme="minorHAnsi"/>
          <w:i/>
          <w:iCs/>
          <w:shd w:val="clear" w:color="auto" w:fill="FFFFFF"/>
        </w:rPr>
        <w:t>European Journal of Physical Education</w:t>
      </w:r>
      <w:r w:rsidRPr="00BE2C1D">
        <w:rPr>
          <w:rFonts w:cstheme="minorHAnsi"/>
          <w:shd w:val="clear" w:color="auto" w:fill="FFFFFF"/>
        </w:rPr>
        <w:t>. </w:t>
      </w:r>
      <w:r w:rsidRPr="00BE2C1D">
        <w:rPr>
          <w:rFonts w:cstheme="minorHAnsi"/>
          <w:b/>
          <w:bCs/>
          <w:shd w:val="clear" w:color="auto" w:fill="FFFFFF"/>
        </w:rPr>
        <w:t>8</w:t>
      </w:r>
      <w:r w:rsidRPr="00BE2C1D">
        <w:rPr>
          <w:rFonts w:cstheme="minorHAnsi"/>
          <w:shd w:val="clear" w:color="auto" w:fill="FFFFFF"/>
        </w:rPr>
        <w:t>(2), 175-200.</w:t>
      </w:r>
    </w:p>
    <w:p w14:paraId="2A253EBE" w14:textId="77777777" w:rsidR="00BE2C1D" w:rsidRPr="00BE2C1D" w:rsidRDefault="00BE2C1D" w:rsidP="00BE2C1D">
      <w:pPr>
        <w:spacing w:line="360" w:lineRule="auto"/>
        <w:rPr>
          <w:rFonts w:cstheme="minorHAnsi"/>
          <w:shd w:val="clear" w:color="auto" w:fill="FFFFFF"/>
        </w:rPr>
      </w:pPr>
      <w:r w:rsidRPr="00BE2C1D">
        <w:rPr>
          <w:rFonts w:cstheme="minorHAnsi"/>
          <w:shd w:val="clear" w:color="auto" w:fill="FFFFFF"/>
        </w:rPr>
        <w:t>Flintoff, A., Fitzgerald, H. and Scraton, S., 2008. The challenges of intersectionality: Researching difference in physical education. </w:t>
      </w:r>
      <w:r w:rsidRPr="00BE2C1D">
        <w:rPr>
          <w:rFonts w:cstheme="minorHAnsi"/>
          <w:i/>
          <w:iCs/>
          <w:shd w:val="clear" w:color="auto" w:fill="FFFFFF"/>
        </w:rPr>
        <w:t>International Studies in Sociology of Education</w:t>
      </w:r>
      <w:r w:rsidRPr="00BE2C1D">
        <w:rPr>
          <w:rFonts w:cstheme="minorHAnsi"/>
          <w:shd w:val="clear" w:color="auto" w:fill="FFFFFF"/>
        </w:rPr>
        <w:t>. </w:t>
      </w:r>
      <w:r w:rsidRPr="00BE2C1D">
        <w:rPr>
          <w:rFonts w:cstheme="minorHAnsi"/>
          <w:b/>
          <w:bCs/>
          <w:shd w:val="clear" w:color="auto" w:fill="FFFFFF"/>
        </w:rPr>
        <w:t>18</w:t>
      </w:r>
      <w:r w:rsidRPr="00BE2C1D">
        <w:rPr>
          <w:rFonts w:cstheme="minorHAnsi"/>
          <w:shd w:val="clear" w:color="auto" w:fill="FFFFFF"/>
        </w:rPr>
        <w:t>(2), 73-85.</w:t>
      </w:r>
    </w:p>
    <w:p w14:paraId="71E4CDB2" w14:textId="77777777" w:rsidR="00BE2C1D" w:rsidRPr="00BE2C1D" w:rsidRDefault="00BE2C1D" w:rsidP="00BE2C1D">
      <w:pPr>
        <w:spacing w:line="360" w:lineRule="auto"/>
        <w:rPr>
          <w:rFonts w:cstheme="minorHAnsi"/>
          <w:shd w:val="clear" w:color="auto" w:fill="FFFFFF"/>
        </w:rPr>
      </w:pPr>
      <w:r w:rsidRPr="00BE2C1D">
        <w:rPr>
          <w:rFonts w:cstheme="minorHAnsi"/>
          <w:shd w:val="clear" w:color="auto" w:fill="FFFFFF"/>
        </w:rPr>
        <w:t>Flynn, S., 2017. Engaging with materialism and material reality: critical disability studies and economic recession. </w:t>
      </w:r>
      <w:r w:rsidRPr="00BE2C1D">
        <w:rPr>
          <w:rFonts w:cstheme="minorHAnsi"/>
          <w:i/>
          <w:iCs/>
          <w:shd w:val="clear" w:color="auto" w:fill="FFFFFF"/>
        </w:rPr>
        <w:t>Disability &amp; Society</w:t>
      </w:r>
      <w:r w:rsidRPr="00BE2C1D">
        <w:rPr>
          <w:rFonts w:cstheme="minorHAnsi"/>
          <w:shd w:val="clear" w:color="auto" w:fill="FFFFFF"/>
        </w:rPr>
        <w:t>. </w:t>
      </w:r>
      <w:r w:rsidRPr="00BE2C1D">
        <w:rPr>
          <w:rFonts w:cstheme="minorHAnsi"/>
          <w:b/>
          <w:bCs/>
          <w:shd w:val="clear" w:color="auto" w:fill="FFFFFF"/>
        </w:rPr>
        <w:t>32</w:t>
      </w:r>
      <w:r w:rsidRPr="00BE2C1D">
        <w:rPr>
          <w:rFonts w:cstheme="minorHAnsi"/>
          <w:shd w:val="clear" w:color="auto" w:fill="FFFFFF"/>
        </w:rPr>
        <w:t>(2), 143-159.</w:t>
      </w:r>
    </w:p>
    <w:p w14:paraId="71B41B39" w14:textId="77777777" w:rsidR="00BE2C1D" w:rsidRPr="00BE2C1D" w:rsidRDefault="00BE2C1D" w:rsidP="00BE2C1D">
      <w:pPr>
        <w:spacing w:line="360" w:lineRule="auto"/>
        <w:rPr>
          <w:rFonts w:cstheme="minorHAnsi"/>
          <w:shd w:val="clear" w:color="auto" w:fill="FFFFFF"/>
        </w:rPr>
      </w:pPr>
      <w:r w:rsidRPr="00BE2C1D">
        <w:rPr>
          <w:rFonts w:cstheme="minorHAnsi"/>
          <w:shd w:val="clear" w:color="auto" w:fill="FFFFFF"/>
        </w:rPr>
        <w:t>Flynn, S., 2019. Exploring internal critique: theoretically developed critical commentary on the Self-Appraisal of critical disability studies. </w:t>
      </w:r>
      <w:r w:rsidRPr="00BE2C1D">
        <w:rPr>
          <w:rFonts w:cstheme="minorHAnsi"/>
          <w:i/>
          <w:iCs/>
          <w:shd w:val="clear" w:color="auto" w:fill="FFFFFF"/>
        </w:rPr>
        <w:t xml:space="preserve">Disability &amp; Society. </w:t>
      </w:r>
      <w:r w:rsidRPr="00BE2C1D">
        <w:rPr>
          <w:rFonts w:cstheme="minorHAnsi"/>
          <w:shd w:val="clear" w:color="auto" w:fill="FFFFFF"/>
        </w:rPr>
        <w:t>1-18.</w:t>
      </w:r>
    </w:p>
    <w:p w14:paraId="258559C3" w14:textId="77777777" w:rsidR="00BE2C1D" w:rsidRPr="00BE2C1D" w:rsidRDefault="00BE2C1D" w:rsidP="00BE2C1D">
      <w:pPr>
        <w:spacing w:line="360" w:lineRule="auto"/>
        <w:jc w:val="both"/>
        <w:rPr>
          <w:rFonts w:cstheme="minorHAnsi"/>
        </w:rPr>
      </w:pPr>
      <w:r w:rsidRPr="00BE2C1D">
        <w:rPr>
          <w:rFonts w:cstheme="minorHAnsi"/>
        </w:rPr>
        <w:t>Fontana, A. and Prokos, A. H. (2016). The interview: From formal to Postmodern. Oxon: Routledge.</w:t>
      </w:r>
    </w:p>
    <w:p w14:paraId="07D151A7" w14:textId="77777777" w:rsidR="00BE2C1D" w:rsidRPr="00BE2C1D" w:rsidRDefault="00BE2C1D" w:rsidP="00BE2C1D">
      <w:pPr>
        <w:spacing w:line="360" w:lineRule="auto"/>
        <w:rPr>
          <w:rFonts w:cstheme="minorHAnsi"/>
        </w:rPr>
      </w:pPr>
      <w:r w:rsidRPr="00BE2C1D">
        <w:rPr>
          <w:rFonts w:cstheme="minorHAnsi"/>
        </w:rPr>
        <w:t xml:space="preserve">Foucault, M. (1977). Discipline and Punish; Birth of the Prison (A. Sheridan, Trans.) (Original work published 1975). Penguin Social Sciences.  </w:t>
      </w:r>
    </w:p>
    <w:p w14:paraId="043635E9" w14:textId="77777777" w:rsidR="00BE2C1D" w:rsidRPr="00BE2C1D" w:rsidRDefault="00BE2C1D" w:rsidP="00BE2C1D">
      <w:pPr>
        <w:spacing w:line="360" w:lineRule="auto"/>
        <w:rPr>
          <w:rFonts w:cstheme="minorHAnsi"/>
          <w:b/>
          <w:bCs/>
          <w:shd w:val="clear" w:color="auto" w:fill="FFFFFF"/>
        </w:rPr>
      </w:pPr>
      <w:r w:rsidRPr="00BE2C1D">
        <w:rPr>
          <w:rFonts w:cstheme="minorHAnsi"/>
        </w:rPr>
        <w:t>Foucault, M., (1978). </w:t>
      </w:r>
      <w:r w:rsidRPr="00BE2C1D">
        <w:rPr>
          <w:rFonts w:cstheme="minorHAnsi"/>
          <w:i/>
          <w:iCs/>
        </w:rPr>
        <w:t>The History of Sexuality: An Introduction</w:t>
      </w:r>
      <w:r w:rsidRPr="00BE2C1D">
        <w:rPr>
          <w:rFonts w:cstheme="minorHAnsi"/>
        </w:rPr>
        <w:t>. vol I. New York: Pantheon Books.</w:t>
      </w:r>
    </w:p>
    <w:p w14:paraId="2EBECEA3" w14:textId="77777777" w:rsidR="00BE2C1D" w:rsidRPr="00BE2C1D" w:rsidRDefault="00BE2C1D" w:rsidP="00BE2C1D">
      <w:pPr>
        <w:spacing w:line="360" w:lineRule="auto"/>
        <w:rPr>
          <w:rFonts w:cstheme="minorHAnsi"/>
          <w:b/>
          <w:bCs/>
        </w:rPr>
      </w:pPr>
      <w:r w:rsidRPr="00BE2C1D">
        <w:rPr>
          <w:rFonts w:cstheme="minorHAnsi"/>
        </w:rPr>
        <w:t>Foucault, M., (1981). </w:t>
      </w:r>
      <w:r w:rsidRPr="00BE2C1D">
        <w:rPr>
          <w:rFonts w:cstheme="minorHAnsi"/>
          <w:i/>
          <w:iCs/>
        </w:rPr>
        <w:t>The history of sexuality: an introduction</w:t>
      </w:r>
      <w:r w:rsidRPr="00BE2C1D">
        <w:rPr>
          <w:rFonts w:cstheme="minorHAnsi"/>
        </w:rPr>
        <w:t>. Vol 1. Harmondsworth: Penguin.</w:t>
      </w:r>
    </w:p>
    <w:p w14:paraId="690A1662" w14:textId="77777777" w:rsidR="00BE2C1D" w:rsidRPr="00BE2C1D" w:rsidRDefault="00BE2C1D" w:rsidP="00BE2C1D">
      <w:pPr>
        <w:spacing w:line="360" w:lineRule="auto"/>
        <w:rPr>
          <w:rFonts w:cstheme="minorHAnsi"/>
        </w:rPr>
      </w:pPr>
      <w:r w:rsidRPr="00BE2C1D">
        <w:rPr>
          <w:rFonts w:cstheme="minorHAnsi"/>
        </w:rPr>
        <w:t xml:space="preserve">Foucault, M., 1982. The subject and power. </w:t>
      </w:r>
      <w:r w:rsidRPr="00BE2C1D">
        <w:rPr>
          <w:rFonts w:cstheme="minorHAnsi"/>
          <w:i/>
          <w:iCs/>
        </w:rPr>
        <w:t>Critical Inquiry</w:t>
      </w:r>
      <w:r w:rsidRPr="00BE2C1D">
        <w:rPr>
          <w:rFonts w:cstheme="minorHAnsi"/>
        </w:rPr>
        <w:t xml:space="preserve">. </w:t>
      </w:r>
      <w:r w:rsidRPr="00BE2C1D">
        <w:rPr>
          <w:rFonts w:cstheme="minorHAnsi"/>
          <w:b/>
          <w:bCs/>
        </w:rPr>
        <w:t>8</w:t>
      </w:r>
      <w:r w:rsidRPr="00BE2C1D">
        <w:rPr>
          <w:rFonts w:cstheme="minorHAnsi"/>
        </w:rPr>
        <w:t xml:space="preserve">(4), 777-795. </w:t>
      </w:r>
    </w:p>
    <w:p w14:paraId="43099F45" w14:textId="77777777" w:rsidR="00BE2C1D" w:rsidRPr="00BE2C1D" w:rsidRDefault="00BE2C1D" w:rsidP="00BE2C1D">
      <w:pPr>
        <w:spacing w:line="360" w:lineRule="auto"/>
        <w:jc w:val="both"/>
        <w:rPr>
          <w:rFonts w:cstheme="minorHAnsi"/>
        </w:rPr>
      </w:pPr>
      <w:r w:rsidRPr="00BE2C1D">
        <w:rPr>
          <w:rFonts w:cstheme="minorHAnsi"/>
        </w:rPr>
        <w:t xml:space="preserve">Frank, A., (1995). </w:t>
      </w:r>
      <w:r w:rsidRPr="00BE2C1D">
        <w:rPr>
          <w:rFonts w:cstheme="minorHAnsi"/>
          <w:i/>
          <w:iCs/>
        </w:rPr>
        <w:t>The Wounded Storyteller: Body. Illness and Ethics</w:t>
      </w:r>
      <w:r w:rsidRPr="00BE2C1D">
        <w:rPr>
          <w:rFonts w:cstheme="minorHAnsi"/>
        </w:rPr>
        <w:t xml:space="preserve">. London: University of Chicago Press. </w:t>
      </w:r>
    </w:p>
    <w:p w14:paraId="632FE298" w14:textId="77777777" w:rsidR="00BE2C1D" w:rsidRPr="00BE2C1D" w:rsidRDefault="00BE2C1D" w:rsidP="00BE2C1D">
      <w:pPr>
        <w:spacing w:line="360" w:lineRule="auto"/>
        <w:rPr>
          <w:rFonts w:cstheme="minorHAnsi"/>
          <w:shd w:val="clear" w:color="auto" w:fill="FFFFFF"/>
        </w:rPr>
      </w:pPr>
      <w:r w:rsidRPr="00BE2C1D">
        <w:rPr>
          <w:rFonts w:cstheme="minorHAnsi"/>
          <w:shd w:val="clear" w:color="auto" w:fill="FFFFFF"/>
        </w:rPr>
        <w:t>Frankel, S.A., 1996. Psychological complications of short stature in childhood: Some implications of the role of visual comparisons in normal and pathological development. </w:t>
      </w:r>
      <w:r w:rsidRPr="00BE2C1D">
        <w:rPr>
          <w:rFonts w:cstheme="minorHAnsi"/>
          <w:i/>
          <w:iCs/>
          <w:shd w:val="clear" w:color="auto" w:fill="FFFFFF"/>
        </w:rPr>
        <w:t>The Psychoanalytic study of the child</w:t>
      </w:r>
      <w:r w:rsidRPr="00BE2C1D">
        <w:rPr>
          <w:rFonts w:cstheme="minorHAnsi"/>
          <w:shd w:val="clear" w:color="auto" w:fill="FFFFFF"/>
        </w:rPr>
        <w:t>. </w:t>
      </w:r>
      <w:r w:rsidRPr="00BE2C1D">
        <w:rPr>
          <w:rFonts w:cstheme="minorHAnsi"/>
          <w:b/>
          <w:bCs/>
          <w:shd w:val="clear" w:color="auto" w:fill="FFFFFF"/>
        </w:rPr>
        <w:t>51</w:t>
      </w:r>
      <w:r w:rsidRPr="00BE2C1D">
        <w:rPr>
          <w:rFonts w:cstheme="minorHAnsi"/>
          <w:shd w:val="clear" w:color="auto" w:fill="FFFFFF"/>
        </w:rPr>
        <w:t>(1), 455-474.</w:t>
      </w:r>
    </w:p>
    <w:p w14:paraId="3F14DAD4" w14:textId="77777777" w:rsidR="00BE2C1D" w:rsidRPr="00BE2C1D" w:rsidRDefault="00BE2C1D" w:rsidP="00BE2C1D">
      <w:pPr>
        <w:spacing w:line="360" w:lineRule="auto"/>
        <w:rPr>
          <w:rFonts w:cstheme="minorHAnsi"/>
          <w:shd w:val="clear" w:color="auto" w:fill="FFFFFF"/>
        </w:rPr>
      </w:pPr>
      <w:r w:rsidRPr="00BE2C1D">
        <w:rPr>
          <w:rFonts w:cstheme="minorHAnsi"/>
          <w:shd w:val="clear" w:color="auto" w:fill="FFFFFF"/>
        </w:rPr>
        <w:lastRenderedPageBreak/>
        <w:t>Fraser, C. and Meadows, S., 2008. Children's views of Teaching Assistants in primary schools. </w:t>
      </w:r>
      <w:r w:rsidRPr="00BE2C1D">
        <w:rPr>
          <w:rFonts w:cstheme="minorHAnsi"/>
          <w:i/>
          <w:iCs/>
          <w:shd w:val="clear" w:color="auto" w:fill="FFFFFF"/>
        </w:rPr>
        <w:t>Education 3–13</w:t>
      </w:r>
      <w:r w:rsidRPr="00BE2C1D">
        <w:rPr>
          <w:rFonts w:cstheme="minorHAnsi"/>
          <w:shd w:val="clear" w:color="auto" w:fill="FFFFFF"/>
        </w:rPr>
        <w:t>. </w:t>
      </w:r>
      <w:r w:rsidRPr="00BE2C1D">
        <w:rPr>
          <w:rFonts w:cstheme="minorHAnsi"/>
          <w:b/>
          <w:bCs/>
          <w:shd w:val="clear" w:color="auto" w:fill="FFFFFF"/>
        </w:rPr>
        <w:t>36</w:t>
      </w:r>
      <w:r w:rsidRPr="00BE2C1D">
        <w:rPr>
          <w:rFonts w:cstheme="minorHAnsi"/>
          <w:shd w:val="clear" w:color="auto" w:fill="FFFFFF"/>
        </w:rPr>
        <w:t>(4), 351-363.</w:t>
      </w:r>
    </w:p>
    <w:p w14:paraId="1E1BC94A" w14:textId="77777777" w:rsidR="00BE2C1D" w:rsidRPr="00BE2C1D" w:rsidRDefault="00BE2C1D" w:rsidP="00BE2C1D">
      <w:pPr>
        <w:spacing w:line="360" w:lineRule="auto"/>
        <w:jc w:val="both"/>
        <w:rPr>
          <w:rFonts w:cstheme="minorHAnsi"/>
          <w:lang w:val="en-US"/>
        </w:rPr>
      </w:pPr>
      <w:r w:rsidRPr="00BE2C1D">
        <w:rPr>
          <w:rFonts w:cstheme="minorHAnsi"/>
          <w:lang w:val="en-US"/>
        </w:rPr>
        <w:t xml:space="preserve">Freeman, M. (2011). Narrative foreclosure in later life: Possibilities and limits. In G. Kenyon, E. Bohlmeijer and W. Randall, eds. </w:t>
      </w:r>
      <w:r w:rsidRPr="00BE2C1D">
        <w:rPr>
          <w:rFonts w:cstheme="minorHAnsi"/>
          <w:i/>
          <w:lang w:val="en-US"/>
        </w:rPr>
        <w:t>Storying later life: Issues, investigations, and interventions in narrative gerontology</w:t>
      </w:r>
      <w:r w:rsidRPr="00BE2C1D">
        <w:rPr>
          <w:rFonts w:cstheme="minorHAnsi"/>
          <w:lang w:val="en-US"/>
        </w:rPr>
        <w:t xml:space="preserve">. New York: Oxford University Press. pp. 3-19. </w:t>
      </w:r>
    </w:p>
    <w:p w14:paraId="2B05E04B" w14:textId="77777777" w:rsidR="00BE2C1D" w:rsidRPr="00BE2C1D" w:rsidRDefault="00BE2C1D" w:rsidP="00BE2C1D">
      <w:pPr>
        <w:spacing w:line="360" w:lineRule="auto"/>
        <w:jc w:val="both"/>
        <w:rPr>
          <w:rFonts w:cstheme="minorHAnsi"/>
          <w:shd w:val="clear" w:color="auto" w:fill="FFFFFF"/>
        </w:rPr>
      </w:pPr>
      <w:r w:rsidRPr="00BE2C1D">
        <w:rPr>
          <w:rFonts w:cstheme="minorHAnsi"/>
          <w:shd w:val="clear" w:color="auto" w:fill="FFFFFF"/>
        </w:rPr>
        <w:t>Freire, P., 1985. Reading the world and reading the word: An interview with Paulo Freire. </w:t>
      </w:r>
      <w:r w:rsidRPr="00BE2C1D">
        <w:rPr>
          <w:rFonts w:cstheme="minorHAnsi"/>
          <w:i/>
          <w:iCs/>
          <w:shd w:val="clear" w:color="auto" w:fill="FFFFFF"/>
        </w:rPr>
        <w:t>Language arts</w:t>
      </w:r>
      <w:r w:rsidRPr="00BE2C1D">
        <w:rPr>
          <w:rFonts w:cstheme="minorHAnsi"/>
          <w:shd w:val="clear" w:color="auto" w:fill="FFFFFF"/>
        </w:rPr>
        <w:t>. </w:t>
      </w:r>
      <w:r w:rsidRPr="00BE2C1D">
        <w:rPr>
          <w:rFonts w:cstheme="minorHAnsi"/>
          <w:b/>
          <w:bCs/>
          <w:shd w:val="clear" w:color="auto" w:fill="FFFFFF"/>
        </w:rPr>
        <w:t>62</w:t>
      </w:r>
      <w:r w:rsidRPr="00BE2C1D">
        <w:rPr>
          <w:rFonts w:cstheme="minorHAnsi"/>
          <w:shd w:val="clear" w:color="auto" w:fill="FFFFFF"/>
        </w:rPr>
        <w:t>(1),15-21.</w:t>
      </w:r>
    </w:p>
    <w:p w14:paraId="1B7A70DE" w14:textId="77777777" w:rsidR="00BE2C1D" w:rsidRPr="00BE2C1D" w:rsidRDefault="00BE2C1D" w:rsidP="00BE2C1D">
      <w:pPr>
        <w:spacing w:after="0" w:line="360" w:lineRule="auto"/>
        <w:rPr>
          <w:rFonts w:eastAsia="Times New Roman" w:cstheme="minorHAnsi"/>
          <w:lang w:eastAsia="en-GB"/>
        </w:rPr>
      </w:pPr>
      <w:r w:rsidRPr="00BE2C1D">
        <w:rPr>
          <w:rFonts w:eastAsia="Times New Roman" w:cstheme="minorHAnsi"/>
          <w:lang w:eastAsia="en-GB"/>
        </w:rPr>
        <w:t>French, S., (1993). Disability, impairment or something in between? In: J. Swain, V. Finkelstein, S. French, &amp; M. Oliver, eds. </w:t>
      </w:r>
      <w:r w:rsidRPr="00BE2C1D">
        <w:rPr>
          <w:rFonts w:eastAsia="Times New Roman" w:cstheme="minorHAnsi"/>
          <w:i/>
          <w:iCs/>
          <w:lang w:eastAsia="en-GB"/>
        </w:rPr>
        <w:t>Disabling barriers—Enabling environments</w:t>
      </w:r>
      <w:r w:rsidRPr="00BE2C1D">
        <w:rPr>
          <w:rFonts w:eastAsia="Times New Roman" w:cstheme="minorHAnsi"/>
          <w:lang w:eastAsia="en-GB"/>
        </w:rPr>
        <w:t>. Sage Publications, Inc; Open University Press. pp. 17-25.</w:t>
      </w:r>
    </w:p>
    <w:p w14:paraId="4348C366" w14:textId="77777777" w:rsidR="00BE2C1D" w:rsidRPr="00BE2C1D" w:rsidRDefault="00BE2C1D" w:rsidP="00BE2C1D">
      <w:pPr>
        <w:spacing w:after="0" w:line="360" w:lineRule="auto"/>
        <w:rPr>
          <w:rFonts w:eastAsia="Times New Roman" w:cstheme="minorHAnsi"/>
          <w:lang w:eastAsia="en-GB"/>
        </w:rPr>
      </w:pPr>
    </w:p>
    <w:p w14:paraId="597CF639" w14:textId="77777777" w:rsidR="00BE2C1D" w:rsidRPr="00BE2C1D" w:rsidRDefault="00BE2C1D" w:rsidP="00BE2C1D">
      <w:pPr>
        <w:spacing w:after="0" w:line="360" w:lineRule="auto"/>
        <w:rPr>
          <w:rFonts w:eastAsia="Times New Roman" w:cstheme="minorHAnsi"/>
          <w:lang w:eastAsia="en-GB"/>
        </w:rPr>
      </w:pPr>
      <w:r w:rsidRPr="00BE2C1D">
        <w:rPr>
          <w:rFonts w:cstheme="minorHAnsi"/>
          <w:shd w:val="clear" w:color="auto" w:fill="FFFFFF"/>
        </w:rPr>
        <w:t>Frisén, A. and Bjarnelind, S., 2010. Health‐related quality of life and bullying in adolescence. </w:t>
      </w:r>
      <w:r w:rsidRPr="00BE2C1D">
        <w:rPr>
          <w:rFonts w:cstheme="minorHAnsi"/>
          <w:i/>
          <w:iCs/>
          <w:shd w:val="clear" w:color="auto" w:fill="FFFFFF"/>
        </w:rPr>
        <w:t>Acta Paediatrica</w:t>
      </w:r>
      <w:r w:rsidRPr="00BE2C1D">
        <w:rPr>
          <w:rFonts w:cstheme="minorHAnsi"/>
          <w:shd w:val="clear" w:color="auto" w:fill="FFFFFF"/>
        </w:rPr>
        <w:t>. </w:t>
      </w:r>
      <w:r w:rsidRPr="00BE2C1D">
        <w:rPr>
          <w:rFonts w:cstheme="minorHAnsi"/>
          <w:b/>
          <w:bCs/>
          <w:shd w:val="clear" w:color="auto" w:fill="FFFFFF"/>
        </w:rPr>
        <w:t>99</w:t>
      </w:r>
      <w:r w:rsidRPr="00BE2C1D">
        <w:rPr>
          <w:rFonts w:cstheme="minorHAnsi"/>
          <w:shd w:val="clear" w:color="auto" w:fill="FFFFFF"/>
        </w:rPr>
        <w:t>(4), 597-603.</w:t>
      </w:r>
    </w:p>
    <w:p w14:paraId="29FEBE34" w14:textId="77777777" w:rsidR="00BE2C1D" w:rsidRPr="00BE2C1D" w:rsidRDefault="00BE2C1D" w:rsidP="00BE2C1D">
      <w:pPr>
        <w:spacing w:line="360" w:lineRule="auto"/>
        <w:rPr>
          <w:rFonts w:cstheme="minorHAnsi"/>
          <w:shd w:val="clear" w:color="auto" w:fill="FFFFFF"/>
        </w:rPr>
      </w:pPr>
    </w:p>
    <w:p w14:paraId="2CD38E09" w14:textId="77777777" w:rsidR="00BE2C1D" w:rsidRPr="00BE2C1D" w:rsidRDefault="00BE2C1D" w:rsidP="00BE2C1D">
      <w:pPr>
        <w:spacing w:line="360" w:lineRule="auto"/>
        <w:rPr>
          <w:rFonts w:cstheme="minorHAnsi"/>
          <w:shd w:val="clear" w:color="auto" w:fill="FFFFFF"/>
        </w:rPr>
      </w:pPr>
      <w:r w:rsidRPr="00BE2C1D">
        <w:rPr>
          <w:rFonts w:cstheme="minorHAnsi"/>
          <w:shd w:val="clear" w:color="auto" w:fill="FFFFFF"/>
        </w:rPr>
        <w:t>Frisén, A., Holmqvist, K. and Oscarsson, D., 2008. 13‐year‐olds’ perception of bullying: Definitions, reasons for victimisation and experience of adults’ response. </w:t>
      </w:r>
      <w:r w:rsidRPr="00BE2C1D">
        <w:rPr>
          <w:rFonts w:cstheme="minorHAnsi"/>
          <w:i/>
          <w:iCs/>
          <w:shd w:val="clear" w:color="auto" w:fill="FFFFFF"/>
        </w:rPr>
        <w:t>Educational Studies</w:t>
      </w:r>
      <w:r w:rsidRPr="00BE2C1D">
        <w:rPr>
          <w:rFonts w:cstheme="minorHAnsi"/>
          <w:shd w:val="clear" w:color="auto" w:fill="FFFFFF"/>
        </w:rPr>
        <w:t>. </w:t>
      </w:r>
      <w:r w:rsidRPr="00BE2C1D">
        <w:rPr>
          <w:rFonts w:cstheme="minorHAnsi"/>
          <w:b/>
          <w:bCs/>
          <w:shd w:val="clear" w:color="auto" w:fill="FFFFFF"/>
        </w:rPr>
        <w:t>34</w:t>
      </w:r>
      <w:r w:rsidRPr="00BE2C1D">
        <w:rPr>
          <w:rFonts w:cstheme="minorHAnsi"/>
          <w:shd w:val="clear" w:color="auto" w:fill="FFFFFF"/>
        </w:rPr>
        <w:t>(2), 105-117.</w:t>
      </w:r>
    </w:p>
    <w:p w14:paraId="4AFCAB23" w14:textId="77777777" w:rsidR="00BE2C1D" w:rsidRPr="00BE2C1D" w:rsidRDefault="00BE2C1D" w:rsidP="00BE2C1D">
      <w:pPr>
        <w:spacing w:line="360" w:lineRule="auto"/>
        <w:rPr>
          <w:rFonts w:cstheme="minorHAnsi"/>
          <w:shd w:val="clear" w:color="auto" w:fill="FFFFFF"/>
        </w:rPr>
      </w:pPr>
      <w:r w:rsidRPr="00BE2C1D">
        <w:rPr>
          <w:rFonts w:cstheme="minorHAnsi"/>
          <w:shd w:val="clear" w:color="auto" w:fill="FFFFFF"/>
        </w:rPr>
        <w:t>Gabel, S. and Peters, S., 2004. Presage of a paradigm shift? Beyond the social model of disability toward resistance theories of disability. </w:t>
      </w:r>
      <w:r w:rsidRPr="00BE2C1D">
        <w:rPr>
          <w:rFonts w:cstheme="minorHAnsi"/>
          <w:i/>
          <w:iCs/>
          <w:shd w:val="clear" w:color="auto" w:fill="FFFFFF"/>
        </w:rPr>
        <w:t>Disability &amp; Society</w:t>
      </w:r>
      <w:r w:rsidRPr="00BE2C1D">
        <w:rPr>
          <w:rFonts w:cstheme="minorHAnsi"/>
          <w:shd w:val="clear" w:color="auto" w:fill="FFFFFF"/>
        </w:rPr>
        <w:t>. </w:t>
      </w:r>
      <w:r w:rsidRPr="00BE2C1D">
        <w:rPr>
          <w:rFonts w:cstheme="minorHAnsi"/>
          <w:b/>
          <w:bCs/>
          <w:shd w:val="clear" w:color="auto" w:fill="FFFFFF"/>
        </w:rPr>
        <w:t>19</w:t>
      </w:r>
      <w:r w:rsidRPr="00BE2C1D">
        <w:rPr>
          <w:rFonts w:cstheme="minorHAnsi"/>
          <w:shd w:val="clear" w:color="auto" w:fill="FFFFFF"/>
        </w:rPr>
        <w:t>(6), 585-600.</w:t>
      </w:r>
    </w:p>
    <w:p w14:paraId="5A3E3C93" w14:textId="77777777" w:rsidR="00BE2C1D" w:rsidRPr="00BE2C1D" w:rsidRDefault="00BE2C1D" w:rsidP="00BE2C1D">
      <w:pPr>
        <w:spacing w:line="360" w:lineRule="auto"/>
        <w:jc w:val="both"/>
        <w:rPr>
          <w:rFonts w:cstheme="minorHAnsi"/>
          <w:shd w:val="clear" w:color="auto" w:fill="FFFFFF"/>
        </w:rPr>
      </w:pPr>
      <w:r w:rsidRPr="00BE2C1D">
        <w:rPr>
          <w:rFonts w:cstheme="minorHAnsi"/>
          <w:shd w:val="clear" w:color="auto" w:fill="FFFFFF"/>
        </w:rPr>
        <w:t>Gajparia, J., 2017, March. Capitalising on rapport, emotional labour and colluding with the neoliberal academy. In:  </w:t>
      </w:r>
      <w:r w:rsidRPr="00BE2C1D">
        <w:rPr>
          <w:rFonts w:cstheme="minorHAnsi"/>
          <w:i/>
          <w:iCs/>
          <w:shd w:val="clear" w:color="auto" w:fill="FFFFFF"/>
        </w:rPr>
        <w:t>Women's Studies International Forum</w:t>
      </w:r>
      <w:r w:rsidRPr="00BE2C1D">
        <w:rPr>
          <w:rFonts w:cstheme="minorHAnsi"/>
          <w:shd w:val="clear" w:color="auto" w:fill="FFFFFF"/>
        </w:rPr>
        <w:t> (Vol. 61, pp. 87-92). Pergamon.</w:t>
      </w:r>
    </w:p>
    <w:p w14:paraId="20A6AB98" w14:textId="77777777" w:rsidR="00BE2C1D" w:rsidRPr="00BE2C1D" w:rsidRDefault="00BE2C1D" w:rsidP="00BE2C1D">
      <w:pPr>
        <w:spacing w:line="360" w:lineRule="auto"/>
        <w:rPr>
          <w:rFonts w:cstheme="minorHAnsi"/>
          <w:shd w:val="clear" w:color="auto" w:fill="FFFFFF"/>
        </w:rPr>
      </w:pPr>
      <w:r w:rsidRPr="00BE2C1D">
        <w:rPr>
          <w:rFonts w:cstheme="minorHAnsi"/>
          <w:shd w:val="clear" w:color="auto" w:fill="FFFFFF"/>
        </w:rPr>
        <w:t>Gallagher, M., 2010. Are schools panoptic?. </w:t>
      </w:r>
      <w:r w:rsidRPr="00BE2C1D">
        <w:rPr>
          <w:rFonts w:cstheme="minorHAnsi"/>
          <w:i/>
          <w:iCs/>
          <w:shd w:val="clear" w:color="auto" w:fill="FFFFFF"/>
        </w:rPr>
        <w:t>Surveillance &amp; Society</w:t>
      </w:r>
      <w:r w:rsidRPr="00BE2C1D">
        <w:rPr>
          <w:rFonts w:cstheme="minorHAnsi"/>
          <w:shd w:val="clear" w:color="auto" w:fill="FFFFFF"/>
        </w:rPr>
        <w:t>. </w:t>
      </w:r>
      <w:r w:rsidRPr="00BE2C1D">
        <w:rPr>
          <w:rFonts w:cstheme="minorHAnsi"/>
          <w:b/>
          <w:bCs/>
          <w:shd w:val="clear" w:color="auto" w:fill="FFFFFF"/>
        </w:rPr>
        <w:t>7</w:t>
      </w:r>
      <w:r w:rsidRPr="00BE2C1D">
        <w:rPr>
          <w:rFonts w:cstheme="minorHAnsi"/>
          <w:shd w:val="clear" w:color="auto" w:fill="FFFFFF"/>
        </w:rPr>
        <w:t>(3/4), 262-272.</w:t>
      </w:r>
    </w:p>
    <w:p w14:paraId="3511B80B" w14:textId="77777777" w:rsidR="00BE2C1D" w:rsidRPr="00BE2C1D" w:rsidRDefault="00BE2C1D" w:rsidP="00BE2C1D">
      <w:pPr>
        <w:spacing w:line="360" w:lineRule="auto"/>
        <w:rPr>
          <w:rFonts w:cstheme="minorHAnsi"/>
          <w:shd w:val="clear" w:color="auto" w:fill="FFFFFF"/>
        </w:rPr>
      </w:pPr>
      <w:r w:rsidRPr="00BE2C1D">
        <w:rPr>
          <w:rFonts w:cstheme="minorHAnsi"/>
          <w:shd w:val="clear" w:color="auto" w:fill="FFFFFF"/>
        </w:rPr>
        <w:t>Gallagher, M., 2011. Sound, space and power in a primary school. </w:t>
      </w:r>
      <w:r w:rsidRPr="00BE2C1D">
        <w:rPr>
          <w:rFonts w:cstheme="minorHAnsi"/>
          <w:i/>
          <w:iCs/>
          <w:shd w:val="clear" w:color="auto" w:fill="FFFFFF"/>
        </w:rPr>
        <w:t>Social &amp; Cultural Geography</w:t>
      </w:r>
      <w:r w:rsidRPr="00BE2C1D">
        <w:rPr>
          <w:rFonts w:cstheme="minorHAnsi"/>
          <w:shd w:val="clear" w:color="auto" w:fill="FFFFFF"/>
        </w:rPr>
        <w:t>. </w:t>
      </w:r>
      <w:r w:rsidRPr="00BE2C1D">
        <w:rPr>
          <w:rFonts w:cstheme="minorHAnsi"/>
          <w:b/>
          <w:bCs/>
          <w:shd w:val="clear" w:color="auto" w:fill="FFFFFF"/>
        </w:rPr>
        <w:t>12</w:t>
      </w:r>
      <w:r w:rsidRPr="00BE2C1D">
        <w:rPr>
          <w:rFonts w:cstheme="minorHAnsi"/>
          <w:shd w:val="clear" w:color="auto" w:fill="FFFFFF"/>
        </w:rPr>
        <w:t>(01), 47-61.</w:t>
      </w:r>
    </w:p>
    <w:p w14:paraId="03CE3EF7" w14:textId="77777777" w:rsidR="00BE2C1D" w:rsidRPr="00BE2C1D" w:rsidRDefault="00BE2C1D" w:rsidP="00BE2C1D">
      <w:pPr>
        <w:spacing w:line="360" w:lineRule="auto"/>
        <w:rPr>
          <w:rFonts w:cstheme="minorHAnsi"/>
          <w:shd w:val="clear" w:color="auto" w:fill="FFFFFF"/>
        </w:rPr>
      </w:pPr>
      <w:r w:rsidRPr="00BE2C1D">
        <w:rPr>
          <w:rFonts w:cstheme="minorHAnsi"/>
          <w:shd w:val="clear" w:color="auto" w:fill="FFFFFF"/>
        </w:rPr>
        <w:t>Galvin, R., 2003. The paradox of disability culture: The need to combine versus the imperative to let go. </w:t>
      </w:r>
      <w:r w:rsidRPr="00BE2C1D">
        <w:rPr>
          <w:rFonts w:cstheme="minorHAnsi"/>
          <w:i/>
          <w:iCs/>
          <w:shd w:val="clear" w:color="auto" w:fill="FFFFFF"/>
        </w:rPr>
        <w:t>Disability &amp; Society</w:t>
      </w:r>
      <w:r w:rsidRPr="00BE2C1D">
        <w:rPr>
          <w:rFonts w:cstheme="minorHAnsi"/>
          <w:shd w:val="clear" w:color="auto" w:fill="FFFFFF"/>
        </w:rPr>
        <w:t>. </w:t>
      </w:r>
      <w:r w:rsidRPr="00BE2C1D">
        <w:rPr>
          <w:rFonts w:cstheme="minorHAnsi"/>
          <w:b/>
          <w:bCs/>
          <w:shd w:val="clear" w:color="auto" w:fill="FFFFFF"/>
        </w:rPr>
        <w:t>18</w:t>
      </w:r>
      <w:r w:rsidRPr="00BE2C1D">
        <w:rPr>
          <w:rFonts w:cstheme="minorHAnsi"/>
          <w:shd w:val="clear" w:color="auto" w:fill="FFFFFF"/>
        </w:rPr>
        <w:t>(5), 675-690.</w:t>
      </w:r>
    </w:p>
    <w:p w14:paraId="1A52295A" w14:textId="77777777" w:rsidR="00BE2C1D" w:rsidRPr="00BE2C1D" w:rsidRDefault="00BE2C1D" w:rsidP="00BE2C1D">
      <w:pPr>
        <w:spacing w:line="360" w:lineRule="auto"/>
        <w:jc w:val="both"/>
        <w:rPr>
          <w:rFonts w:cstheme="minorHAnsi"/>
          <w:iCs/>
          <w:bdr w:val="none" w:sz="0" w:space="0" w:color="auto" w:frame="1"/>
          <w:lang w:eastAsia="en-GB"/>
        </w:rPr>
      </w:pPr>
      <w:r w:rsidRPr="00BE2C1D">
        <w:rPr>
          <w:rFonts w:cstheme="minorHAnsi"/>
          <w:bdr w:val="none" w:sz="0" w:space="0" w:color="auto" w:frame="1"/>
          <w:lang w:eastAsia="en-GB"/>
        </w:rPr>
        <w:t>Gannon, S. (2009) Writing narrative. In: J. Higgs, D. Horsfall, S. Grace, eds.</w:t>
      </w:r>
      <w:r w:rsidRPr="00BE2C1D">
        <w:rPr>
          <w:rFonts w:cstheme="minorHAnsi"/>
          <w:lang w:eastAsia="en-GB"/>
        </w:rPr>
        <w:t xml:space="preserve"> </w:t>
      </w:r>
      <w:r w:rsidRPr="00BE2C1D">
        <w:rPr>
          <w:rFonts w:cstheme="minorHAnsi"/>
          <w:i/>
          <w:iCs/>
          <w:bdr w:val="none" w:sz="0" w:space="0" w:color="auto" w:frame="1"/>
          <w:lang w:eastAsia="en-GB"/>
        </w:rPr>
        <w:t xml:space="preserve">Writing qualitative research in practice </w:t>
      </w:r>
      <w:r w:rsidRPr="00BE2C1D">
        <w:rPr>
          <w:rFonts w:cstheme="minorHAnsi"/>
          <w:iCs/>
          <w:bdr w:val="none" w:sz="0" w:space="0" w:color="auto" w:frame="1"/>
          <w:lang w:eastAsia="en-GB"/>
        </w:rPr>
        <w:t xml:space="preserve">Sense Publishers. pp. 73-82. </w:t>
      </w:r>
    </w:p>
    <w:p w14:paraId="5D092E32" w14:textId="77777777" w:rsidR="00BE2C1D" w:rsidRPr="00BE2C1D" w:rsidRDefault="00BE2C1D" w:rsidP="00BE2C1D">
      <w:pPr>
        <w:spacing w:line="360" w:lineRule="auto"/>
        <w:rPr>
          <w:rFonts w:cstheme="minorHAnsi"/>
        </w:rPr>
      </w:pPr>
      <w:r w:rsidRPr="00BE2C1D">
        <w:rPr>
          <w:rFonts w:cstheme="minorHAnsi"/>
          <w:shd w:val="clear" w:color="auto" w:fill="FFFFFF"/>
        </w:rPr>
        <w:t xml:space="preserve">Garland-Thomson, R., (1996). Introduction. In:  </w:t>
      </w:r>
      <w:r w:rsidRPr="00BE2C1D">
        <w:rPr>
          <w:rFonts w:cstheme="minorHAnsi"/>
          <w:i/>
          <w:iCs/>
          <w:shd w:val="clear" w:color="auto" w:fill="FFFFFF"/>
        </w:rPr>
        <w:t>From wonder to error—a genealogy of freak discourse in modernity. Freakery: Cultural spectacles of the extraordinary body</w:t>
      </w:r>
      <w:r w:rsidRPr="00BE2C1D">
        <w:rPr>
          <w:rFonts w:cstheme="minorHAnsi"/>
          <w:shd w:val="clear" w:color="auto" w:fill="FFFFFF"/>
        </w:rPr>
        <w:t>, pp.1-19.</w:t>
      </w:r>
    </w:p>
    <w:p w14:paraId="443E1F76" w14:textId="77777777" w:rsidR="00BE2C1D" w:rsidRPr="00BE2C1D" w:rsidRDefault="00BE2C1D" w:rsidP="00BE2C1D">
      <w:pPr>
        <w:spacing w:line="360" w:lineRule="auto"/>
        <w:rPr>
          <w:rFonts w:cstheme="minorHAnsi"/>
          <w:shd w:val="clear" w:color="auto" w:fill="FFFFFF"/>
        </w:rPr>
      </w:pPr>
      <w:r w:rsidRPr="00BE2C1D">
        <w:rPr>
          <w:rFonts w:cstheme="minorHAnsi"/>
          <w:shd w:val="clear" w:color="auto" w:fill="FFFFFF"/>
        </w:rPr>
        <w:lastRenderedPageBreak/>
        <w:t>Garland-Thomson, R., 2005. Feminist disability studies. </w:t>
      </w:r>
      <w:r w:rsidRPr="00BE2C1D">
        <w:rPr>
          <w:rFonts w:cstheme="minorHAnsi"/>
          <w:i/>
          <w:iCs/>
          <w:shd w:val="clear" w:color="auto" w:fill="FFFFFF"/>
        </w:rPr>
        <w:t>Signs: Journal of women in Culture and Society</w:t>
      </w:r>
      <w:r w:rsidRPr="00BE2C1D">
        <w:rPr>
          <w:rFonts w:cstheme="minorHAnsi"/>
          <w:shd w:val="clear" w:color="auto" w:fill="FFFFFF"/>
        </w:rPr>
        <w:t>. </w:t>
      </w:r>
      <w:r w:rsidRPr="00BE2C1D">
        <w:rPr>
          <w:rFonts w:cstheme="minorHAnsi"/>
          <w:b/>
          <w:bCs/>
          <w:shd w:val="clear" w:color="auto" w:fill="FFFFFF"/>
        </w:rPr>
        <w:t>30</w:t>
      </w:r>
      <w:r w:rsidRPr="00BE2C1D">
        <w:rPr>
          <w:rFonts w:cstheme="minorHAnsi"/>
          <w:shd w:val="clear" w:color="auto" w:fill="FFFFFF"/>
        </w:rPr>
        <w:t>(2), 1557-1587</w:t>
      </w:r>
    </w:p>
    <w:p w14:paraId="1E49CFE8" w14:textId="77777777" w:rsidR="00BE2C1D" w:rsidRPr="00BE2C1D" w:rsidRDefault="00BE2C1D" w:rsidP="00BE2C1D">
      <w:pPr>
        <w:spacing w:line="360" w:lineRule="auto"/>
        <w:rPr>
          <w:rFonts w:cstheme="minorHAnsi"/>
        </w:rPr>
      </w:pPr>
      <w:r w:rsidRPr="00BE2C1D">
        <w:rPr>
          <w:rFonts w:cstheme="minorHAnsi"/>
        </w:rPr>
        <w:t>Garland-Thompson, R., (2009). </w:t>
      </w:r>
      <w:r w:rsidRPr="00BE2C1D">
        <w:rPr>
          <w:rFonts w:cstheme="minorHAnsi"/>
          <w:i/>
          <w:iCs/>
        </w:rPr>
        <w:t>Staring: How we look</w:t>
      </w:r>
      <w:r w:rsidRPr="00BE2C1D">
        <w:rPr>
          <w:rFonts w:cstheme="minorHAnsi"/>
        </w:rPr>
        <w:t>. Oxford: Oxford University Press. </w:t>
      </w:r>
    </w:p>
    <w:p w14:paraId="10B9A930" w14:textId="77777777" w:rsidR="00BE2C1D" w:rsidRPr="00BE2C1D" w:rsidRDefault="00BE2C1D" w:rsidP="00BE2C1D">
      <w:pPr>
        <w:spacing w:line="360" w:lineRule="auto"/>
        <w:rPr>
          <w:rFonts w:cstheme="minorHAnsi"/>
        </w:rPr>
      </w:pPr>
      <w:r w:rsidRPr="00BE2C1D">
        <w:rPr>
          <w:rFonts w:cstheme="minorHAnsi"/>
          <w:lang w:val="en-US"/>
        </w:rPr>
        <w:t xml:space="preserve">Gee, J. P. (1991). The narrativization of experience in the oral style. In: C. Mitchell, and K. Weilek, eds. </w:t>
      </w:r>
      <w:r w:rsidRPr="00BE2C1D">
        <w:rPr>
          <w:rFonts w:cstheme="minorHAnsi"/>
          <w:i/>
          <w:lang w:val="en-US"/>
        </w:rPr>
        <w:t xml:space="preserve">Rewriting Literacy Culture and the Discourse of the Other. </w:t>
      </w:r>
      <w:r w:rsidRPr="00BE2C1D">
        <w:rPr>
          <w:rFonts w:cstheme="minorHAnsi"/>
          <w:lang w:val="en-US"/>
        </w:rPr>
        <w:t>New York: Bergin and Garvey. pp. 77-101</w:t>
      </w:r>
    </w:p>
    <w:p w14:paraId="3D9C48DD" w14:textId="77777777" w:rsidR="00BE2C1D" w:rsidRPr="00BE2C1D" w:rsidRDefault="00BE2C1D" w:rsidP="00BE2C1D">
      <w:pPr>
        <w:spacing w:line="360" w:lineRule="auto"/>
        <w:rPr>
          <w:rFonts w:cstheme="minorHAnsi"/>
          <w:shd w:val="clear" w:color="auto" w:fill="FFFFFF"/>
        </w:rPr>
      </w:pPr>
      <w:r w:rsidRPr="00BE2C1D">
        <w:rPr>
          <w:rFonts w:cstheme="minorHAnsi"/>
          <w:shd w:val="clear" w:color="auto" w:fill="FFFFFF"/>
        </w:rPr>
        <w:t>Georgakopoulou, A., (2015). Small stories research. In: A. De Fina, A. Georgakopoulou, eds. </w:t>
      </w:r>
      <w:r w:rsidRPr="00BE2C1D">
        <w:rPr>
          <w:rFonts w:cstheme="minorHAnsi"/>
          <w:i/>
          <w:iCs/>
          <w:shd w:val="clear" w:color="auto" w:fill="FFFFFF"/>
        </w:rPr>
        <w:t>The handbook of narrative analysis</w:t>
      </w:r>
      <w:r w:rsidRPr="00BE2C1D">
        <w:rPr>
          <w:rFonts w:cstheme="minorHAnsi"/>
          <w:shd w:val="clear" w:color="auto" w:fill="FFFFFF"/>
        </w:rPr>
        <w:t>. Chichester: Blackwell.  pp.255-271.</w:t>
      </w:r>
    </w:p>
    <w:p w14:paraId="2FA4297E" w14:textId="77777777" w:rsidR="00BE2C1D" w:rsidRPr="00BE2C1D" w:rsidRDefault="00BE2C1D" w:rsidP="00BE2C1D">
      <w:pPr>
        <w:spacing w:line="360" w:lineRule="auto"/>
        <w:rPr>
          <w:rFonts w:cstheme="minorHAnsi"/>
          <w:shd w:val="clear" w:color="auto" w:fill="FFFFFF"/>
        </w:rPr>
      </w:pPr>
      <w:r w:rsidRPr="00BE2C1D">
        <w:rPr>
          <w:rFonts w:cstheme="minorHAnsi"/>
          <w:shd w:val="clear" w:color="auto" w:fill="FFFFFF"/>
        </w:rPr>
        <w:t>Giangreco, M.F., 2010. Utilization of teacher assistants in inclusive schools: Is it the kind of help that helping is all about?. </w:t>
      </w:r>
      <w:r w:rsidRPr="00BE2C1D">
        <w:rPr>
          <w:rFonts w:cstheme="minorHAnsi"/>
          <w:i/>
          <w:iCs/>
          <w:shd w:val="clear" w:color="auto" w:fill="FFFFFF"/>
        </w:rPr>
        <w:t>European journal of special needs education</w:t>
      </w:r>
      <w:r w:rsidRPr="00BE2C1D">
        <w:rPr>
          <w:rFonts w:cstheme="minorHAnsi"/>
          <w:shd w:val="clear" w:color="auto" w:fill="FFFFFF"/>
        </w:rPr>
        <w:t>. </w:t>
      </w:r>
      <w:r w:rsidRPr="00BE2C1D">
        <w:rPr>
          <w:rFonts w:cstheme="minorHAnsi"/>
          <w:b/>
          <w:bCs/>
          <w:shd w:val="clear" w:color="auto" w:fill="FFFFFF"/>
        </w:rPr>
        <w:t>25</w:t>
      </w:r>
      <w:r w:rsidRPr="00BE2C1D">
        <w:rPr>
          <w:rFonts w:cstheme="minorHAnsi"/>
          <w:shd w:val="clear" w:color="auto" w:fill="FFFFFF"/>
        </w:rPr>
        <w:t>(4), 341-345.</w:t>
      </w:r>
    </w:p>
    <w:p w14:paraId="47D88D22" w14:textId="77777777" w:rsidR="00BE2C1D" w:rsidRPr="00BE2C1D" w:rsidRDefault="00BE2C1D" w:rsidP="00BE2C1D">
      <w:pPr>
        <w:spacing w:line="360" w:lineRule="auto"/>
        <w:rPr>
          <w:rFonts w:cstheme="minorHAnsi"/>
          <w:shd w:val="clear" w:color="auto" w:fill="FFFFFF"/>
        </w:rPr>
      </w:pPr>
      <w:r w:rsidRPr="00BE2C1D">
        <w:rPr>
          <w:rFonts w:cstheme="minorHAnsi"/>
        </w:rPr>
        <w:t xml:space="preserve">Giangreco, M.F., &amp; Doyle, M.B. (2007). Teacher assistants in inclusive schools. In L. Florian, ed. </w:t>
      </w:r>
      <w:r w:rsidRPr="00BE2C1D">
        <w:rPr>
          <w:rFonts w:cstheme="minorHAnsi"/>
          <w:i/>
          <w:iCs/>
        </w:rPr>
        <w:t>The SAGE handbook of special education.</w:t>
      </w:r>
      <w:r w:rsidRPr="00BE2C1D">
        <w:rPr>
          <w:rFonts w:cstheme="minorHAnsi"/>
        </w:rPr>
        <w:t xml:space="preserve"> London: Sage. pp. 429-439</w:t>
      </w:r>
    </w:p>
    <w:p w14:paraId="59AB1A55" w14:textId="77777777" w:rsidR="00BE2C1D" w:rsidRPr="00BE2C1D" w:rsidRDefault="00BE2C1D" w:rsidP="00BE2C1D">
      <w:pPr>
        <w:spacing w:line="360" w:lineRule="auto"/>
        <w:rPr>
          <w:rFonts w:cstheme="minorHAnsi"/>
          <w:shd w:val="clear" w:color="auto" w:fill="FFFFFF"/>
        </w:rPr>
      </w:pPr>
      <w:r w:rsidRPr="00BE2C1D">
        <w:rPr>
          <w:rFonts w:cstheme="minorHAnsi"/>
          <w:shd w:val="clear" w:color="auto" w:fill="FFFFFF"/>
        </w:rPr>
        <w:t>Giangreco, M.F., Edelman, S.W., Luiselli, T.E. and MacFarland, S.Z., 1997. Helping or hovering? Effects of instructional assistant proximity on students with disabilities. </w:t>
      </w:r>
      <w:r w:rsidRPr="00BE2C1D">
        <w:rPr>
          <w:rFonts w:cstheme="minorHAnsi"/>
          <w:i/>
          <w:iCs/>
          <w:shd w:val="clear" w:color="auto" w:fill="FFFFFF"/>
        </w:rPr>
        <w:t>Exceptional children</w:t>
      </w:r>
      <w:r w:rsidRPr="00BE2C1D">
        <w:rPr>
          <w:rFonts w:cstheme="minorHAnsi"/>
          <w:shd w:val="clear" w:color="auto" w:fill="FFFFFF"/>
        </w:rPr>
        <w:t>, </w:t>
      </w:r>
      <w:r w:rsidRPr="00BE2C1D">
        <w:rPr>
          <w:rFonts w:cstheme="minorHAnsi"/>
          <w:b/>
          <w:bCs/>
          <w:shd w:val="clear" w:color="auto" w:fill="FFFFFF"/>
        </w:rPr>
        <w:t>64</w:t>
      </w:r>
      <w:r w:rsidRPr="00BE2C1D">
        <w:rPr>
          <w:rFonts w:cstheme="minorHAnsi"/>
          <w:shd w:val="clear" w:color="auto" w:fill="FFFFFF"/>
        </w:rPr>
        <w:t>(1), 7-18.</w:t>
      </w:r>
    </w:p>
    <w:p w14:paraId="141E0593" w14:textId="77777777" w:rsidR="00BE2C1D" w:rsidRPr="00BE2C1D" w:rsidRDefault="00BE2C1D" w:rsidP="00BE2C1D">
      <w:pPr>
        <w:spacing w:line="360" w:lineRule="auto"/>
        <w:rPr>
          <w:rFonts w:cstheme="minorHAnsi"/>
          <w:shd w:val="clear" w:color="auto" w:fill="FFFFFF"/>
        </w:rPr>
      </w:pPr>
      <w:r w:rsidRPr="00BE2C1D">
        <w:rPr>
          <w:rFonts w:cstheme="minorHAnsi"/>
          <w:shd w:val="clear" w:color="auto" w:fill="FFFFFF"/>
        </w:rPr>
        <w:t>Giangreco, M.F., Edelman, S.W., Broer, S.M. and Doyle, M.B., 2001. Paraprofessional support of students with disabilities: Literature from the past decade. </w:t>
      </w:r>
      <w:r w:rsidRPr="00BE2C1D">
        <w:rPr>
          <w:rFonts w:cstheme="minorHAnsi"/>
          <w:i/>
          <w:iCs/>
          <w:shd w:val="clear" w:color="auto" w:fill="FFFFFF"/>
        </w:rPr>
        <w:t>Exceptional Children</w:t>
      </w:r>
      <w:r w:rsidRPr="00BE2C1D">
        <w:rPr>
          <w:rFonts w:cstheme="minorHAnsi"/>
          <w:shd w:val="clear" w:color="auto" w:fill="FFFFFF"/>
        </w:rPr>
        <w:t>. </w:t>
      </w:r>
      <w:r w:rsidRPr="00BE2C1D">
        <w:rPr>
          <w:rFonts w:cstheme="minorHAnsi"/>
          <w:b/>
          <w:bCs/>
          <w:shd w:val="clear" w:color="auto" w:fill="FFFFFF"/>
        </w:rPr>
        <w:t>68</w:t>
      </w:r>
      <w:r w:rsidRPr="00BE2C1D">
        <w:rPr>
          <w:rFonts w:cstheme="minorHAnsi"/>
          <w:shd w:val="clear" w:color="auto" w:fill="FFFFFF"/>
        </w:rPr>
        <w:t>(1), 45-63.</w:t>
      </w:r>
    </w:p>
    <w:p w14:paraId="5EC891F2" w14:textId="77777777" w:rsidR="00BE2C1D" w:rsidRPr="00BE2C1D" w:rsidRDefault="00BE2C1D" w:rsidP="00BE2C1D">
      <w:pPr>
        <w:spacing w:line="360" w:lineRule="auto"/>
        <w:jc w:val="both"/>
        <w:rPr>
          <w:rFonts w:cstheme="minorHAnsi"/>
          <w:lang w:val="en-US"/>
        </w:rPr>
      </w:pPr>
      <w:r w:rsidRPr="00BE2C1D">
        <w:rPr>
          <w:rFonts w:cstheme="minorHAnsi"/>
          <w:lang w:val="en-US"/>
        </w:rPr>
        <w:t xml:space="preserve">Gibson, B., Mistry, B., Smith, B., Yoshida, K. K., Abbott, D., Lindsay S. &amp;Hamdani, Y., 2014. Becoming men: Gender, disability, and transitioning to adulthood. </w:t>
      </w:r>
      <w:r w:rsidRPr="00BE2C1D">
        <w:rPr>
          <w:rFonts w:cstheme="minorHAnsi"/>
          <w:i/>
          <w:lang w:val="en-US"/>
        </w:rPr>
        <w:t xml:space="preserve">Health. </w:t>
      </w:r>
      <w:r w:rsidRPr="00BE2C1D">
        <w:rPr>
          <w:rFonts w:cstheme="minorHAnsi"/>
          <w:b/>
          <w:bCs/>
          <w:lang w:val="en-US"/>
        </w:rPr>
        <w:t>18</w:t>
      </w:r>
      <w:r w:rsidRPr="00BE2C1D">
        <w:rPr>
          <w:rFonts w:cstheme="minorHAnsi"/>
          <w:lang w:val="en-US"/>
        </w:rPr>
        <w:t xml:space="preserve">(1), 95-114. </w:t>
      </w:r>
    </w:p>
    <w:p w14:paraId="4F93DDEF" w14:textId="77777777" w:rsidR="00BE2C1D" w:rsidRPr="00BE2C1D" w:rsidRDefault="00BE2C1D" w:rsidP="00BE2C1D">
      <w:pPr>
        <w:spacing w:line="360" w:lineRule="auto"/>
        <w:rPr>
          <w:rFonts w:cstheme="minorHAnsi"/>
          <w:shd w:val="clear" w:color="auto" w:fill="FFFFFF"/>
        </w:rPr>
      </w:pPr>
      <w:r w:rsidRPr="00BE2C1D">
        <w:rPr>
          <w:rFonts w:cstheme="minorHAnsi"/>
          <w:shd w:val="clear" w:color="auto" w:fill="FFFFFF"/>
        </w:rPr>
        <w:t>Gibson, B.E., King, G., Teachman, G., Mistry, B. and Hamdani, Y., 2017. Assembling activity/setting participation with disabled young people. </w:t>
      </w:r>
      <w:r w:rsidRPr="00BE2C1D">
        <w:rPr>
          <w:rFonts w:cstheme="minorHAnsi"/>
          <w:i/>
          <w:iCs/>
          <w:shd w:val="clear" w:color="auto" w:fill="FFFFFF"/>
        </w:rPr>
        <w:t>Sociology of health &amp; illness</w:t>
      </w:r>
      <w:r w:rsidRPr="00BE2C1D">
        <w:rPr>
          <w:rFonts w:cstheme="minorHAnsi"/>
          <w:shd w:val="clear" w:color="auto" w:fill="FFFFFF"/>
        </w:rPr>
        <w:t>. </w:t>
      </w:r>
      <w:r w:rsidRPr="00BE2C1D">
        <w:rPr>
          <w:rFonts w:cstheme="minorHAnsi"/>
          <w:b/>
          <w:bCs/>
          <w:shd w:val="clear" w:color="auto" w:fill="FFFFFF"/>
        </w:rPr>
        <w:t>39</w:t>
      </w:r>
      <w:r w:rsidRPr="00BE2C1D">
        <w:rPr>
          <w:rFonts w:cstheme="minorHAnsi"/>
          <w:shd w:val="clear" w:color="auto" w:fill="FFFFFF"/>
        </w:rPr>
        <w:t>(4), 497-512.</w:t>
      </w:r>
    </w:p>
    <w:p w14:paraId="76B5FEAD" w14:textId="77777777" w:rsidR="00BE2C1D" w:rsidRPr="00BE2C1D" w:rsidRDefault="00BE2C1D" w:rsidP="00BE2C1D">
      <w:pPr>
        <w:spacing w:line="360" w:lineRule="auto"/>
        <w:rPr>
          <w:rFonts w:cstheme="minorHAnsi"/>
          <w:shd w:val="clear" w:color="auto" w:fill="FFFFFF"/>
        </w:rPr>
      </w:pPr>
      <w:r w:rsidRPr="00BE2C1D">
        <w:rPr>
          <w:rFonts w:cstheme="minorHAnsi"/>
          <w:shd w:val="clear" w:color="auto" w:fill="FFFFFF"/>
        </w:rPr>
        <w:t>Giese, M. and Ruin, S., 2018. Forgotten bodies–an examination of physical education from the perspective of ableism. </w:t>
      </w:r>
      <w:r w:rsidRPr="00BE2C1D">
        <w:rPr>
          <w:rFonts w:cstheme="minorHAnsi"/>
          <w:i/>
          <w:iCs/>
          <w:shd w:val="clear" w:color="auto" w:fill="FFFFFF"/>
        </w:rPr>
        <w:t>Sport in Society</w:t>
      </w:r>
      <w:r w:rsidRPr="00BE2C1D">
        <w:rPr>
          <w:rFonts w:cstheme="minorHAnsi"/>
          <w:shd w:val="clear" w:color="auto" w:fill="FFFFFF"/>
        </w:rPr>
        <w:t>. </w:t>
      </w:r>
      <w:r w:rsidRPr="00BE2C1D">
        <w:rPr>
          <w:rFonts w:cstheme="minorHAnsi"/>
          <w:b/>
          <w:bCs/>
          <w:shd w:val="clear" w:color="auto" w:fill="FFFFFF"/>
        </w:rPr>
        <w:t>21</w:t>
      </w:r>
      <w:r w:rsidRPr="00BE2C1D">
        <w:rPr>
          <w:rFonts w:cstheme="minorHAnsi"/>
          <w:shd w:val="clear" w:color="auto" w:fill="FFFFFF"/>
        </w:rPr>
        <w:t>(1), 152-165.</w:t>
      </w:r>
    </w:p>
    <w:p w14:paraId="3EF81F6B" w14:textId="77777777" w:rsidR="00BE2C1D" w:rsidRPr="00BE2C1D" w:rsidRDefault="00BE2C1D" w:rsidP="00BE2C1D">
      <w:pPr>
        <w:spacing w:line="360" w:lineRule="auto"/>
        <w:rPr>
          <w:rFonts w:cstheme="minorHAnsi"/>
          <w:shd w:val="clear" w:color="auto" w:fill="FFFFFF"/>
        </w:rPr>
      </w:pPr>
      <w:r w:rsidRPr="00BE2C1D">
        <w:rPr>
          <w:rFonts w:cstheme="minorHAnsi"/>
          <w:shd w:val="clear" w:color="auto" w:fill="FFFFFF"/>
        </w:rPr>
        <w:t>Giles, J.W. and Heyman, G.D., 2005. Young children's beliefs about the relationship between gender and aggressive behavior. </w:t>
      </w:r>
      <w:r w:rsidRPr="00BE2C1D">
        <w:rPr>
          <w:rFonts w:cstheme="minorHAnsi"/>
          <w:i/>
          <w:iCs/>
          <w:shd w:val="clear" w:color="auto" w:fill="FFFFFF"/>
        </w:rPr>
        <w:t>Child development</w:t>
      </w:r>
      <w:r w:rsidRPr="00BE2C1D">
        <w:rPr>
          <w:rFonts w:cstheme="minorHAnsi"/>
          <w:shd w:val="clear" w:color="auto" w:fill="FFFFFF"/>
        </w:rPr>
        <w:t>. </w:t>
      </w:r>
      <w:r w:rsidRPr="00BE2C1D">
        <w:rPr>
          <w:rFonts w:cstheme="minorHAnsi"/>
          <w:b/>
          <w:bCs/>
          <w:shd w:val="clear" w:color="auto" w:fill="FFFFFF"/>
        </w:rPr>
        <w:t>76</w:t>
      </w:r>
      <w:r w:rsidRPr="00BE2C1D">
        <w:rPr>
          <w:rFonts w:cstheme="minorHAnsi"/>
          <w:shd w:val="clear" w:color="auto" w:fill="FFFFFF"/>
        </w:rPr>
        <w:t>(1), 107-121.</w:t>
      </w:r>
    </w:p>
    <w:p w14:paraId="4FDA2D5A" w14:textId="77777777" w:rsidR="00BE2C1D" w:rsidRPr="00BE2C1D" w:rsidRDefault="00BE2C1D" w:rsidP="00BE2C1D">
      <w:pPr>
        <w:spacing w:line="360" w:lineRule="auto"/>
        <w:rPr>
          <w:rFonts w:cstheme="minorHAnsi"/>
          <w:shd w:val="clear" w:color="auto" w:fill="FFFFFF"/>
        </w:rPr>
      </w:pPr>
      <w:r w:rsidRPr="00BE2C1D">
        <w:rPr>
          <w:rFonts w:cstheme="minorHAnsi"/>
          <w:shd w:val="clear" w:color="auto" w:fill="FFFFFF"/>
        </w:rPr>
        <w:t>Gimlin, D., 2006. The absent body project: Cosmetic surgery as a response to bodily dys-appearance. </w:t>
      </w:r>
      <w:r w:rsidRPr="00BE2C1D">
        <w:rPr>
          <w:rFonts w:cstheme="minorHAnsi"/>
          <w:i/>
          <w:iCs/>
          <w:shd w:val="clear" w:color="auto" w:fill="FFFFFF"/>
        </w:rPr>
        <w:t>Sociology</w:t>
      </w:r>
      <w:r w:rsidRPr="00BE2C1D">
        <w:rPr>
          <w:rFonts w:cstheme="minorHAnsi"/>
          <w:shd w:val="clear" w:color="auto" w:fill="FFFFFF"/>
        </w:rPr>
        <w:t>. </w:t>
      </w:r>
      <w:r w:rsidRPr="00BE2C1D">
        <w:rPr>
          <w:rFonts w:cstheme="minorHAnsi"/>
          <w:b/>
          <w:bCs/>
          <w:shd w:val="clear" w:color="auto" w:fill="FFFFFF"/>
        </w:rPr>
        <w:t>40</w:t>
      </w:r>
      <w:r w:rsidRPr="00BE2C1D">
        <w:rPr>
          <w:rFonts w:cstheme="minorHAnsi"/>
          <w:shd w:val="clear" w:color="auto" w:fill="FFFFFF"/>
        </w:rPr>
        <w:t xml:space="preserve">(4), .699-716. </w:t>
      </w:r>
    </w:p>
    <w:p w14:paraId="000ABB9A" w14:textId="77777777" w:rsidR="00BE2C1D" w:rsidRPr="00BE2C1D" w:rsidRDefault="00BE2C1D" w:rsidP="00BE2C1D">
      <w:pPr>
        <w:spacing w:line="360" w:lineRule="auto"/>
        <w:rPr>
          <w:rFonts w:cstheme="minorHAnsi"/>
          <w:shd w:val="clear" w:color="auto" w:fill="FFFFFF"/>
        </w:rPr>
      </w:pPr>
      <w:r w:rsidRPr="00BE2C1D">
        <w:rPr>
          <w:rFonts w:cstheme="minorHAnsi"/>
          <w:shd w:val="clear" w:color="auto" w:fill="FFFFFF"/>
        </w:rPr>
        <w:t>Gini, G. and Pozzoli, T., 2009. Association between bullying and psychosomatic problems: A meta-analysis. </w:t>
      </w:r>
      <w:r w:rsidRPr="00BE2C1D">
        <w:rPr>
          <w:rFonts w:cstheme="minorHAnsi"/>
          <w:i/>
          <w:iCs/>
          <w:shd w:val="clear" w:color="auto" w:fill="FFFFFF"/>
        </w:rPr>
        <w:t>Pediatrics</w:t>
      </w:r>
      <w:r w:rsidRPr="00BE2C1D">
        <w:rPr>
          <w:rFonts w:cstheme="minorHAnsi"/>
          <w:shd w:val="clear" w:color="auto" w:fill="FFFFFF"/>
        </w:rPr>
        <w:t>. </w:t>
      </w:r>
      <w:r w:rsidRPr="00BE2C1D">
        <w:rPr>
          <w:rFonts w:cstheme="minorHAnsi"/>
          <w:b/>
          <w:bCs/>
          <w:shd w:val="clear" w:color="auto" w:fill="FFFFFF"/>
        </w:rPr>
        <w:t>123</w:t>
      </w:r>
      <w:r w:rsidRPr="00BE2C1D">
        <w:rPr>
          <w:rFonts w:cstheme="minorHAnsi"/>
          <w:shd w:val="clear" w:color="auto" w:fill="FFFFFF"/>
        </w:rPr>
        <w:t>(3), 1059-1065.</w:t>
      </w:r>
    </w:p>
    <w:p w14:paraId="36CBB79F" w14:textId="77777777" w:rsidR="00BE2C1D" w:rsidRPr="00BE2C1D" w:rsidRDefault="00BE2C1D" w:rsidP="00BE2C1D">
      <w:pPr>
        <w:spacing w:line="360" w:lineRule="auto"/>
        <w:rPr>
          <w:rFonts w:cstheme="minorHAnsi"/>
          <w:shd w:val="clear" w:color="auto" w:fill="FFFFFF"/>
        </w:rPr>
      </w:pPr>
      <w:r w:rsidRPr="00BE2C1D">
        <w:rPr>
          <w:rFonts w:cstheme="minorHAnsi"/>
          <w:shd w:val="clear" w:color="auto" w:fill="FFFFFF"/>
        </w:rPr>
        <w:lastRenderedPageBreak/>
        <w:t>Goodley, D., 2007a. Towards socially just pedagogies: Deleuzoguattarian critical disability studies. </w:t>
      </w:r>
      <w:r w:rsidRPr="00BE2C1D">
        <w:rPr>
          <w:rFonts w:cstheme="minorHAnsi"/>
          <w:i/>
          <w:iCs/>
          <w:shd w:val="clear" w:color="auto" w:fill="FFFFFF"/>
        </w:rPr>
        <w:t>International journal of inclusive education</w:t>
      </w:r>
      <w:r w:rsidRPr="00BE2C1D">
        <w:rPr>
          <w:rFonts w:cstheme="minorHAnsi"/>
          <w:shd w:val="clear" w:color="auto" w:fill="FFFFFF"/>
        </w:rPr>
        <w:t>. </w:t>
      </w:r>
      <w:r w:rsidRPr="00BE2C1D">
        <w:rPr>
          <w:rFonts w:cstheme="minorHAnsi"/>
          <w:b/>
          <w:bCs/>
          <w:shd w:val="clear" w:color="auto" w:fill="FFFFFF"/>
        </w:rPr>
        <w:t>11</w:t>
      </w:r>
      <w:r w:rsidRPr="00BE2C1D">
        <w:rPr>
          <w:rFonts w:cstheme="minorHAnsi"/>
          <w:shd w:val="clear" w:color="auto" w:fill="FFFFFF"/>
        </w:rPr>
        <w:t>(3), 317-334.</w:t>
      </w:r>
    </w:p>
    <w:p w14:paraId="40501CD7" w14:textId="77777777" w:rsidR="00BE2C1D" w:rsidRPr="00BE2C1D" w:rsidRDefault="00BE2C1D" w:rsidP="00BE2C1D">
      <w:pPr>
        <w:spacing w:line="360" w:lineRule="auto"/>
        <w:rPr>
          <w:rFonts w:cstheme="minorHAnsi"/>
          <w:shd w:val="clear" w:color="auto" w:fill="FFFFFF"/>
        </w:rPr>
      </w:pPr>
      <w:r w:rsidRPr="00BE2C1D">
        <w:rPr>
          <w:rFonts w:cstheme="minorHAnsi"/>
          <w:shd w:val="clear" w:color="auto" w:fill="FFFFFF"/>
        </w:rPr>
        <w:t>Goodley, D., 2007b. Becoming rhizomatic parents: Deleuze, Guattari and disabled babies. </w:t>
      </w:r>
      <w:r w:rsidRPr="00BE2C1D">
        <w:rPr>
          <w:rFonts w:cstheme="minorHAnsi"/>
          <w:i/>
          <w:iCs/>
          <w:shd w:val="clear" w:color="auto" w:fill="FFFFFF"/>
        </w:rPr>
        <w:t>Disability &amp; Society</w:t>
      </w:r>
      <w:r w:rsidRPr="00BE2C1D">
        <w:rPr>
          <w:rFonts w:cstheme="minorHAnsi"/>
          <w:shd w:val="clear" w:color="auto" w:fill="FFFFFF"/>
        </w:rPr>
        <w:t>. </w:t>
      </w:r>
      <w:r w:rsidRPr="00BE2C1D">
        <w:rPr>
          <w:rFonts w:cstheme="minorHAnsi"/>
          <w:b/>
          <w:bCs/>
          <w:shd w:val="clear" w:color="auto" w:fill="FFFFFF"/>
        </w:rPr>
        <w:t>22</w:t>
      </w:r>
      <w:r w:rsidRPr="00BE2C1D">
        <w:rPr>
          <w:rFonts w:cstheme="minorHAnsi"/>
          <w:shd w:val="clear" w:color="auto" w:fill="FFFFFF"/>
        </w:rPr>
        <w:t>(2), 145-160.</w:t>
      </w:r>
    </w:p>
    <w:p w14:paraId="5C6F2F8F" w14:textId="77777777" w:rsidR="00BE2C1D" w:rsidRPr="00BE2C1D" w:rsidRDefault="00BE2C1D" w:rsidP="00BE2C1D">
      <w:pPr>
        <w:spacing w:line="360" w:lineRule="auto"/>
        <w:rPr>
          <w:rFonts w:cstheme="minorHAnsi"/>
          <w:shd w:val="clear" w:color="auto" w:fill="FFFFFF"/>
        </w:rPr>
      </w:pPr>
      <w:r w:rsidRPr="00BE2C1D">
        <w:rPr>
          <w:rFonts w:cstheme="minorHAnsi"/>
          <w:shd w:val="clear" w:color="auto" w:fill="FFFFFF"/>
        </w:rPr>
        <w:t xml:space="preserve">Goodley, D., (2012). The psychology of disability. In: N. Watson, A. Roulstone, C. Thomas, eds. </w:t>
      </w:r>
      <w:r w:rsidRPr="00BE2C1D">
        <w:rPr>
          <w:rFonts w:cstheme="minorHAnsi"/>
          <w:i/>
          <w:iCs/>
          <w:shd w:val="clear" w:color="auto" w:fill="FFFFFF"/>
        </w:rPr>
        <w:t>Routledge handbook of disability studies</w:t>
      </w:r>
      <w:r w:rsidRPr="00BE2C1D">
        <w:rPr>
          <w:rFonts w:cstheme="minorHAnsi"/>
          <w:shd w:val="clear" w:color="auto" w:fill="FFFFFF"/>
        </w:rPr>
        <w:t>. London: Routledge. pp. 310-323.</w:t>
      </w:r>
    </w:p>
    <w:p w14:paraId="3080576B" w14:textId="77777777" w:rsidR="00BE2C1D" w:rsidRPr="00BE2C1D" w:rsidRDefault="00BE2C1D" w:rsidP="00BE2C1D">
      <w:pPr>
        <w:spacing w:line="360" w:lineRule="auto"/>
        <w:rPr>
          <w:rFonts w:cstheme="minorHAnsi"/>
          <w:shd w:val="clear" w:color="auto" w:fill="FFFFFF"/>
        </w:rPr>
      </w:pPr>
      <w:r w:rsidRPr="00BE2C1D">
        <w:rPr>
          <w:rFonts w:cstheme="minorHAnsi"/>
          <w:shd w:val="clear" w:color="auto" w:fill="FFFFFF"/>
        </w:rPr>
        <w:t>Goodley, D., 2013. Dis/entangling critical disability studies. </w:t>
      </w:r>
      <w:r w:rsidRPr="00BE2C1D">
        <w:rPr>
          <w:rFonts w:cstheme="minorHAnsi"/>
          <w:i/>
          <w:iCs/>
          <w:shd w:val="clear" w:color="auto" w:fill="FFFFFF"/>
        </w:rPr>
        <w:t>Disability &amp; Society</w:t>
      </w:r>
      <w:r w:rsidRPr="00BE2C1D">
        <w:rPr>
          <w:rFonts w:cstheme="minorHAnsi"/>
          <w:shd w:val="clear" w:color="auto" w:fill="FFFFFF"/>
        </w:rPr>
        <w:t>. </w:t>
      </w:r>
      <w:r w:rsidRPr="00BE2C1D">
        <w:rPr>
          <w:rFonts w:cstheme="minorHAnsi"/>
          <w:b/>
          <w:bCs/>
          <w:shd w:val="clear" w:color="auto" w:fill="FFFFFF"/>
        </w:rPr>
        <w:t>2</w:t>
      </w:r>
      <w:r w:rsidRPr="00BE2C1D">
        <w:rPr>
          <w:rFonts w:cstheme="minorHAnsi"/>
          <w:b/>
          <w:bCs/>
          <w:i/>
          <w:iCs/>
          <w:shd w:val="clear" w:color="auto" w:fill="FFFFFF"/>
        </w:rPr>
        <w:t>8</w:t>
      </w:r>
      <w:r w:rsidRPr="00BE2C1D">
        <w:rPr>
          <w:rFonts w:cstheme="minorHAnsi"/>
          <w:shd w:val="clear" w:color="auto" w:fill="FFFFFF"/>
        </w:rPr>
        <w:t>(5), 631-644.</w:t>
      </w:r>
    </w:p>
    <w:p w14:paraId="46A66EE0" w14:textId="77777777" w:rsidR="00BE2C1D" w:rsidRPr="00BE2C1D" w:rsidRDefault="00BE2C1D" w:rsidP="00BE2C1D">
      <w:pPr>
        <w:spacing w:line="360" w:lineRule="auto"/>
        <w:rPr>
          <w:rFonts w:cstheme="minorHAnsi"/>
          <w:shd w:val="clear" w:color="auto" w:fill="FFFFFF"/>
        </w:rPr>
      </w:pPr>
      <w:r w:rsidRPr="00BE2C1D">
        <w:rPr>
          <w:rFonts w:cstheme="minorHAnsi"/>
          <w:shd w:val="clear" w:color="auto" w:fill="FFFFFF"/>
        </w:rPr>
        <w:t>Goodley, D., (2014). </w:t>
      </w:r>
      <w:r w:rsidRPr="00BE2C1D">
        <w:rPr>
          <w:rFonts w:cstheme="minorHAnsi"/>
          <w:i/>
          <w:iCs/>
          <w:shd w:val="clear" w:color="auto" w:fill="FFFFFF"/>
        </w:rPr>
        <w:t>Dis/ability studies: Theorising disablism and ableism</w:t>
      </w:r>
      <w:r w:rsidRPr="00BE2C1D">
        <w:rPr>
          <w:rFonts w:cstheme="minorHAnsi"/>
          <w:shd w:val="clear" w:color="auto" w:fill="FFFFFF"/>
        </w:rPr>
        <w:t>. Oxon: Routledge.</w:t>
      </w:r>
    </w:p>
    <w:p w14:paraId="79F85A64" w14:textId="77777777" w:rsidR="00BE2C1D" w:rsidRPr="00BE2C1D" w:rsidRDefault="00BE2C1D" w:rsidP="00BE2C1D">
      <w:pPr>
        <w:spacing w:line="360" w:lineRule="auto"/>
        <w:rPr>
          <w:rFonts w:cstheme="minorHAnsi"/>
          <w:shd w:val="clear" w:color="auto" w:fill="FFFFFF"/>
        </w:rPr>
      </w:pPr>
      <w:r w:rsidRPr="00BE2C1D">
        <w:rPr>
          <w:rFonts w:cstheme="minorHAnsi"/>
          <w:shd w:val="clear" w:color="auto" w:fill="FFFFFF"/>
        </w:rPr>
        <w:t>Goodley, D., (2016). </w:t>
      </w:r>
      <w:r w:rsidRPr="00BE2C1D">
        <w:rPr>
          <w:rFonts w:cstheme="minorHAnsi"/>
          <w:i/>
          <w:iCs/>
          <w:shd w:val="clear" w:color="auto" w:fill="FFFFFF"/>
        </w:rPr>
        <w:t>Disability studies: An interdisciplinary introduction</w:t>
      </w:r>
      <w:r w:rsidRPr="00BE2C1D">
        <w:rPr>
          <w:rFonts w:cstheme="minorHAnsi"/>
          <w:shd w:val="clear" w:color="auto" w:fill="FFFFFF"/>
        </w:rPr>
        <w:t>. 2</w:t>
      </w:r>
      <w:r w:rsidRPr="00BE2C1D">
        <w:rPr>
          <w:rFonts w:cstheme="minorHAnsi"/>
          <w:shd w:val="clear" w:color="auto" w:fill="FFFFFF"/>
          <w:vertAlign w:val="superscript"/>
        </w:rPr>
        <w:t>nd</w:t>
      </w:r>
      <w:r w:rsidRPr="00BE2C1D">
        <w:rPr>
          <w:rFonts w:cstheme="minorHAnsi"/>
          <w:shd w:val="clear" w:color="auto" w:fill="FFFFFF"/>
        </w:rPr>
        <w:t xml:space="preserve"> edition. London: Sage.</w:t>
      </w:r>
    </w:p>
    <w:p w14:paraId="47B0B86C" w14:textId="77777777" w:rsidR="00BE2C1D" w:rsidRPr="00BE2C1D" w:rsidRDefault="00BE2C1D" w:rsidP="00BE2C1D">
      <w:pPr>
        <w:spacing w:line="360" w:lineRule="auto"/>
        <w:rPr>
          <w:rFonts w:cstheme="minorHAnsi"/>
          <w:shd w:val="clear" w:color="auto" w:fill="FFFFFF"/>
        </w:rPr>
      </w:pPr>
      <w:r w:rsidRPr="00BE2C1D">
        <w:rPr>
          <w:rFonts w:cstheme="minorHAnsi"/>
          <w:shd w:val="clear" w:color="auto" w:fill="FFFFFF"/>
        </w:rPr>
        <w:t>Goodley, D., 2018. Understanding disability: Biopsychology, biopolitics, and an in-between-all politics. </w:t>
      </w:r>
      <w:r w:rsidRPr="00BE2C1D">
        <w:rPr>
          <w:rFonts w:cstheme="minorHAnsi"/>
          <w:i/>
          <w:iCs/>
          <w:shd w:val="clear" w:color="auto" w:fill="FFFFFF"/>
        </w:rPr>
        <w:t>Adapted Physical Activity Quarterly</w:t>
      </w:r>
      <w:r w:rsidRPr="00BE2C1D">
        <w:rPr>
          <w:rFonts w:cstheme="minorHAnsi"/>
          <w:shd w:val="clear" w:color="auto" w:fill="FFFFFF"/>
        </w:rPr>
        <w:t>. </w:t>
      </w:r>
      <w:r w:rsidRPr="00BE2C1D">
        <w:rPr>
          <w:rFonts w:cstheme="minorHAnsi"/>
          <w:b/>
          <w:bCs/>
          <w:shd w:val="clear" w:color="auto" w:fill="FFFFFF"/>
        </w:rPr>
        <w:t>35</w:t>
      </w:r>
      <w:r w:rsidRPr="00BE2C1D">
        <w:rPr>
          <w:rFonts w:cstheme="minorHAnsi"/>
          <w:shd w:val="clear" w:color="auto" w:fill="FFFFFF"/>
        </w:rPr>
        <w:t>(3), 308-319.</w:t>
      </w:r>
    </w:p>
    <w:p w14:paraId="619FD815" w14:textId="77777777" w:rsidR="00BE2C1D" w:rsidRPr="00BE2C1D" w:rsidRDefault="00BE2C1D" w:rsidP="00BE2C1D">
      <w:pPr>
        <w:spacing w:line="360" w:lineRule="auto"/>
        <w:rPr>
          <w:rFonts w:cstheme="minorHAnsi"/>
        </w:rPr>
      </w:pPr>
      <w:r w:rsidRPr="00BE2C1D">
        <w:rPr>
          <w:rFonts w:eastAsiaTheme="minorEastAsia" w:cstheme="minorHAnsi"/>
          <w:lang w:eastAsia="zh-CN"/>
        </w:rPr>
        <w:t>Goodley, D., (2020).</w:t>
      </w:r>
      <w:r w:rsidRPr="00BE2C1D">
        <w:rPr>
          <w:rFonts w:cstheme="minorHAnsi"/>
        </w:rPr>
        <w:t xml:space="preserve"> How do we understand the past, present and future of disabled childhoods? In: D. Goodley, K. Runswick-Cole and K. Liddiard, eds. </w:t>
      </w:r>
      <w:r w:rsidRPr="00BE2C1D">
        <w:rPr>
          <w:rFonts w:cstheme="minorHAnsi"/>
          <w:i/>
          <w:iCs/>
        </w:rPr>
        <w:t>Interventions in Disabled Childhood Studies.</w:t>
      </w:r>
      <w:r w:rsidRPr="00BE2C1D">
        <w:rPr>
          <w:rFonts w:cstheme="minorHAnsi"/>
        </w:rPr>
        <w:t xml:space="preserve"> Sheffield: iHuman Press. Chapter 2.</w:t>
      </w:r>
    </w:p>
    <w:p w14:paraId="4C317718" w14:textId="77777777" w:rsidR="00BE2C1D" w:rsidRPr="00BE2C1D" w:rsidRDefault="00BE2C1D" w:rsidP="00BE2C1D">
      <w:pPr>
        <w:spacing w:line="360" w:lineRule="auto"/>
        <w:rPr>
          <w:rFonts w:cstheme="minorHAnsi"/>
        </w:rPr>
      </w:pPr>
      <w:r w:rsidRPr="00BE2C1D">
        <w:rPr>
          <w:rFonts w:cstheme="minorHAnsi"/>
          <w:shd w:val="clear" w:color="auto" w:fill="FFFFFF"/>
        </w:rPr>
        <w:t xml:space="preserve">Goodley, D., Hughes, B. and Davis, L., (2012). In: Goodley, D., B. Hughes, L. Davis, eds. </w:t>
      </w:r>
      <w:r w:rsidRPr="00BE2C1D">
        <w:rPr>
          <w:rFonts w:cstheme="minorHAnsi"/>
          <w:i/>
          <w:iCs/>
          <w:shd w:val="clear" w:color="auto" w:fill="FFFFFF"/>
        </w:rPr>
        <w:t>Introducing disability and social theory</w:t>
      </w:r>
      <w:r w:rsidRPr="00BE2C1D">
        <w:rPr>
          <w:rFonts w:cstheme="minorHAnsi"/>
          <w:shd w:val="clear" w:color="auto" w:fill="FFFFFF"/>
        </w:rPr>
        <w:t>. In </w:t>
      </w:r>
      <w:r w:rsidRPr="00BE2C1D">
        <w:rPr>
          <w:rFonts w:cstheme="minorHAnsi"/>
          <w:i/>
          <w:iCs/>
          <w:shd w:val="clear" w:color="auto" w:fill="FFFFFF"/>
        </w:rPr>
        <w:t>Disability and Social Theory</w:t>
      </w:r>
      <w:r w:rsidRPr="00BE2C1D">
        <w:rPr>
          <w:rFonts w:cstheme="minorHAnsi"/>
          <w:shd w:val="clear" w:color="auto" w:fill="FFFFFF"/>
        </w:rPr>
        <w:t>. London: Palgrave Macmillan. pp. 1-14.</w:t>
      </w:r>
      <w:r w:rsidRPr="00BE2C1D">
        <w:rPr>
          <w:rFonts w:cstheme="minorHAnsi"/>
        </w:rPr>
        <w:t xml:space="preserve"> </w:t>
      </w:r>
    </w:p>
    <w:p w14:paraId="20B2A8EA" w14:textId="77777777" w:rsidR="00BE2C1D" w:rsidRPr="00BE2C1D" w:rsidRDefault="00BE2C1D" w:rsidP="00BE2C1D">
      <w:pPr>
        <w:spacing w:line="360" w:lineRule="auto"/>
        <w:rPr>
          <w:rFonts w:cstheme="minorHAnsi"/>
          <w:shd w:val="clear" w:color="auto" w:fill="FFFFFF"/>
        </w:rPr>
      </w:pPr>
      <w:r w:rsidRPr="00BE2C1D">
        <w:rPr>
          <w:rFonts w:cstheme="minorHAnsi"/>
          <w:shd w:val="clear" w:color="auto" w:fill="FFFFFF"/>
        </w:rPr>
        <w:t>Goodley, D. and Lawthom, R., (2013). The disavowal of uncanny disabled children: Why non-disabled people are so messed up around childhood disability. In: T. Curran, K. Runswick-Cole, eds. </w:t>
      </w:r>
      <w:r w:rsidRPr="00BE2C1D">
        <w:rPr>
          <w:rFonts w:cstheme="minorHAnsi"/>
          <w:i/>
          <w:iCs/>
          <w:shd w:val="clear" w:color="auto" w:fill="FFFFFF"/>
        </w:rPr>
        <w:t xml:space="preserve">Disabled Children’s Childhood Studies. </w:t>
      </w:r>
      <w:r w:rsidRPr="00BE2C1D">
        <w:rPr>
          <w:rFonts w:cstheme="minorHAnsi"/>
          <w:shd w:val="clear" w:color="auto" w:fill="FFFFFF"/>
        </w:rPr>
        <w:t>London: Palgrave Macmillan. pp. 164-179.</w:t>
      </w:r>
    </w:p>
    <w:p w14:paraId="0106E0A5" w14:textId="77777777" w:rsidR="00BE2C1D" w:rsidRPr="00BE2C1D" w:rsidRDefault="00BE2C1D" w:rsidP="00BE2C1D">
      <w:pPr>
        <w:spacing w:line="360" w:lineRule="auto"/>
        <w:jc w:val="both"/>
        <w:rPr>
          <w:rFonts w:cstheme="minorHAnsi"/>
          <w:lang w:val="en-US"/>
        </w:rPr>
      </w:pPr>
      <w:r w:rsidRPr="00BE2C1D">
        <w:rPr>
          <w:rFonts w:cstheme="minorHAnsi"/>
          <w:lang w:val="en-US"/>
        </w:rPr>
        <w:t xml:space="preserve">Goodley, D., Lawthom, R., Clough, P. &amp; Moore, M., (2004). </w:t>
      </w:r>
      <w:r w:rsidRPr="00BE2C1D">
        <w:rPr>
          <w:rFonts w:cstheme="minorHAnsi"/>
          <w:i/>
          <w:lang w:val="en-US"/>
        </w:rPr>
        <w:t xml:space="preserve">Researching Life Stories Method, theory and analyses in a biographical age. </w:t>
      </w:r>
      <w:r w:rsidRPr="00BE2C1D">
        <w:rPr>
          <w:rFonts w:cstheme="minorHAnsi"/>
          <w:lang w:val="en-US"/>
        </w:rPr>
        <w:t xml:space="preserve">London and New York: RoutledgeFarmer. </w:t>
      </w:r>
    </w:p>
    <w:p w14:paraId="7FE4BFED" w14:textId="77777777" w:rsidR="00BE2C1D" w:rsidRPr="00BE2C1D" w:rsidRDefault="00BE2C1D" w:rsidP="00BE2C1D">
      <w:pPr>
        <w:spacing w:line="360" w:lineRule="auto"/>
        <w:rPr>
          <w:rFonts w:cstheme="minorHAnsi"/>
          <w:shd w:val="clear" w:color="auto" w:fill="FFFFFF"/>
        </w:rPr>
      </w:pPr>
      <w:r w:rsidRPr="00BE2C1D">
        <w:rPr>
          <w:rFonts w:cstheme="minorHAnsi"/>
          <w:shd w:val="clear" w:color="auto" w:fill="FFFFFF"/>
        </w:rPr>
        <w:t>Goodley, D., Lawthom, R., Liddiard, K. and Runswick-Cole, K., 2019. Provocations for critical disability studies. </w:t>
      </w:r>
      <w:r w:rsidRPr="00BE2C1D">
        <w:rPr>
          <w:rFonts w:cstheme="minorHAnsi"/>
          <w:i/>
          <w:iCs/>
          <w:shd w:val="clear" w:color="auto" w:fill="FFFFFF"/>
        </w:rPr>
        <w:t>Disability &amp; Society</w:t>
      </w:r>
      <w:r w:rsidRPr="00BE2C1D">
        <w:rPr>
          <w:rFonts w:cstheme="minorHAnsi"/>
          <w:shd w:val="clear" w:color="auto" w:fill="FFFFFF"/>
        </w:rPr>
        <w:t>. </w:t>
      </w:r>
      <w:r w:rsidRPr="00BE2C1D">
        <w:rPr>
          <w:rFonts w:cstheme="minorHAnsi"/>
          <w:b/>
          <w:bCs/>
          <w:shd w:val="clear" w:color="auto" w:fill="FFFFFF"/>
        </w:rPr>
        <w:t>34</w:t>
      </w:r>
      <w:r w:rsidRPr="00BE2C1D">
        <w:rPr>
          <w:rFonts w:cstheme="minorHAnsi"/>
          <w:shd w:val="clear" w:color="auto" w:fill="FFFFFF"/>
        </w:rPr>
        <w:t>(6), 972-997.</w:t>
      </w:r>
    </w:p>
    <w:p w14:paraId="05A3EAD4" w14:textId="77777777" w:rsidR="00BE2C1D" w:rsidRPr="00BE2C1D" w:rsidRDefault="00BE2C1D" w:rsidP="00BE2C1D">
      <w:pPr>
        <w:spacing w:line="360" w:lineRule="auto"/>
        <w:rPr>
          <w:rFonts w:cstheme="minorHAnsi"/>
          <w:shd w:val="clear" w:color="auto" w:fill="FFFFFF"/>
        </w:rPr>
      </w:pPr>
      <w:r w:rsidRPr="00BE2C1D">
        <w:rPr>
          <w:rFonts w:cstheme="minorHAnsi"/>
          <w:shd w:val="clear" w:color="auto" w:fill="FFFFFF"/>
        </w:rPr>
        <w:t>Goodley, D., Lawthom, R. and Runswick-Cole, K.., 2014. Posthuman disability studies. </w:t>
      </w:r>
      <w:r w:rsidRPr="00BE2C1D">
        <w:rPr>
          <w:rFonts w:cstheme="minorHAnsi"/>
          <w:i/>
          <w:iCs/>
          <w:shd w:val="clear" w:color="auto" w:fill="FFFFFF"/>
        </w:rPr>
        <w:t>Subjectivity</w:t>
      </w:r>
      <w:r w:rsidRPr="00BE2C1D">
        <w:rPr>
          <w:rFonts w:cstheme="minorHAnsi"/>
          <w:shd w:val="clear" w:color="auto" w:fill="FFFFFF"/>
        </w:rPr>
        <w:t>. </w:t>
      </w:r>
      <w:r w:rsidRPr="00BE2C1D">
        <w:rPr>
          <w:rFonts w:cstheme="minorHAnsi"/>
          <w:b/>
          <w:bCs/>
          <w:shd w:val="clear" w:color="auto" w:fill="FFFFFF"/>
        </w:rPr>
        <w:t>7</w:t>
      </w:r>
      <w:r w:rsidRPr="00BE2C1D">
        <w:rPr>
          <w:rFonts w:cstheme="minorHAnsi"/>
          <w:shd w:val="clear" w:color="auto" w:fill="FFFFFF"/>
        </w:rPr>
        <w:t>(4), 342-361.</w:t>
      </w:r>
    </w:p>
    <w:p w14:paraId="7C746C1A" w14:textId="77777777" w:rsidR="00BE2C1D" w:rsidRPr="00BE2C1D" w:rsidRDefault="00BE2C1D" w:rsidP="00BE2C1D">
      <w:pPr>
        <w:spacing w:line="360" w:lineRule="auto"/>
        <w:rPr>
          <w:rFonts w:cstheme="minorHAnsi"/>
          <w:shd w:val="clear" w:color="auto" w:fill="FFFFFF"/>
        </w:rPr>
      </w:pPr>
      <w:r w:rsidRPr="00BE2C1D">
        <w:rPr>
          <w:rFonts w:cstheme="minorHAnsi"/>
          <w:shd w:val="clear" w:color="auto" w:fill="FFFFFF"/>
        </w:rPr>
        <w:t>Goodley, D. and Runswick‐Cole, K., 2010a. Len Barton, inclusion and critical disability studies: Theorising disabled childhoods. </w:t>
      </w:r>
      <w:r w:rsidRPr="00BE2C1D">
        <w:rPr>
          <w:rFonts w:cstheme="minorHAnsi"/>
          <w:i/>
          <w:iCs/>
          <w:shd w:val="clear" w:color="auto" w:fill="FFFFFF"/>
        </w:rPr>
        <w:t>International Studies in Sociology of Education</w:t>
      </w:r>
      <w:r w:rsidRPr="00BE2C1D">
        <w:rPr>
          <w:rFonts w:cstheme="minorHAnsi"/>
          <w:shd w:val="clear" w:color="auto" w:fill="FFFFFF"/>
        </w:rPr>
        <w:t>. </w:t>
      </w:r>
      <w:r w:rsidRPr="00BE2C1D">
        <w:rPr>
          <w:rFonts w:cstheme="minorHAnsi"/>
          <w:b/>
          <w:bCs/>
          <w:shd w:val="clear" w:color="auto" w:fill="FFFFFF"/>
        </w:rPr>
        <w:t>20</w:t>
      </w:r>
      <w:r w:rsidRPr="00BE2C1D">
        <w:rPr>
          <w:rFonts w:cstheme="minorHAnsi"/>
          <w:shd w:val="clear" w:color="auto" w:fill="FFFFFF"/>
        </w:rPr>
        <w:t>(4), .273-290.</w:t>
      </w:r>
    </w:p>
    <w:p w14:paraId="19641E47" w14:textId="77777777" w:rsidR="00BE2C1D" w:rsidRPr="00BE2C1D" w:rsidRDefault="00BE2C1D" w:rsidP="00BE2C1D">
      <w:pPr>
        <w:spacing w:line="360" w:lineRule="auto"/>
        <w:rPr>
          <w:rFonts w:cstheme="minorHAnsi"/>
          <w:shd w:val="clear" w:color="auto" w:fill="FFFFFF"/>
        </w:rPr>
      </w:pPr>
      <w:r w:rsidRPr="00BE2C1D">
        <w:rPr>
          <w:rFonts w:cstheme="minorHAnsi"/>
          <w:shd w:val="clear" w:color="auto" w:fill="FFFFFF"/>
        </w:rPr>
        <w:t>Goodley, D. and Runswick‐Cole, K., 2010b. Emancipating play: Dis/abled children, development and deconstruction. </w:t>
      </w:r>
      <w:r w:rsidRPr="00BE2C1D">
        <w:rPr>
          <w:rFonts w:cstheme="minorHAnsi"/>
          <w:i/>
          <w:iCs/>
          <w:shd w:val="clear" w:color="auto" w:fill="FFFFFF"/>
        </w:rPr>
        <w:t>Disability &amp; society</w:t>
      </w:r>
      <w:r w:rsidRPr="00BE2C1D">
        <w:rPr>
          <w:rFonts w:cstheme="minorHAnsi"/>
          <w:shd w:val="clear" w:color="auto" w:fill="FFFFFF"/>
        </w:rPr>
        <w:t>. </w:t>
      </w:r>
      <w:r w:rsidRPr="00BE2C1D">
        <w:rPr>
          <w:rFonts w:cstheme="minorHAnsi"/>
          <w:b/>
          <w:bCs/>
          <w:shd w:val="clear" w:color="auto" w:fill="FFFFFF"/>
        </w:rPr>
        <w:t>25</w:t>
      </w:r>
      <w:r w:rsidRPr="00BE2C1D">
        <w:rPr>
          <w:rFonts w:cstheme="minorHAnsi"/>
          <w:shd w:val="clear" w:color="auto" w:fill="FFFFFF"/>
        </w:rPr>
        <w:t>(4), 499-512.</w:t>
      </w:r>
    </w:p>
    <w:p w14:paraId="30EA54F3" w14:textId="77777777" w:rsidR="00BE2C1D" w:rsidRPr="00BE2C1D" w:rsidRDefault="00BE2C1D" w:rsidP="00BE2C1D">
      <w:pPr>
        <w:spacing w:line="360" w:lineRule="auto"/>
        <w:rPr>
          <w:rFonts w:cstheme="minorHAnsi"/>
          <w:shd w:val="clear" w:color="auto" w:fill="FFFFFF"/>
        </w:rPr>
      </w:pPr>
      <w:r w:rsidRPr="00BE2C1D">
        <w:rPr>
          <w:rFonts w:cstheme="minorHAnsi"/>
          <w:shd w:val="clear" w:color="auto" w:fill="FFFFFF"/>
        </w:rPr>
        <w:lastRenderedPageBreak/>
        <w:t>Goodley, D. and Runswick‐Cole, K., 2011a. The violence of disablism. </w:t>
      </w:r>
      <w:r w:rsidRPr="00BE2C1D">
        <w:rPr>
          <w:rFonts w:cstheme="minorHAnsi"/>
          <w:i/>
          <w:iCs/>
          <w:shd w:val="clear" w:color="auto" w:fill="FFFFFF"/>
        </w:rPr>
        <w:t>Sociology of health &amp; illness</w:t>
      </w:r>
      <w:r w:rsidRPr="00BE2C1D">
        <w:rPr>
          <w:rFonts w:cstheme="minorHAnsi"/>
          <w:shd w:val="clear" w:color="auto" w:fill="FFFFFF"/>
        </w:rPr>
        <w:t>. </w:t>
      </w:r>
      <w:r w:rsidRPr="00BE2C1D">
        <w:rPr>
          <w:rFonts w:cstheme="minorHAnsi"/>
          <w:b/>
          <w:bCs/>
          <w:shd w:val="clear" w:color="auto" w:fill="FFFFFF"/>
        </w:rPr>
        <w:t>33</w:t>
      </w:r>
      <w:r w:rsidRPr="00BE2C1D">
        <w:rPr>
          <w:rFonts w:cstheme="minorHAnsi"/>
          <w:shd w:val="clear" w:color="auto" w:fill="FFFFFF"/>
        </w:rPr>
        <w:t>(4), 602-617.</w:t>
      </w:r>
    </w:p>
    <w:p w14:paraId="28C9A8DF" w14:textId="77777777" w:rsidR="00BE2C1D" w:rsidRPr="00BE2C1D" w:rsidRDefault="00BE2C1D" w:rsidP="00BE2C1D">
      <w:pPr>
        <w:spacing w:line="360" w:lineRule="auto"/>
        <w:rPr>
          <w:rFonts w:cstheme="minorHAnsi"/>
          <w:shd w:val="clear" w:color="auto" w:fill="FFFFFF"/>
        </w:rPr>
      </w:pPr>
      <w:r w:rsidRPr="00BE2C1D">
        <w:rPr>
          <w:rFonts w:cstheme="minorHAnsi"/>
          <w:shd w:val="clear" w:color="auto" w:fill="FFFFFF"/>
        </w:rPr>
        <w:t>Goodley, D. and Runswick‐Cole, K., 2011b. Problematising policy: conceptions of ‘child’, ‘disabled’ and ‘parents’ in social policy in England. </w:t>
      </w:r>
      <w:r w:rsidRPr="00BE2C1D">
        <w:rPr>
          <w:rFonts w:cstheme="minorHAnsi"/>
          <w:i/>
          <w:iCs/>
          <w:shd w:val="clear" w:color="auto" w:fill="FFFFFF"/>
        </w:rPr>
        <w:t>International Journal of Inclusive Education</w:t>
      </w:r>
      <w:r w:rsidRPr="00BE2C1D">
        <w:rPr>
          <w:rFonts w:cstheme="minorHAnsi"/>
          <w:shd w:val="clear" w:color="auto" w:fill="FFFFFF"/>
        </w:rPr>
        <w:t>. </w:t>
      </w:r>
      <w:r w:rsidRPr="00BE2C1D">
        <w:rPr>
          <w:rFonts w:cstheme="minorHAnsi"/>
          <w:b/>
          <w:bCs/>
          <w:shd w:val="clear" w:color="auto" w:fill="FFFFFF"/>
        </w:rPr>
        <w:t>15</w:t>
      </w:r>
      <w:r w:rsidRPr="00BE2C1D">
        <w:rPr>
          <w:rFonts w:cstheme="minorHAnsi"/>
          <w:shd w:val="clear" w:color="auto" w:fill="FFFFFF"/>
        </w:rPr>
        <w:t>(1), 71-85.</w:t>
      </w:r>
    </w:p>
    <w:p w14:paraId="5B604E7F" w14:textId="77777777" w:rsidR="00BE2C1D" w:rsidRPr="00BE2C1D" w:rsidRDefault="00BE2C1D" w:rsidP="00BE2C1D">
      <w:pPr>
        <w:spacing w:line="360" w:lineRule="auto"/>
        <w:rPr>
          <w:rFonts w:cstheme="minorHAnsi"/>
          <w:shd w:val="clear" w:color="auto" w:fill="FFFFFF"/>
        </w:rPr>
      </w:pPr>
      <w:r w:rsidRPr="00BE2C1D">
        <w:rPr>
          <w:rFonts w:cstheme="minorHAnsi"/>
          <w:shd w:val="clear" w:color="auto" w:fill="FFFFFF"/>
        </w:rPr>
        <w:t>Goodley, D. and Runswick-Cole, K., 2012a. Reading Rosie: The postmodern disabled child. </w:t>
      </w:r>
      <w:r w:rsidRPr="00BE2C1D">
        <w:rPr>
          <w:rFonts w:cstheme="minorHAnsi"/>
          <w:i/>
          <w:iCs/>
          <w:shd w:val="clear" w:color="auto" w:fill="FFFFFF"/>
        </w:rPr>
        <w:t>Educational and child psychology</w:t>
      </w:r>
      <w:r w:rsidRPr="00BE2C1D">
        <w:rPr>
          <w:rFonts w:cstheme="minorHAnsi"/>
          <w:shd w:val="clear" w:color="auto" w:fill="FFFFFF"/>
        </w:rPr>
        <w:t>. </w:t>
      </w:r>
      <w:r w:rsidRPr="00BE2C1D">
        <w:rPr>
          <w:rFonts w:cstheme="minorHAnsi"/>
          <w:b/>
          <w:bCs/>
          <w:shd w:val="clear" w:color="auto" w:fill="FFFFFF"/>
        </w:rPr>
        <w:t>29</w:t>
      </w:r>
      <w:r w:rsidRPr="00BE2C1D">
        <w:rPr>
          <w:rFonts w:cstheme="minorHAnsi"/>
          <w:shd w:val="clear" w:color="auto" w:fill="FFFFFF"/>
        </w:rPr>
        <w:t>(2), 53-66.</w:t>
      </w:r>
    </w:p>
    <w:p w14:paraId="18B05606" w14:textId="77777777" w:rsidR="00BE2C1D" w:rsidRPr="00BE2C1D" w:rsidRDefault="00BE2C1D" w:rsidP="00BE2C1D">
      <w:pPr>
        <w:spacing w:line="360" w:lineRule="auto"/>
        <w:rPr>
          <w:rFonts w:cstheme="minorHAnsi"/>
          <w:shd w:val="clear" w:color="auto" w:fill="FFFFFF"/>
        </w:rPr>
      </w:pPr>
      <w:r w:rsidRPr="00BE2C1D">
        <w:rPr>
          <w:rFonts w:cstheme="minorHAnsi"/>
          <w:shd w:val="clear" w:color="auto" w:fill="FFFFFF"/>
        </w:rPr>
        <w:t>Goodley, D. and Runswick-Cole, K., 2013. The body as disability and possability: Theorizing the ‘leaking, lacking and excessive’ bodies of disabled children. </w:t>
      </w:r>
      <w:r w:rsidRPr="00BE2C1D">
        <w:rPr>
          <w:rFonts w:cstheme="minorHAnsi"/>
          <w:i/>
          <w:iCs/>
          <w:shd w:val="clear" w:color="auto" w:fill="FFFFFF"/>
        </w:rPr>
        <w:t>Scandinavian Journal of Disability Research</w:t>
      </w:r>
      <w:r w:rsidRPr="00BE2C1D">
        <w:rPr>
          <w:rFonts w:cstheme="minorHAnsi"/>
          <w:shd w:val="clear" w:color="auto" w:fill="FFFFFF"/>
        </w:rPr>
        <w:t>. </w:t>
      </w:r>
      <w:r w:rsidRPr="00BE2C1D">
        <w:rPr>
          <w:rFonts w:cstheme="minorHAnsi"/>
          <w:b/>
          <w:bCs/>
          <w:shd w:val="clear" w:color="auto" w:fill="FFFFFF"/>
        </w:rPr>
        <w:t>15</w:t>
      </w:r>
      <w:r w:rsidRPr="00BE2C1D">
        <w:rPr>
          <w:rFonts w:cstheme="minorHAnsi"/>
          <w:shd w:val="clear" w:color="auto" w:fill="FFFFFF"/>
        </w:rPr>
        <w:t>(1), 1-19.</w:t>
      </w:r>
    </w:p>
    <w:p w14:paraId="3FE0EFA2" w14:textId="77777777" w:rsidR="00BE2C1D" w:rsidRPr="00BE2C1D" w:rsidRDefault="00BE2C1D" w:rsidP="00BE2C1D">
      <w:pPr>
        <w:spacing w:line="360" w:lineRule="auto"/>
        <w:rPr>
          <w:rFonts w:cstheme="minorHAnsi"/>
          <w:shd w:val="clear" w:color="auto" w:fill="FFFFFF"/>
        </w:rPr>
      </w:pPr>
      <w:r w:rsidRPr="00BE2C1D">
        <w:rPr>
          <w:rFonts w:cstheme="minorHAnsi"/>
          <w:shd w:val="clear" w:color="auto" w:fill="FFFFFF"/>
        </w:rPr>
        <w:t>Goodley, D. and Runswick Cole, K., 2015a. Critical psychologies of disability: Boundaries, borders and bodies in the lives of disabled children. </w:t>
      </w:r>
      <w:r w:rsidRPr="00BE2C1D">
        <w:rPr>
          <w:rFonts w:cstheme="minorHAnsi"/>
          <w:i/>
          <w:iCs/>
          <w:shd w:val="clear" w:color="auto" w:fill="FFFFFF"/>
        </w:rPr>
        <w:t>Emotional and Behavioural Difficulties</w:t>
      </w:r>
      <w:r w:rsidRPr="00BE2C1D">
        <w:rPr>
          <w:rFonts w:cstheme="minorHAnsi"/>
          <w:shd w:val="clear" w:color="auto" w:fill="FFFFFF"/>
        </w:rPr>
        <w:t>. </w:t>
      </w:r>
      <w:r w:rsidRPr="00BE2C1D">
        <w:rPr>
          <w:rFonts w:cstheme="minorHAnsi"/>
          <w:b/>
          <w:bCs/>
          <w:shd w:val="clear" w:color="auto" w:fill="FFFFFF"/>
        </w:rPr>
        <w:t>20</w:t>
      </w:r>
      <w:r w:rsidRPr="00BE2C1D">
        <w:rPr>
          <w:rFonts w:cstheme="minorHAnsi"/>
          <w:shd w:val="clear" w:color="auto" w:fill="FFFFFF"/>
        </w:rPr>
        <w:t>(1), 51-63.</w:t>
      </w:r>
    </w:p>
    <w:p w14:paraId="3355F052" w14:textId="77777777" w:rsidR="00BE2C1D" w:rsidRPr="00BE2C1D" w:rsidRDefault="00BE2C1D" w:rsidP="00BE2C1D">
      <w:pPr>
        <w:spacing w:line="360" w:lineRule="auto"/>
        <w:rPr>
          <w:rFonts w:cstheme="minorHAnsi"/>
          <w:shd w:val="clear" w:color="auto" w:fill="FFFFFF"/>
        </w:rPr>
      </w:pPr>
      <w:r w:rsidRPr="00BE2C1D">
        <w:rPr>
          <w:rFonts w:cstheme="minorHAnsi"/>
          <w:shd w:val="clear" w:color="auto" w:fill="FFFFFF"/>
        </w:rPr>
        <w:t xml:space="preserve">Goodley, D. and Runswick-Cole, K., 2015b. Thinking about Schooling through Dis/Ability. In: T. </w:t>
      </w:r>
      <w:r w:rsidRPr="00BE2C1D">
        <w:rPr>
          <w:rFonts w:cstheme="minorHAnsi"/>
          <w:spacing w:val="4"/>
          <w:shd w:val="clear" w:color="auto" w:fill="FCFCFC"/>
        </w:rPr>
        <w:t xml:space="preserve">Corcoran, J. White, B. Whitburn, eds. </w:t>
      </w:r>
      <w:r w:rsidRPr="00BE2C1D">
        <w:rPr>
          <w:rFonts w:cstheme="minorHAnsi"/>
          <w:i/>
          <w:iCs/>
          <w:spacing w:val="4"/>
          <w:shd w:val="clear" w:color="auto" w:fill="FCFCFC"/>
        </w:rPr>
        <w:t>Disability Studies. Innovations and Controversies (Interrogating Educational Change)</w:t>
      </w:r>
      <w:r w:rsidRPr="00BE2C1D">
        <w:rPr>
          <w:rFonts w:cstheme="minorHAnsi"/>
          <w:spacing w:val="4"/>
          <w:shd w:val="clear" w:color="auto" w:fill="FCFCFC"/>
        </w:rPr>
        <w:t>. Rotterdam: Sensepublishers. pp. 241-253.</w:t>
      </w:r>
    </w:p>
    <w:bookmarkEnd w:id="194"/>
    <w:p w14:paraId="02F144CC" w14:textId="77777777" w:rsidR="00BE2C1D" w:rsidRPr="00BE2C1D" w:rsidRDefault="00BE2C1D" w:rsidP="00BE2C1D">
      <w:pPr>
        <w:spacing w:line="360" w:lineRule="auto"/>
        <w:rPr>
          <w:rFonts w:cstheme="minorHAnsi"/>
          <w:shd w:val="clear" w:color="auto" w:fill="FFFFFF"/>
        </w:rPr>
      </w:pPr>
      <w:r w:rsidRPr="00BE2C1D">
        <w:rPr>
          <w:rFonts w:cstheme="minorHAnsi"/>
          <w:shd w:val="clear" w:color="auto" w:fill="FFFFFF"/>
        </w:rPr>
        <w:t>Goodley, D., Runswick-Cole, K. and Liddiard, K., 2016. The dishuman child. </w:t>
      </w:r>
      <w:r w:rsidRPr="00BE2C1D">
        <w:rPr>
          <w:rFonts w:cstheme="minorHAnsi"/>
          <w:i/>
          <w:iCs/>
          <w:shd w:val="clear" w:color="auto" w:fill="FFFFFF"/>
        </w:rPr>
        <w:t>Discourse: Studies in the Cultural Politics of Education</w:t>
      </w:r>
      <w:r w:rsidRPr="00BE2C1D">
        <w:rPr>
          <w:rFonts w:cstheme="minorHAnsi"/>
          <w:shd w:val="clear" w:color="auto" w:fill="FFFFFF"/>
        </w:rPr>
        <w:t xml:space="preserve">. </w:t>
      </w:r>
      <w:r w:rsidRPr="00BE2C1D">
        <w:rPr>
          <w:rFonts w:cstheme="minorHAnsi"/>
          <w:b/>
          <w:bCs/>
          <w:shd w:val="clear" w:color="auto" w:fill="FFFFFF"/>
        </w:rPr>
        <w:t>37</w:t>
      </w:r>
      <w:r w:rsidRPr="00BE2C1D">
        <w:rPr>
          <w:rFonts w:cstheme="minorHAnsi"/>
          <w:shd w:val="clear" w:color="auto" w:fill="FFFFFF"/>
        </w:rPr>
        <w:t>(5), 770-784.</w:t>
      </w:r>
    </w:p>
    <w:p w14:paraId="7CE8F2C3" w14:textId="77777777" w:rsidR="00BE2C1D" w:rsidRPr="00BE2C1D" w:rsidRDefault="00BE2C1D" w:rsidP="00BE2C1D">
      <w:pPr>
        <w:spacing w:line="360" w:lineRule="auto"/>
        <w:rPr>
          <w:rFonts w:cstheme="minorHAnsi"/>
          <w:shd w:val="clear" w:color="auto" w:fill="FFFFFF"/>
        </w:rPr>
      </w:pPr>
      <w:r w:rsidRPr="00BE2C1D">
        <w:rPr>
          <w:rFonts w:cstheme="minorHAnsi"/>
          <w:shd w:val="clear" w:color="auto" w:fill="FFFFFF"/>
        </w:rPr>
        <w:t>Gordon, M., Crouthamel, C., Post, E.M. and Richman, R.A., 1982. Psychosocial aspects of constitutional short stature: social competence, behavior problems, self-esteem, and family functioning. </w:t>
      </w:r>
      <w:r w:rsidRPr="00BE2C1D">
        <w:rPr>
          <w:rFonts w:cstheme="minorHAnsi"/>
          <w:i/>
          <w:iCs/>
          <w:shd w:val="clear" w:color="auto" w:fill="FFFFFF"/>
        </w:rPr>
        <w:t>The Journal of paediatrics</w:t>
      </w:r>
      <w:r w:rsidRPr="00BE2C1D">
        <w:rPr>
          <w:rFonts w:cstheme="minorHAnsi"/>
          <w:shd w:val="clear" w:color="auto" w:fill="FFFFFF"/>
        </w:rPr>
        <w:t>. </w:t>
      </w:r>
      <w:r w:rsidRPr="00BE2C1D">
        <w:rPr>
          <w:rFonts w:cstheme="minorHAnsi"/>
          <w:b/>
          <w:bCs/>
          <w:shd w:val="clear" w:color="auto" w:fill="FFFFFF"/>
        </w:rPr>
        <w:t>101</w:t>
      </w:r>
      <w:r w:rsidRPr="00BE2C1D">
        <w:rPr>
          <w:rFonts w:cstheme="minorHAnsi"/>
          <w:shd w:val="clear" w:color="auto" w:fill="FFFFFF"/>
        </w:rPr>
        <w:t>(3), 477-480.</w:t>
      </w:r>
    </w:p>
    <w:p w14:paraId="0FB62CF0" w14:textId="77777777" w:rsidR="00BE2C1D" w:rsidRPr="00BE2C1D" w:rsidRDefault="00BE2C1D" w:rsidP="00BE2C1D">
      <w:pPr>
        <w:spacing w:line="360" w:lineRule="auto"/>
        <w:rPr>
          <w:rFonts w:cstheme="minorHAnsi"/>
          <w:shd w:val="clear" w:color="auto" w:fill="FFFFFF"/>
        </w:rPr>
      </w:pPr>
      <w:r w:rsidRPr="00BE2C1D">
        <w:rPr>
          <w:rFonts w:cstheme="minorHAnsi"/>
          <w:shd w:val="clear" w:color="auto" w:fill="FFFFFF"/>
        </w:rPr>
        <w:t>Graham, L. J. and Slee, R., 2008. An illusory interiority: Interrogating the discourse/s of inclusion. </w:t>
      </w:r>
      <w:r w:rsidRPr="00BE2C1D">
        <w:rPr>
          <w:rFonts w:cstheme="minorHAnsi"/>
          <w:i/>
          <w:iCs/>
          <w:shd w:val="clear" w:color="auto" w:fill="FFFFFF"/>
        </w:rPr>
        <w:t>Educational philosophy and theory</w:t>
      </w:r>
      <w:r w:rsidRPr="00BE2C1D">
        <w:rPr>
          <w:rFonts w:cstheme="minorHAnsi"/>
          <w:shd w:val="clear" w:color="auto" w:fill="FFFFFF"/>
        </w:rPr>
        <w:t>. </w:t>
      </w:r>
      <w:r w:rsidRPr="00BE2C1D">
        <w:rPr>
          <w:rFonts w:cstheme="minorHAnsi"/>
          <w:b/>
          <w:bCs/>
          <w:shd w:val="clear" w:color="auto" w:fill="FFFFFF"/>
        </w:rPr>
        <w:t>40</w:t>
      </w:r>
      <w:r w:rsidRPr="00BE2C1D">
        <w:rPr>
          <w:rFonts w:cstheme="minorHAnsi"/>
          <w:shd w:val="clear" w:color="auto" w:fill="FFFFFF"/>
        </w:rPr>
        <w:t>(2), 277-293.</w:t>
      </w:r>
    </w:p>
    <w:p w14:paraId="5AE6B499" w14:textId="77777777" w:rsidR="00BE2C1D" w:rsidRPr="00BE2C1D" w:rsidRDefault="00BE2C1D" w:rsidP="00BE2C1D">
      <w:pPr>
        <w:spacing w:line="360" w:lineRule="auto"/>
        <w:rPr>
          <w:rFonts w:cstheme="minorHAnsi"/>
          <w:shd w:val="clear" w:color="auto" w:fill="FFFFFF"/>
        </w:rPr>
      </w:pPr>
      <w:r w:rsidRPr="00BE2C1D">
        <w:rPr>
          <w:rFonts w:cstheme="minorHAnsi"/>
          <w:shd w:val="clear" w:color="auto" w:fill="FFFFFF"/>
        </w:rPr>
        <w:t xml:space="preserve">Grant, E., (2019). [So often, when I tell average height friends of the abuse that I - a person with dwarfism - and so many others just like me receive, almost daily, from strangers in the street, they react with incredulity] [Twitter]. 19 June 2019. [25 June 2019 accessed]. Available at: </w:t>
      </w:r>
      <w:hyperlink r:id="rId16" w:history="1">
        <w:r w:rsidRPr="00BE2C1D">
          <w:rPr>
            <w:rFonts w:cstheme="minorHAnsi"/>
            <w:color w:val="0563C1" w:themeColor="hyperlink"/>
            <w:u w:val="single"/>
            <w:shd w:val="clear" w:color="auto" w:fill="FFFFFF"/>
          </w:rPr>
          <w:t>https://www.manchestereveningnews.co.uk/news/greater-manchester-news/jimmy-carr-dwarf-abortion-joke-16452437</w:t>
        </w:r>
      </w:hyperlink>
      <w:r w:rsidRPr="00BE2C1D">
        <w:rPr>
          <w:rFonts w:cstheme="minorHAnsi"/>
          <w:shd w:val="clear" w:color="auto" w:fill="FFFFFF"/>
        </w:rPr>
        <w:t xml:space="preserve"> </w:t>
      </w:r>
    </w:p>
    <w:p w14:paraId="5FAB4160" w14:textId="77777777" w:rsidR="00BE2C1D" w:rsidRPr="00BE2C1D" w:rsidRDefault="00BE2C1D" w:rsidP="00BE2C1D">
      <w:pPr>
        <w:spacing w:line="360" w:lineRule="auto"/>
        <w:rPr>
          <w:rFonts w:cstheme="minorHAnsi"/>
        </w:rPr>
      </w:pPr>
      <w:r w:rsidRPr="00BE2C1D">
        <w:rPr>
          <w:rFonts w:cstheme="minorHAnsi"/>
          <w:shd w:val="clear" w:color="auto" w:fill="FFFFFF"/>
        </w:rPr>
        <w:t xml:space="preserve">Great Britain. </w:t>
      </w:r>
      <w:r w:rsidRPr="00BE2C1D">
        <w:rPr>
          <w:rFonts w:cstheme="minorHAnsi"/>
        </w:rPr>
        <w:t>Department for Education. (2017). ‘</w:t>
      </w:r>
      <w:r w:rsidRPr="00BE2C1D">
        <w:rPr>
          <w:rFonts w:cstheme="minorHAnsi"/>
          <w:i/>
        </w:rPr>
        <w:t>Preventing and tackling bullying: Advice for headteachers, staff and governing bodies</w:t>
      </w:r>
      <w:r w:rsidRPr="00BE2C1D">
        <w:rPr>
          <w:rFonts w:cstheme="minorHAnsi"/>
        </w:rPr>
        <w:t xml:space="preserve">. Available at: </w:t>
      </w:r>
      <w:hyperlink r:id="rId17" w:history="1">
        <w:r w:rsidRPr="00BE2C1D">
          <w:rPr>
            <w:rFonts w:cstheme="minorHAnsi"/>
            <w:u w:val="single"/>
          </w:rPr>
          <w:t>https://assets.publishing.service.gov.uk/government/uploads/system/uploads/attachment_data/file/623895/Preventing_and_tackling_bullying_advice.pdf</w:t>
        </w:r>
      </w:hyperlink>
      <w:r w:rsidRPr="00BE2C1D">
        <w:rPr>
          <w:rFonts w:cstheme="minorHAnsi"/>
        </w:rPr>
        <w:t xml:space="preserve"> </w:t>
      </w:r>
    </w:p>
    <w:p w14:paraId="47F7DA03" w14:textId="77777777" w:rsidR="00BE2C1D" w:rsidRPr="00BE2C1D" w:rsidRDefault="00BE2C1D" w:rsidP="00BE2C1D">
      <w:pPr>
        <w:spacing w:line="360" w:lineRule="auto"/>
        <w:rPr>
          <w:rFonts w:cstheme="minorHAnsi"/>
        </w:rPr>
      </w:pPr>
      <w:r w:rsidRPr="00BE2C1D">
        <w:rPr>
          <w:rFonts w:cstheme="minorHAnsi"/>
        </w:rPr>
        <w:lastRenderedPageBreak/>
        <w:t xml:space="preserve">Great Britain. UK Government (n.d.). Disability Rights/Reasonable adjustments. Available at: </w:t>
      </w:r>
      <w:hyperlink r:id="rId18" w:history="1">
        <w:r w:rsidRPr="00BE2C1D">
          <w:rPr>
            <w:rFonts w:cstheme="minorHAnsi"/>
            <w:u w:val="single"/>
          </w:rPr>
          <w:t>https://www.gov.uk/rights-disabled-person/education-rights</w:t>
        </w:r>
      </w:hyperlink>
      <w:r w:rsidRPr="00BE2C1D">
        <w:rPr>
          <w:rFonts w:cstheme="minorHAnsi"/>
        </w:rPr>
        <w:t xml:space="preserve"> </w:t>
      </w:r>
    </w:p>
    <w:p w14:paraId="0A7392A3" w14:textId="77777777" w:rsidR="00BE2C1D" w:rsidRPr="00BE2C1D" w:rsidRDefault="00BE2C1D" w:rsidP="00BE2C1D">
      <w:pPr>
        <w:spacing w:line="360" w:lineRule="auto"/>
        <w:rPr>
          <w:rFonts w:cstheme="minorHAnsi"/>
          <w:shd w:val="clear" w:color="auto" w:fill="FFFFFF"/>
        </w:rPr>
      </w:pPr>
      <w:r w:rsidRPr="00BE2C1D">
        <w:rPr>
          <w:rFonts w:cstheme="minorHAnsi"/>
          <w:shd w:val="clear" w:color="auto" w:fill="FFFFFF"/>
        </w:rPr>
        <w:t>Greenstein, A., 2015. </w:t>
      </w:r>
      <w:r w:rsidRPr="00BE2C1D">
        <w:rPr>
          <w:rFonts w:cstheme="minorHAnsi"/>
          <w:i/>
          <w:iCs/>
          <w:shd w:val="clear" w:color="auto" w:fill="FFFFFF"/>
        </w:rPr>
        <w:t>Radical inclusive education: Disability, teaching and struggles for liberation</w:t>
      </w:r>
      <w:r w:rsidRPr="00BE2C1D">
        <w:rPr>
          <w:rFonts w:cstheme="minorHAnsi"/>
          <w:shd w:val="clear" w:color="auto" w:fill="FFFFFF"/>
        </w:rPr>
        <w:t>. East Sussex: Routledge.</w:t>
      </w:r>
    </w:p>
    <w:p w14:paraId="0ECD4020" w14:textId="77777777" w:rsidR="00BE2C1D" w:rsidRPr="00BE2C1D" w:rsidRDefault="00BE2C1D" w:rsidP="00BE2C1D">
      <w:pPr>
        <w:spacing w:line="360" w:lineRule="auto"/>
        <w:rPr>
          <w:rFonts w:cstheme="minorHAnsi"/>
          <w:shd w:val="clear" w:color="auto" w:fill="FFFFFF"/>
        </w:rPr>
      </w:pPr>
      <w:r w:rsidRPr="00BE2C1D">
        <w:rPr>
          <w:rFonts w:cstheme="minorHAnsi"/>
          <w:shd w:val="clear" w:color="auto" w:fill="FFFFFF"/>
        </w:rPr>
        <w:t>Groven, K.S., Råheim, M. and Engelsrud, G., 2013. Dis-appearance and dys-appearance anew: living with excess skin and intestinal changes following weight loss surgery. </w:t>
      </w:r>
      <w:r w:rsidRPr="00BE2C1D">
        <w:rPr>
          <w:rFonts w:cstheme="minorHAnsi"/>
          <w:i/>
          <w:iCs/>
          <w:shd w:val="clear" w:color="auto" w:fill="FFFFFF"/>
        </w:rPr>
        <w:t>Medicine, Health Care and Philosophy</w:t>
      </w:r>
      <w:r w:rsidRPr="00BE2C1D">
        <w:rPr>
          <w:rFonts w:cstheme="minorHAnsi"/>
          <w:shd w:val="clear" w:color="auto" w:fill="FFFFFF"/>
        </w:rPr>
        <w:t>. </w:t>
      </w:r>
      <w:r w:rsidRPr="00BE2C1D">
        <w:rPr>
          <w:rFonts w:cstheme="minorHAnsi"/>
          <w:b/>
          <w:bCs/>
          <w:shd w:val="clear" w:color="auto" w:fill="FFFFFF"/>
        </w:rPr>
        <w:t>16</w:t>
      </w:r>
      <w:r w:rsidRPr="00BE2C1D">
        <w:rPr>
          <w:rFonts w:cstheme="minorHAnsi"/>
          <w:shd w:val="clear" w:color="auto" w:fill="FFFFFF"/>
        </w:rPr>
        <w:t>(3), 507-523.</w:t>
      </w:r>
    </w:p>
    <w:p w14:paraId="7321B4FC" w14:textId="77777777" w:rsidR="00BE2C1D" w:rsidRPr="00BE2C1D" w:rsidRDefault="00BE2C1D" w:rsidP="00BE2C1D">
      <w:pPr>
        <w:spacing w:line="360" w:lineRule="auto"/>
        <w:jc w:val="both"/>
        <w:rPr>
          <w:rFonts w:cstheme="minorHAnsi"/>
        </w:rPr>
      </w:pPr>
      <w:r w:rsidRPr="00BE2C1D">
        <w:rPr>
          <w:rFonts w:cstheme="minorHAnsi"/>
        </w:rPr>
        <w:t xml:space="preserve">Gubrium, J. F. &amp; Holstein, J. A., (2009). Analyzing Narrative Reality. London: Sage. </w:t>
      </w:r>
    </w:p>
    <w:p w14:paraId="6F290B93" w14:textId="77777777" w:rsidR="00BE2C1D" w:rsidRPr="00BE2C1D" w:rsidRDefault="00BE2C1D" w:rsidP="00BE2C1D">
      <w:pPr>
        <w:spacing w:line="360" w:lineRule="auto"/>
        <w:jc w:val="both"/>
        <w:rPr>
          <w:rFonts w:cstheme="minorHAnsi"/>
          <w:lang w:eastAsia="en-GB"/>
        </w:rPr>
      </w:pPr>
      <w:r w:rsidRPr="00BE2C1D">
        <w:rPr>
          <w:rFonts w:cstheme="minorHAnsi"/>
          <w:lang w:eastAsia="en-GB"/>
        </w:rPr>
        <w:t xml:space="preserve">Guillemin, M. &amp; Gillam, L. (2004) ‘Ethics, Reflexivity, and ‘‘Ethically Important Moments’’ in Research’, Qualitative Inquiry. </w:t>
      </w:r>
      <w:r w:rsidRPr="00BE2C1D">
        <w:rPr>
          <w:rFonts w:cstheme="minorHAnsi"/>
          <w:b/>
          <w:bCs/>
          <w:lang w:eastAsia="en-GB"/>
        </w:rPr>
        <w:t>10</w:t>
      </w:r>
      <w:r w:rsidRPr="00BE2C1D">
        <w:rPr>
          <w:rFonts w:cstheme="minorHAnsi"/>
          <w:lang w:eastAsia="en-GB"/>
        </w:rPr>
        <w:t>(2), 261-280.</w:t>
      </w:r>
    </w:p>
    <w:p w14:paraId="14ADF320" w14:textId="77777777" w:rsidR="00BE2C1D" w:rsidRPr="00BE2C1D" w:rsidRDefault="00BE2C1D" w:rsidP="00BE2C1D">
      <w:pPr>
        <w:spacing w:line="360" w:lineRule="auto"/>
        <w:rPr>
          <w:rFonts w:cstheme="minorHAnsi"/>
        </w:rPr>
      </w:pPr>
      <w:r w:rsidRPr="00BE2C1D">
        <w:rPr>
          <w:rFonts w:cstheme="minorHAnsi"/>
        </w:rPr>
        <w:t>Haggerty, K., (2006). Tear down the walls: On demolishing the panopticon”. In: D. Lyon, ed. </w:t>
      </w:r>
      <w:r w:rsidRPr="00BE2C1D">
        <w:rPr>
          <w:rFonts w:cstheme="minorHAnsi"/>
          <w:i/>
          <w:iCs/>
        </w:rPr>
        <w:t>Theorising surveillance: The panopticon and beyond</w:t>
      </w:r>
      <w:r w:rsidRPr="00BE2C1D">
        <w:rPr>
          <w:rFonts w:cstheme="minorHAnsi"/>
        </w:rPr>
        <w:t>. Uffculme, Devon: Willan Publishing. pp. 23-45. </w:t>
      </w:r>
    </w:p>
    <w:p w14:paraId="7054DBAD" w14:textId="77777777" w:rsidR="00BE2C1D" w:rsidRPr="00BE2C1D" w:rsidRDefault="00BE2C1D" w:rsidP="00BE2C1D">
      <w:pPr>
        <w:spacing w:line="360" w:lineRule="auto"/>
        <w:jc w:val="both"/>
        <w:rPr>
          <w:rFonts w:cstheme="minorHAnsi"/>
        </w:rPr>
      </w:pPr>
      <w:r w:rsidRPr="00BE2C1D">
        <w:rPr>
          <w:rFonts w:cstheme="minorHAnsi"/>
          <w:shd w:val="clear" w:color="auto" w:fill="FFFFFF"/>
        </w:rPr>
        <w:t>Halse, C., and Honey, A. (2007). Rethinking ethics review as institutional discourse. </w:t>
      </w:r>
      <w:r w:rsidRPr="00BE2C1D">
        <w:rPr>
          <w:rFonts w:cstheme="minorHAnsi"/>
          <w:i/>
          <w:iCs/>
          <w:shd w:val="clear" w:color="auto" w:fill="FFFFFF"/>
        </w:rPr>
        <w:t>Qualitative inquiry</w:t>
      </w:r>
      <w:r w:rsidRPr="00BE2C1D">
        <w:rPr>
          <w:rFonts w:cstheme="minorHAnsi"/>
          <w:shd w:val="clear" w:color="auto" w:fill="FFFFFF"/>
        </w:rPr>
        <w:t>. </w:t>
      </w:r>
      <w:r w:rsidRPr="00BE2C1D">
        <w:rPr>
          <w:rFonts w:cstheme="minorHAnsi"/>
          <w:b/>
          <w:bCs/>
          <w:shd w:val="clear" w:color="auto" w:fill="FFFFFF"/>
        </w:rPr>
        <w:t>13</w:t>
      </w:r>
      <w:r w:rsidRPr="00BE2C1D">
        <w:rPr>
          <w:rFonts w:cstheme="minorHAnsi"/>
          <w:shd w:val="clear" w:color="auto" w:fill="FFFFFF"/>
        </w:rPr>
        <w:t>(3), 336-352.</w:t>
      </w:r>
    </w:p>
    <w:p w14:paraId="027C7FE0" w14:textId="77777777" w:rsidR="00BE2C1D" w:rsidRPr="00BE2C1D" w:rsidRDefault="00BE2C1D" w:rsidP="00BE2C1D">
      <w:pPr>
        <w:spacing w:line="360" w:lineRule="auto"/>
        <w:jc w:val="both"/>
        <w:rPr>
          <w:rFonts w:cstheme="minorHAnsi"/>
          <w:lang w:eastAsia="en-GB"/>
        </w:rPr>
      </w:pPr>
      <w:r w:rsidRPr="00BE2C1D">
        <w:rPr>
          <w:rFonts w:cstheme="minorHAnsi"/>
          <w:shd w:val="clear" w:color="auto" w:fill="FFFFFF"/>
        </w:rPr>
        <w:t>Hamdan, A., 2009. Reflexivity of discomfort in insider-outsider educational research. </w:t>
      </w:r>
      <w:r w:rsidRPr="00BE2C1D">
        <w:rPr>
          <w:rFonts w:cstheme="minorHAnsi"/>
          <w:i/>
          <w:iCs/>
          <w:shd w:val="clear" w:color="auto" w:fill="FFFFFF"/>
        </w:rPr>
        <w:t>McGill Journal of Education/Revue des sciences de l'éducation de McGill</w:t>
      </w:r>
      <w:r w:rsidRPr="00BE2C1D">
        <w:rPr>
          <w:rFonts w:cstheme="minorHAnsi"/>
          <w:shd w:val="clear" w:color="auto" w:fill="FFFFFF"/>
        </w:rPr>
        <w:t>. </w:t>
      </w:r>
      <w:r w:rsidRPr="00BE2C1D">
        <w:rPr>
          <w:rFonts w:cstheme="minorHAnsi"/>
          <w:b/>
          <w:bCs/>
          <w:shd w:val="clear" w:color="auto" w:fill="FFFFFF"/>
        </w:rPr>
        <w:t>44</w:t>
      </w:r>
      <w:r w:rsidRPr="00BE2C1D">
        <w:rPr>
          <w:rFonts w:cstheme="minorHAnsi"/>
          <w:shd w:val="clear" w:color="auto" w:fill="FFFFFF"/>
        </w:rPr>
        <w:t>(3), 377-404.</w:t>
      </w:r>
    </w:p>
    <w:p w14:paraId="7D4269F2" w14:textId="77777777" w:rsidR="00BE2C1D" w:rsidRPr="00BE2C1D" w:rsidRDefault="00BE2C1D" w:rsidP="00BE2C1D">
      <w:pPr>
        <w:spacing w:line="360" w:lineRule="auto"/>
        <w:rPr>
          <w:rFonts w:cstheme="minorHAnsi"/>
          <w:shd w:val="clear" w:color="auto" w:fill="FFFFFF"/>
        </w:rPr>
      </w:pPr>
      <w:r w:rsidRPr="00BE2C1D">
        <w:rPr>
          <w:rFonts w:cstheme="minorHAnsi"/>
          <w:shd w:val="clear" w:color="auto" w:fill="FFFFFF"/>
        </w:rPr>
        <w:t>Hamraie, A., 2017. </w:t>
      </w:r>
      <w:r w:rsidRPr="00BE2C1D">
        <w:rPr>
          <w:rFonts w:cstheme="minorHAnsi"/>
          <w:i/>
          <w:iCs/>
          <w:shd w:val="clear" w:color="auto" w:fill="FFFFFF"/>
        </w:rPr>
        <w:t>Building access: Universal design and the politics of disability</w:t>
      </w:r>
      <w:r w:rsidRPr="00BE2C1D">
        <w:rPr>
          <w:rFonts w:cstheme="minorHAnsi"/>
          <w:shd w:val="clear" w:color="auto" w:fill="FFFFFF"/>
        </w:rPr>
        <w:t>. Minneapolis: University of Minnesota Press.</w:t>
      </w:r>
    </w:p>
    <w:p w14:paraId="77E7643F" w14:textId="77777777" w:rsidR="00BE2C1D" w:rsidRPr="00BE2C1D" w:rsidRDefault="00BE2C1D" w:rsidP="00BE2C1D">
      <w:pPr>
        <w:spacing w:line="360" w:lineRule="auto"/>
        <w:rPr>
          <w:rFonts w:cstheme="minorHAnsi"/>
          <w:shd w:val="clear" w:color="auto" w:fill="FFFFFF"/>
        </w:rPr>
      </w:pPr>
      <w:r w:rsidRPr="00BE2C1D">
        <w:rPr>
          <w:rFonts w:cstheme="minorHAnsi"/>
          <w:shd w:val="clear" w:color="auto" w:fill="FFFFFF"/>
        </w:rPr>
        <w:t>Hancock, R. and Eyres, I., 2004. Implementing a required curriculum reform: teachers at the core, teaching assistants on the periphery?. </w:t>
      </w:r>
      <w:r w:rsidRPr="00BE2C1D">
        <w:rPr>
          <w:rFonts w:cstheme="minorHAnsi"/>
          <w:i/>
          <w:iCs/>
          <w:shd w:val="clear" w:color="auto" w:fill="FFFFFF"/>
        </w:rPr>
        <w:t>Westminster Studies in Education</w:t>
      </w:r>
      <w:r w:rsidRPr="00BE2C1D">
        <w:rPr>
          <w:rFonts w:cstheme="minorHAnsi"/>
          <w:shd w:val="clear" w:color="auto" w:fill="FFFFFF"/>
        </w:rPr>
        <w:t>, </w:t>
      </w:r>
      <w:r w:rsidRPr="00BE2C1D">
        <w:rPr>
          <w:rFonts w:cstheme="minorHAnsi"/>
          <w:b/>
          <w:bCs/>
          <w:shd w:val="clear" w:color="auto" w:fill="FFFFFF"/>
        </w:rPr>
        <w:t>27</w:t>
      </w:r>
      <w:r w:rsidRPr="00BE2C1D">
        <w:rPr>
          <w:rFonts w:cstheme="minorHAnsi"/>
          <w:shd w:val="clear" w:color="auto" w:fill="FFFFFF"/>
        </w:rPr>
        <w:t>(2), 223-235.</w:t>
      </w:r>
    </w:p>
    <w:p w14:paraId="02FDB50F" w14:textId="77777777" w:rsidR="00BE2C1D" w:rsidRPr="00BE2C1D" w:rsidRDefault="00BE2C1D" w:rsidP="00BE2C1D">
      <w:pPr>
        <w:spacing w:line="360" w:lineRule="auto"/>
        <w:rPr>
          <w:rFonts w:cstheme="minorHAnsi"/>
          <w:shd w:val="clear" w:color="auto" w:fill="FFFFFF"/>
        </w:rPr>
      </w:pPr>
      <w:r w:rsidRPr="00BE2C1D">
        <w:rPr>
          <w:rFonts w:cstheme="minorHAnsi"/>
          <w:shd w:val="clear" w:color="auto" w:fill="FFFFFF"/>
        </w:rPr>
        <w:t xml:space="preserve">Hanisch, Carol (1969) The Personal is Political. Archive text available at: </w:t>
      </w:r>
      <w:hyperlink r:id="rId19" w:history="1">
        <w:r w:rsidRPr="00BE2C1D">
          <w:rPr>
            <w:rFonts w:cstheme="minorHAnsi"/>
            <w:u w:val="single"/>
            <w:shd w:val="clear" w:color="auto" w:fill="FFFFFF"/>
          </w:rPr>
          <w:t>http://www.carolhanisch.org/CHwritings/PIP.html</w:t>
        </w:r>
      </w:hyperlink>
      <w:r w:rsidRPr="00BE2C1D">
        <w:rPr>
          <w:rFonts w:cstheme="minorHAnsi"/>
          <w:shd w:val="clear" w:color="auto" w:fill="FFFFFF"/>
        </w:rPr>
        <w:t xml:space="preserve">  [accessed 15 February 2020).</w:t>
      </w:r>
    </w:p>
    <w:p w14:paraId="5A17B0C7" w14:textId="77777777" w:rsidR="00BE2C1D" w:rsidRPr="00BE2C1D" w:rsidRDefault="00BE2C1D" w:rsidP="00BE2C1D">
      <w:pPr>
        <w:spacing w:line="360" w:lineRule="auto"/>
        <w:rPr>
          <w:rFonts w:cstheme="minorHAnsi"/>
          <w:shd w:val="clear" w:color="auto" w:fill="FFFFFF"/>
        </w:rPr>
      </w:pPr>
      <w:r w:rsidRPr="00BE2C1D">
        <w:rPr>
          <w:rFonts w:cstheme="minorHAnsi"/>
          <w:shd w:val="clear" w:color="auto" w:fill="FFFFFF"/>
        </w:rPr>
        <w:t>Hardin, B. and Hardin, M., 2004. Distorted pictures: Images of disability in physical education textbooks. </w:t>
      </w:r>
      <w:r w:rsidRPr="00BE2C1D">
        <w:rPr>
          <w:rFonts w:cstheme="minorHAnsi"/>
          <w:i/>
          <w:iCs/>
          <w:shd w:val="clear" w:color="auto" w:fill="FFFFFF"/>
        </w:rPr>
        <w:t>Adapted physical activity quarterly</w:t>
      </w:r>
      <w:r w:rsidRPr="00BE2C1D">
        <w:rPr>
          <w:rFonts w:cstheme="minorHAnsi"/>
          <w:shd w:val="clear" w:color="auto" w:fill="FFFFFF"/>
        </w:rPr>
        <w:t>. </w:t>
      </w:r>
      <w:r w:rsidRPr="00BE2C1D">
        <w:rPr>
          <w:rFonts w:cstheme="minorHAnsi"/>
          <w:b/>
          <w:bCs/>
          <w:shd w:val="clear" w:color="auto" w:fill="FFFFFF"/>
        </w:rPr>
        <w:t>21</w:t>
      </w:r>
      <w:r w:rsidRPr="00BE2C1D">
        <w:rPr>
          <w:rFonts w:cstheme="minorHAnsi"/>
          <w:shd w:val="clear" w:color="auto" w:fill="FFFFFF"/>
        </w:rPr>
        <w:t>(4), 399-413.</w:t>
      </w:r>
    </w:p>
    <w:p w14:paraId="59E5A234" w14:textId="77777777" w:rsidR="00BE2C1D" w:rsidRPr="00BE2C1D" w:rsidRDefault="00BE2C1D" w:rsidP="00BE2C1D">
      <w:pPr>
        <w:spacing w:line="360" w:lineRule="auto"/>
        <w:rPr>
          <w:rFonts w:cstheme="minorHAnsi"/>
          <w:shd w:val="clear" w:color="auto" w:fill="FFFFFF"/>
        </w:rPr>
      </w:pPr>
      <w:r w:rsidRPr="00BE2C1D">
        <w:rPr>
          <w:rFonts w:cstheme="minorHAnsi"/>
          <w:shd w:val="clear" w:color="auto" w:fill="FFFFFF"/>
        </w:rPr>
        <w:t>Hargreaves, J. and Anderson, E., (2014). ‘My biggest disability is I’m a male!’ The role of sport in negotiating the dilemma of disabled masculinity. In: J. Hangreaves, E. Anderson, eds. </w:t>
      </w:r>
      <w:r w:rsidRPr="00BE2C1D">
        <w:rPr>
          <w:rFonts w:cstheme="minorHAnsi"/>
          <w:i/>
          <w:iCs/>
          <w:shd w:val="clear" w:color="auto" w:fill="FFFFFF"/>
        </w:rPr>
        <w:t>Routledge Handbook of Sport, Gender and Sexuality</w:t>
      </w:r>
      <w:r w:rsidRPr="00BE2C1D">
        <w:rPr>
          <w:rFonts w:cstheme="minorHAnsi"/>
          <w:shd w:val="clear" w:color="auto" w:fill="FFFFFF"/>
        </w:rPr>
        <w:t xml:space="preserve">. Oxon: Routledge. pp. 209-217. </w:t>
      </w:r>
    </w:p>
    <w:p w14:paraId="598C828D" w14:textId="77777777" w:rsidR="00BE2C1D" w:rsidRPr="00BE2C1D" w:rsidRDefault="00BE2C1D" w:rsidP="00BE2C1D">
      <w:pPr>
        <w:spacing w:line="360" w:lineRule="auto"/>
        <w:rPr>
          <w:rFonts w:cstheme="minorHAnsi"/>
          <w:shd w:val="clear" w:color="auto" w:fill="FFFFFF"/>
        </w:rPr>
      </w:pPr>
      <w:r w:rsidRPr="00BE2C1D">
        <w:rPr>
          <w:rFonts w:cstheme="minorHAnsi"/>
          <w:shd w:val="clear" w:color="auto" w:fill="FFFFFF"/>
        </w:rPr>
        <w:lastRenderedPageBreak/>
        <w:t>Harris, J. and Roberts, K., 2003. Challenging barriers to participation in qualitative research: Involving disabled refugees. </w:t>
      </w:r>
      <w:r w:rsidRPr="00BE2C1D">
        <w:rPr>
          <w:rFonts w:cstheme="minorHAnsi"/>
          <w:i/>
          <w:iCs/>
          <w:shd w:val="clear" w:color="auto" w:fill="FFFFFF"/>
        </w:rPr>
        <w:t>International Journal of Qualitative Methods</w:t>
      </w:r>
      <w:r w:rsidRPr="00BE2C1D">
        <w:rPr>
          <w:rFonts w:cstheme="minorHAnsi"/>
          <w:shd w:val="clear" w:color="auto" w:fill="FFFFFF"/>
        </w:rPr>
        <w:t>. </w:t>
      </w:r>
      <w:r w:rsidRPr="00BE2C1D">
        <w:rPr>
          <w:rFonts w:cstheme="minorHAnsi"/>
          <w:b/>
          <w:bCs/>
          <w:shd w:val="clear" w:color="auto" w:fill="FFFFFF"/>
        </w:rPr>
        <w:t>2</w:t>
      </w:r>
      <w:r w:rsidRPr="00BE2C1D">
        <w:rPr>
          <w:rFonts w:cstheme="minorHAnsi"/>
          <w:shd w:val="clear" w:color="auto" w:fill="FFFFFF"/>
        </w:rPr>
        <w:t>(2), 14-22.</w:t>
      </w:r>
    </w:p>
    <w:p w14:paraId="7E793702" w14:textId="77777777" w:rsidR="00BE2C1D" w:rsidRPr="00BE2C1D" w:rsidRDefault="00BE2C1D" w:rsidP="00BE2C1D">
      <w:pPr>
        <w:spacing w:line="360" w:lineRule="auto"/>
        <w:rPr>
          <w:rFonts w:cstheme="minorHAnsi"/>
        </w:rPr>
      </w:pPr>
      <w:r w:rsidRPr="00BE2C1D">
        <w:rPr>
          <w:rFonts w:cstheme="minorHAnsi"/>
          <w:shd w:val="clear" w:color="auto" w:fill="FFFFFF"/>
        </w:rPr>
        <w:t>Harrison, J., MacGibbon, L. and Morton, M., 2001. Regimes of trustworthiness in qualitative research: The rigors of reciprocity. </w:t>
      </w:r>
      <w:r w:rsidRPr="00BE2C1D">
        <w:rPr>
          <w:rFonts w:cstheme="minorHAnsi"/>
          <w:i/>
          <w:iCs/>
          <w:shd w:val="clear" w:color="auto" w:fill="FFFFFF"/>
        </w:rPr>
        <w:t>Qualitative inquiry</w:t>
      </w:r>
      <w:r w:rsidRPr="00BE2C1D">
        <w:rPr>
          <w:rFonts w:cstheme="minorHAnsi"/>
          <w:shd w:val="clear" w:color="auto" w:fill="FFFFFF"/>
        </w:rPr>
        <w:t>. </w:t>
      </w:r>
      <w:r w:rsidRPr="00BE2C1D">
        <w:rPr>
          <w:rFonts w:cstheme="minorHAnsi"/>
          <w:b/>
          <w:bCs/>
          <w:shd w:val="clear" w:color="auto" w:fill="FFFFFF"/>
        </w:rPr>
        <w:t>7</w:t>
      </w:r>
      <w:r w:rsidRPr="00BE2C1D">
        <w:rPr>
          <w:rFonts w:cstheme="minorHAnsi"/>
          <w:shd w:val="clear" w:color="auto" w:fill="FFFFFF"/>
        </w:rPr>
        <w:t>(3), 323-345.</w:t>
      </w:r>
    </w:p>
    <w:p w14:paraId="0B403520" w14:textId="77777777" w:rsidR="00BE2C1D" w:rsidRPr="00BE2C1D" w:rsidRDefault="00BE2C1D" w:rsidP="00BE2C1D">
      <w:pPr>
        <w:spacing w:line="360" w:lineRule="auto"/>
        <w:rPr>
          <w:rFonts w:cstheme="minorHAnsi"/>
          <w:shd w:val="clear" w:color="auto" w:fill="FFFFFF"/>
        </w:rPr>
      </w:pPr>
      <w:r w:rsidRPr="00BE2C1D">
        <w:rPr>
          <w:rFonts w:cstheme="minorHAnsi"/>
          <w:shd w:val="clear" w:color="auto" w:fill="FFFFFF"/>
        </w:rPr>
        <w:t>Hart, R., 2002. Containing children: some lessons on planning for play from New York City. </w:t>
      </w:r>
      <w:r w:rsidRPr="00BE2C1D">
        <w:rPr>
          <w:rFonts w:cstheme="minorHAnsi"/>
          <w:i/>
          <w:iCs/>
          <w:shd w:val="clear" w:color="auto" w:fill="FFFFFF"/>
        </w:rPr>
        <w:t>Environment and Urbanization</w:t>
      </w:r>
      <w:r w:rsidRPr="00BE2C1D">
        <w:rPr>
          <w:rFonts w:cstheme="minorHAnsi"/>
          <w:shd w:val="clear" w:color="auto" w:fill="FFFFFF"/>
        </w:rPr>
        <w:t>. </w:t>
      </w:r>
      <w:r w:rsidRPr="00BE2C1D">
        <w:rPr>
          <w:rFonts w:cstheme="minorHAnsi"/>
          <w:b/>
          <w:bCs/>
          <w:shd w:val="clear" w:color="auto" w:fill="FFFFFF"/>
        </w:rPr>
        <w:t>14</w:t>
      </w:r>
      <w:r w:rsidRPr="00BE2C1D">
        <w:rPr>
          <w:rFonts w:cstheme="minorHAnsi"/>
          <w:shd w:val="clear" w:color="auto" w:fill="FFFFFF"/>
        </w:rPr>
        <w:t>(2), 135-148.</w:t>
      </w:r>
    </w:p>
    <w:p w14:paraId="3942C798" w14:textId="77777777" w:rsidR="00BE2C1D" w:rsidRPr="00BE2C1D" w:rsidRDefault="00BE2C1D" w:rsidP="00BE2C1D">
      <w:pPr>
        <w:spacing w:line="360" w:lineRule="auto"/>
        <w:rPr>
          <w:rFonts w:cstheme="minorHAnsi"/>
          <w:shd w:val="clear" w:color="auto" w:fill="FFFFFF"/>
        </w:rPr>
      </w:pPr>
      <w:r w:rsidRPr="00BE2C1D">
        <w:rPr>
          <w:rFonts w:cstheme="minorHAnsi"/>
          <w:shd w:val="clear" w:color="auto" w:fill="FFFFFF"/>
        </w:rPr>
        <w:t>Harwood, V., 2001. Foucault, narrative and the subjugated subject: doing research with a grid of sensibility. </w:t>
      </w:r>
      <w:r w:rsidRPr="00BE2C1D">
        <w:rPr>
          <w:rFonts w:cstheme="minorHAnsi"/>
          <w:i/>
          <w:iCs/>
          <w:shd w:val="clear" w:color="auto" w:fill="FFFFFF"/>
        </w:rPr>
        <w:t>The Australian Educational Researcher</w:t>
      </w:r>
      <w:r w:rsidRPr="00BE2C1D">
        <w:rPr>
          <w:rFonts w:cstheme="minorHAnsi"/>
          <w:shd w:val="clear" w:color="auto" w:fill="FFFFFF"/>
        </w:rPr>
        <w:t>. </w:t>
      </w:r>
      <w:r w:rsidRPr="00BE2C1D">
        <w:rPr>
          <w:rFonts w:cstheme="minorHAnsi"/>
          <w:b/>
          <w:bCs/>
          <w:shd w:val="clear" w:color="auto" w:fill="FFFFFF"/>
        </w:rPr>
        <w:t>28</w:t>
      </w:r>
      <w:r w:rsidRPr="00BE2C1D">
        <w:rPr>
          <w:rFonts w:cstheme="minorHAnsi"/>
          <w:shd w:val="clear" w:color="auto" w:fill="FFFFFF"/>
        </w:rPr>
        <w:t>(3),141-166.</w:t>
      </w:r>
    </w:p>
    <w:p w14:paraId="51EFEA2F" w14:textId="77777777" w:rsidR="00BE2C1D" w:rsidRPr="00BE2C1D" w:rsidRDefault="00BE2C1D" w:rsidP="00BE2C1D">
      <w:pPr>
        <w:spacing w:line="360" w:lineRule="auto"/>
        <w:rPr>
          <w:rFonts w:cstheme="minorHAnsi"/>
          <w:shd w:val="clear" w:color="auto" w:fill="FFFFFF"/>
        </w:rPr>
      </w:pPr>
      <w:r w:rsidRPr="00BE2C1D">
        <w:rPr>
          <w:rFonts w:cstheme="minorHAnsi"/>
          <w:shd w:val="clear" w:color="auto" w:fill="FFFFFF"/>
        </w:rPr>
        <w:t>Heider, J.D., Scherer, C.R. and Edlund, J.E., 2013. Cultural stereotypes and personal beliefs about individuals with dwarfism. </w:t>
      </w:r>
      <w:r w:rsidRPr="00BE2C1D">
        <w:rPr>
          <w:rFonts w:cstheme="minorHAnsi"/>
          <w:i/>
          <w:iCs/>
          <w:shd w:val="clear" w:color="auto" w:fill="FFFFFF"/>
        </w:rPr>
        <w:t>The Journal of social psychology</w:t>
      </w:r>
      <w:r w:rsidRPr="00BE2C1D">
        <w:rPr>
          <w:rFonts w:cstheme="minorHAnsi"/>
          <w:shd w:val="clear" w:color="auto" w:fill="FFFFFF"/>
        </w:rPr>
        <w:t>. </w:t>
      </w:r>
      <w:r w:rsidRPr="00BE2C1D">
        <w:rPr>
          <w:rFonts w:cstheme="minorHAnsi"/>
          <w:b/>
          <w:bCs/>
          <w:shd w:val="clear" w:color="auto" w:fill="FFFFFF"/>
        </w:rPr>
        <w:t>153</w:t>
      </w:r>
      <w:r w:rsidRPr="00BE2C1D">
        <w:rPr>
          <w:rFonts w:cstheme="minorHAnsi"/>
          <w:shd w:val="clear" w:color="auto" w:fill="FFFFFF"/>
        </w:rPr>
        <w:t>(1), 80-97.</w:t>
      </w:r>
    </w:p>
    <w:p w14:paraId="7BF7F05A" w14:textId="77777777" w:rsidR="00BE2C1D" w:rsidRPr="00BE2C1D" w:rsidRDefault="00BE2C1D" w:rsidP="00BE2C1D">
      <w:pPr>
        <w:spacing w:line="360" w:lineRule="auto"/>
        <w:rPr>
          <w:rFonts w:cstheme="minorHAnsi"/>
          <w:shd w:val="clear" w:color="auto" w:fill="FFFFFF"/>
        </w:rPr>
      </w:pPr>
      <w:r w:rsidRPr="00BE2C1D">
        <w:rPr>
          <w:rFonts w:cstheme="minorHAnsi"/>
          <w:shd w:val="clear" w:color="auto" w:fill="FFFFFF"/>
        </w:rPr>
        <w:t>Heineck, G., 2005. Up in the skies? The relationship between body height and earnings in Germany. </w:t>
      </w:r>
      <w:r w:rsidRPr="00BE2C1D">
        <w:rPr>
          <w:rFonts w:cstheme="minorHAnsi"/>
          <w:i/>
          <w:iCs/>
          <w:shd w:val="clear" w:color="auto" w:fill="FFFFFF"/>
        </w:rPr>
        <w:t>Labour</w:t>
      </w:r>
      <w:r w:rsidRPr="00BE2C1D">
        <w:rPr>
          <w:rFonts w:cstheme="minorHAnsi"/>
          <w:shd w:val="clear" w:color="auto" w:fill="FFFFFF"/>
        </w:rPr>
        <w:t>. </w:t>
      </w:r>
      <w:r w:rsidRPr="00BE2C1D">
        <w:rPr>
          <w:rFonts w:cstheme="minorHAnsi"/>
          <w:b/>
          <w:bCs/>
          <w:shd w:val="clear" w:color="auto" w:fill="FFFFFF"/>
        </w:rPr>
        <w:t>19</w:t>
      </w:r>
      <w:r w:rsidRPr="00BE2C1D">
        <w:rPr>
          <w:rFonts w:cstheme="minorHAnsi"/>
          <w:shd w:val="clear" w:color="auto" w:fill="FFFFFF"/>
        </w:rPr>
        <w:t>(3), 469-489.</w:t>
      </w:r>
    </w:p>
    <w:p w14:paraId="71CCA062" w14:textId="77777777" w:rsidR="00BE2C1D" w:rsidRPr="00BE2C1D" w:rsidRDefault="00BE2C1D" w:rsidP="00BE2C1D">
      <w:pPr>
        <w:spacing w:line="360" w:lineRule="auto"/>
        <w:rPr>
          <w:rFonts w:cstheme="minorHAnsi"/>
          <w:shd w:val="clear" w:color="auto" w:fill="FFFFFF"/>
        </w:rPr>
      </w:pPr>
      <w:r w:rsidRPr="00BE2C1D">
        <w:rPr>
          <w:rFonts w:cstheme="minorHAnsi"/>
        </w:rPr>
        <w:t>Hemmingsson, H., Borell, L. and Gustavsson, A. 2003. Participation in school: School assistants creating opportunities and obstacles for pupils with disabilities. </w:t>
      </w:r>
      <w:r w:rsidRPr="00BE2C1D">
        <w:rPr>
          <w:rFonts w:cstheme="minorHAnsi"/>
          <w:i/>
          <w:iCs/>
        </w:rPr>
        <w:t>OTJR‐Occupation, Participation and Health</w:t>
      </w:r>
      <w:r w:rsidRPr="00BE2C1D">
        <w:rPr>
          <w:rFonts w:cstheme="minorHAnsi"/>
        </w:rPr>
        <w:t xml:space="preserve">. </w:t>
      </w:r>
      <w:r w:rsidRPr="00BE2C1D">
        <w:rPr>
          <w:rFonts w:cstheme="minorHAnsi"/>
          <w:b/>
          <w:bCs/>
        </w:rPr>
        <w:t>23</w:t>
      </w:r>
      <w:r w:rsidRPr="00BE2C1D">
        <w:rPr>
          <w:rFonts w:cstheme="minorHAnsi"/>
        </w:rPr>
        <w:t>(3), 88–98.</w:t>
      </w:r>
    </w:p>
    <w:p w14:paraId="5231BAD3" w14:textId="77777777" w:rsidR="00BE2C1D" w:rsidRPr="00BE2C1D" w:rsidRDefault="00BE2C1D" w:rsidP="00BE2C1D">
      <w:pPr>
        <w:spacing w:line="360" w:lineRule="auto"/>
        <w:jc w:val="both"/>
        <w:rPr>
          <w:rFonts w:cstheme="minorHAnsi"/>
          <w:shd w:val="clear" w:color="auto" w:fill="FFFFFF"/>
        </w:rPr>
      </w:pPr>
      <w:r w:rsidRPr="00BE2C1D">
        <w:rPr>
          <w:rFonts w:cstheme="minorHAnsi"/>
          <w:shd w:val="clear" w:color="auto" w:fill="FFFFFF"/>
        </w:rPr>
        <w:t>Herndon, A., 2002. Disparate but disabled: Fat embodiment and disability studies. </w:t>
      </w:r>
      <w:r w:rsidRPr="00BE2C1D">
        <w:rPr>
          <w:rFonts w:cstheme="minorHAnsi"/>
          <w:i/>
          <w:iCs/>
          <w:shd w:val="clear" w:color="auto" w:fill="FFFFFF"/>
        </w:rPr>
        <w:t>Nwsa Journal</w:t>
      </w:r>
      <w:r w:rsidRPr="00BE2C1D">
        <w:rPr>
          <w:rFonts w:cstheme="minorHAnsi"/>
          <w:shd w:val="clear" w:color="auto" w:fill="FFFFFF"/>
        </w:rPr>
        <w:t xml:space="preserve">, </w:t>
      </w:r>
      <w:r w:rsidRPr="00BE2C1D">
        <w:rPr>
          <w:rFonts w:cstheme="minorHAnsi"/>
          <w:b/>
          <w:bCs/>
          <w:shd w:val="clear" w:color="auto" w:fill="FFFFFF"/>
        </w:rPr>
        <w:t>14</w:t>
      </w:r>
      <w:r w:rsidRPr="00BE2C1D">
        <w:rPr>
          <w:rFonts w:cstheme="minorHAnsi"/>
          <w:shd w:val="clear" w:color="auto" w:fill="FFFFFF"/>
        </w:rPr>
        <w:t>(3), 120-137.</w:t>
      </w:r>
    </w:p>
    <w:p w14:paraId="58D907CB" w14:textId="77777777" w:rsidR="00BE2C1D" w:rsidRPr="00BE2C1D" w:rsidRDefault="00BE2C1D" w:rsidP="00BE2C1D">
      <w:pPr>
        <w:spacing w:line="360" w:lineRule="auto"/>
        <w:rPr>
          <w:rFonts w:cstheme="minorHAnsi"/>
        </w:rPr>
      </w:pPr>
      <w:r w:rsidRPr="00BE2C1D">
        <w:rPr>
          <w:rFonts w:cstheme="minorHAnsi"/>
          <w:shd w:val="clear" w:color="auto" w:fill="FFFFFF"/>
        </w:rPr>
        <w:t>Hickey-Moody, A.C., 2009. </w:t>
      </w:r>
      <w:r w:rsidRPr="00BE2C1D">
        <w:rPr>
          <w:rFonts w:cstheme="minorHAnsi"/>
          <w:i/>
          <w:iCs/>
          <w:shd w:val="clear" w:color="auto" w:fill="FFFFFF"/>
        </w:rPr>
        <w:t>Unimaginable bodies: Intellectual disability, performance and becomings</w:t>
      </w:r>
      <w:r w:rsidRPr="00BE2C1D">
        <w:rPr>
          <w:rFonts w:cstheme="minorHAnsi"/>
          <w:shd w:val="clear" w:color="auto" w:fill="FFFFFF"/>
        </w:rPr>
        <w:t>. Place of publication: Sense.</w:t>
      </w:r>
    </w:p>
    <w:p w14:paraId="190CDA1B" w14:textId="77777777" w:rsidR="00BE2C1D" w:rsidRPr="00BE2C1D" w:rsidRDefault="00BE2C1D" w:rsidP="00BE2C1D">
      <w:pPr>
        <w:spacing w:line="360" w:lineRule="auto"/>
        <w:rPr>
          <w:rFonts w:cstheme="minorHAnsi"/>
          <w:shd w:val="clear" w:color="auto" w:fill="FFFFFF"/>
        </w:rPr>
      </w:pPr>
      <w:r w:rsidRPr="00BE2C1D">
        <w:rPr>
          <w:rFonts w:cstheme="minorHAnsi"/>
          <w:shd w:val="clear" w:color="auto" w:fill="FFFFFF"/>
        </w:rPr>
        <w:t>Hochschild, A.R., 1979. Emotion work, feeling rules, and social structure. </w:t>
      </w:r>
      <w:r w:rsidRPr="00BE2C1D">
        <w:rPr>
          <w:rFonts w:cstheme="minorHAnsi"/>
          <w:i/>
          <w:iCs/>
          <w:shd w:val="clear" w:color="auto" w:fill="FFFFFF"/>
        </w:rPr>
        <w:t>American journal of sociology</w:t>
      </w:r>
      <w:r w:rsidRPr="00BE2C1D">
        <w:rPr>
          <w:rFonts w:cstheme="minorHAnsi"/>
          <w:shd w:val="clear" w:color="auto" w:fill="FFFFFF"/>
        </w:rPr>
        <w:t>. </w:t>
      </w:r>
      <w:r w:rsidRPr="00BE2C1D">
        <w:rPr>
          <w:rFonts w:cstheme="minorHAnsi"/>
          <w:b/>
          <w:bCs/>
          <w:shd w:val="clear" w:color="auto" w:fill="FFFFFF"/>
        </w:rPr>
        <w:t>85</w:t>
      </w:r>
      <w:r w:rsidRPr="00BE2C1D">
        <w:rPr>
          <w:rFonts w:cstheme="minorHAnsi"/>
          <w:shd w:val="clear" w:color="auto" w:fill="FFFFFF"/>
        </w:rPr>
        <w:t>(3), 551-575.</w:t>
      </w:r>
    </w:p>
    <w:p w14:paraId="1D17EBBE" w14:textId="77777777" w:rsidR="00BE2C1D" w:rsidRPr="00BE2C1D" w:rsidRDefault="00BE2C1D" w:rsidP="00BE2C1D">
      <w:pPr>
        <w:spacing w:line="360" w:lineRule="auto"/>
        <w:rPr>
          <w:rFonts w:cstheme="minorHAnsi"/>
          <w:shd w:val="clear" w:color="auto" w:fill="FFFFFF"/>
        </w:rPr>
      </w:pPr>
      <w:r w:rsidRPr="00BE2C1D">
        <w:rPr>
          <w:rFonts w:cstheme="minorHAnsi"/>
          <w:shd w:val="clear" w:color="auto" w:fill="FFFFFF"/>
        </w:rPr>
        <w:t>Hodge, N. and Runswick‐Cole, K., 2008. Problematising parent–professional partnerships in education. </w:t>
      </w:r>
      <w:r w:rsidRPr="00BE2C1D">
        <w:rPr>
          <w:rFonts w:cstheme="minorHAnsi"/>
          <w:i/>
          <w:iCs/>
          <w:shd w:val="clear" w:color="auto" w:fill="FFFFFF"/>
        </w:rPr>
        <w:t>Disability &amp; Society</w:t>
      </w:r>
      <w:r w:rsidRPr="00BE2C1D">
        <w:rPr>
          <w:rFonts w:cstheme="minorHAnsi"/>
          <w:shd w:val="clear" w:color="auto" w:fill="FFFFFF"/>
        </w:rPr>
        <w:t>. </w:t>
      </w:r>
      <w:r w:rsidRPr="00BE2C1D">
        <w:rPr>
          <w:rFonts w:cstheme="minorHAnsi"/>
          <w:b/>
          <w:bCs/>
          <w:shd w:val="clear" w:color="auto" w:fill="FFFFFF"/>
        </w:rPr>
        <w:t>23</w:t>
      </w:r>
      <w:r w:rsidRPr="00BE2C1D">
        <w:rPr>
          <w:rFonts w:cstheme="minorHAnsi"/>
          <w:shd w:val="clear" w:color="auto" w:fill="FFFFFF"/>
        </w:rPr>
        <w:t>(6), 637-647.</w:t>
      </w:r>
    </w:p>
    <w:p w14:paraId="39BB98C3" w14:textId="77777777" w:rsidR="00BE2C1D" w:rsidRPr="00BE2C1D" w:rsidRDefault="00BE2C1D" w:rsidP="00BE2C1D">
      <w:pPr>
        <w:spacing w:line="360" w:lineRule="auto"/>
        <w:rPr>
          <w:rFonts w:cstheme="minorHAnsi"/>
          <w:shd w:val="clear" w:color="auto" w:fill="FFFFFF"/>
        </w:rPr>
      </w:pPr>
      <w:r w:rsidRPr="00BE2C1D">
        <w:rPr>
          <w:rFonts w:cstheme="minorHAnsi"/>
          <w:shd w:val="clear" w:color="auto" w:fill="FFFFFF"/>
        </w:rPr>
        <w:t>Hodge, N. and Runswick-Cole, K., 2013. ‘They never pass me the ball’: exposing ableism through the leisure experiences of disabled children, young people and their families. </w:t>
      </w:r>
      <w:r w:rsidRPr="00BE2C1D">
        <w:rPr>
          <w:rFonts w:cstheme="minorHAnsi"/>
          <w:i/>
          <w:iCs/>
          <w:shd w:val="clear" w:color="auto" w:fill="FFFFFF"/>
        </w:rPr>
        <w:t>Children's Geographies</w:t>
      </w:r>
      <w:r w:rsidRPr="00BE2C1D">
        <w:rPr>
          <w:rFonts w:cstheme="minorHAnsi"/>
          <w:shd w:val="clear" w:color="auto" w:fill="FFFFFF"/>
        </w:rPr>
        <w:t>. </w:t>
      </w:r>
      <w:r w:rsidRPr="00BE2C1D">
        <w:rPr>
          <w:rFonts w:cstheme="minorHAnsi"/>
          <w:b/>
          <w:bCs/>
          <w:shd w:val="clear" w:color="auto" w:fill="FFFFFF"/>
        </w:rPr>
        <w:t>11</w:t>
      </w:r>
      <w:r w:rsidRPr="00BE2C1D">
        <w:rPr>
          <w:rFonts w:cstheme="minorHAnsi"/>
          <w:shd w:val="clear" w:color="auto" w:fill="FFFFFF"/>
        </w:rPr>
        <w:t>(3),311-325.</w:t>
      </w:r>
    </w:p>
    <w:p w14:paraId="6CE04847" w14:textId="77777777" w:rsidR="00BE2C1D" w:rsidRPr="00BE2C1D" w:rsidRDefault="00BE2C1D" w:rsidP="00BE2C1D">
      <w:pPr>
        <w:spacing w:line="360" w:lineRule="auto"/>
        <w:rPr>
          <w:rFonts w:cstheme="minorHAnsi"/>
        </w:rPr>
      </w:pPr>
      <w:r w:rsidRPr="00BE2C1D">
        <w:rPr>
          <w:rFonts w:cstheme="minorHAnsi"/>
        </w:rPr>
        <w:t xml:space="preserve">Hoffman, E. (2007). Open-ended interviews, power, and emotional labour. Journal of Contemporary Ethnography. </w:t>
      </w:r>
      <w:r w:rsidRPr="00BE2C1D">
        <w:rPr>
          <w:rFonts w:cstheme="minorHAnsi"/>
          <w:b/>
          <w:bCs/>
        </w:rPr>
        <w:t>36</w:t>
      </w:r>
      <w:r w:rsidRPr="00BE2C1D">
        <w:rPr>
          <w:rFonts w:cstheme="minorHAnsi"/>
        </w:rPr>
        <w:t>, 318-346.</w:t>
      </w:r>
    </w:p>
    <w:p w14:paraId="7341CB05" w14:textId="77777777" w:rsidR="00BE2C1D" w:rsidRPr="00BE2C1D" w:rsidRDefault="00BE2C1D" w:rsidP="00BE2C1D">
      <w:pPr>
        <w:spacing w:line="360" w:lineRule="auto"/>
        <w:rPr>
          <w:rFonts w:cstheme="minorHAnsi"/>
          <w:shd w:val="clear" w:color="auto" w:fill="FFFFFF"/>
        </w:rPr>
      </w:pPr>
      <w:r w:rsidRPr="00BE2C1D">
        <w:rPr>
          <w:rFonts w:cstheme="minorHAnsi"/>
          <w:shd w:val="clear" w:color="auto" w:fill="FFFFFF"/>
        </w:rPr>
        <w:lastRenderedPageBreak/>
        <w:t>Hollander, J.A. and Einwohner, R.L., 2004, December. Conceptualizing resistance. </w:t>
      </w:r>
      <w:r w:rsidRPr="00BE2C1D">
        <w:rPr>
          <w:rFonts w:cstheme="minorHAnsi"/>
          <w:i/>
          <w:iCs/>
          <w:shd w:val="clear" w:color="auto" w:fill="FFFFFF"/>
        </w:rPr>
        <w:t>Sociological forum</w:t>
      </w:r>
      <w:r w:rsidRPr="00BE2C1D">
        <w:rPr>
          <w:rFonts w:cstheme="minorHAnsi"/>
          <w:shd w:val="clear" w:color="auto" w:fill="FFFFFF"/>
        </w:rPr>
        <w:t xml:space="preserve">. </w:t>
      </w:r>
      <w:r w:rsidRPr="00BE2C1D">
        <w:rPr>
          <w:rFonts w:cstheme="minorHAnsi"/>
          <w:b/>
          <w:bCs/>
          <w:shd w:val="clear" w:color="auto" w:fill="FFFFFF"/>
        </w:rPr>
        <w:t>19,</w:t>
      </w:r>
      <w:r w:rsidRPr="00BE2C1D">
        <w:rPr>
          <w:rFonts w:cstheme="minorHAnsi"/>
          <w:shd w:val="clear" w:color="auto" w:fill="FFFFFF"/>
        </w:rPr>
        <w:t xml:space="preserve"> (4), 533-554). Kluwer Academic Publishers-Plenum Publishers.</w:t>
      </w:r>
    </w:p>
    <w:p w14:paraId="3E166924" w14:textId="77777777" w:rsidR="00BE2C1D" w:rsidRPr="00BE2C1D" w:rsidRDefault="00BE2C1D" w:rsidP="00BE2C1D">
      <w:pPr>
        <w:spacing w:line="360" w:lineRule="auto"/>
        <w:rPr>
          <w:rFonts w:cstheme="minorHAnsi"/>
          <w:shd w:val="clear" w:color="auto" w:fill="FFFFFF"/>
        </w:rPr>
      </w:pPr>
      <w:r w:rsidRPr="00BE2C1D">
        <w:rPr>
          <w:rFonts w:cstheme="minorHAnsi"/>
          <w:shd w:val="clear" w:color="auto" w:fill="FFFFFF"/>
        </w:rPr>
        <w:t>Holmes, C.S., Hayford, J.T. and Thompson, R.G., 1982. Parents' and teachers' differing views of short children's behaviour. </w:t>
      </w:r>
      <w:r w:rsidRPr="00BE2C1D">
        <w:rPr>
          <w:rFonts w:cstheme="minorHAnsi"/>
          <w:i/>
          <w:iCs/>
          <w:shd w:val="clear" w:color="auto" w:fill="FFFFFF"/>
        </w:rPr>
        <w:t>Child: Care, Health and Development</w:t>
      </w:r>
      <w:r w:rsidRPr="00BE2C1D">
        <w:rPr>
          <w:rFonts w:cstheme="minorHAnsi"/>
          <w:shd w:val="clear" w:color="auto" w:fill="FFFFFF"/>
        </w:rPr>
        <w:t>. </w:t>
      </w:r>
      <w:r w:rsidRPr="00BE2C1D">
        <w:rPr>
          <w:rFonts w:cstheme="minorHAnsi"/>
          <w:b/>
          <w:bCs/>
          <w:shd w:val="clear" w:color="auto" w:fill="FFFFFF"/>
        </w:rPr>
        <w:t>8</w:t>
      </w:r>
      <w:r w:rsidRPr="00BE2C1D">
        <w:rPr>
          <w:rFonts w:cstheme="minorHAnsi"/>
          <w:shd w:val="clear" w:color="auto" w:fill="FFFFFF"/>
        </w:rPr>
        <w:t>(6), 327-336.</w:t>
      </w:r>
    </w:p>
    <w:p w14:paraId="7CCC5A53" w14:textId="77777777" w:rsidR="00BE2C1D" w:rsidRPr="00BE2C1D" w:rsidRDefault="00BE2C1D" w:rsidP="00BE2C1D">
      <w:pPr>
        <w:spacing w:line="360" w:lineRule="auto"/>
        <w:rPr>
          <w:rFonts w:cstheme="minorHAnsi"/>
          <w:shd w:val="clear" w:color="auto" w:fill="FFFFFF"/>
        </w:rPr>
      </w:pPr>
      <w:r w:rsidRPr="00BE2C1D">
        <w:rPr>
          <w:rFonts w:cstheme="minorHAnsi"/>
          <w:shd w:val="clear" w:color="auto" w:fill="FFFFFF"/>
        </w:rPr>
        <w:t>Holmes, C.S., Thompson, R.G. and Hayford, J.T., 1984. Factors related to grade retention n children with short stature. </w:t>
      </w:r>
      <w:r w:rsidRPr="00BE2C1D">
        <w:rPr>
          <w:rFonts w:cstheme="minorHAnsi"/>
          <w:i/>
          <w:iCs/>
          <w:shd w:val="clear" w:color="auto" w:fill="FFFFFF"/>
        </w:rPr>
        <w:t>Child: care, health and development</w:t>
      </w:r>
      <w:r w:rsidRPr="00BE2C1D">
        <w:rPr>
          <w:rFonts w:cstheme="minorHAnsi"/>
          <w:shd w:val="clear" w:color="auto" w:fill="FFFFFF"/>
        </w:rPr>
        <w:t>. </w:t>
      </w:r>
      <w:r w:rsidRPr="00BE2C1D">
        <w:rPr>
          <w:rFonts w:cstheme="minorHAnsi"/>
          <w:b/>
          <w:bCs/>
          <w:shd w:val="clear" w:color="auto" w:fill="FFFFFF"/>
        </w:rPr>
        <w:t>10</w:t>
      </w:r>
      <w:r w:rsidRPr="00BE2C1D">
        <w:rPr>
          <w:rFonts w:cstheme="minorHAnsi"/>
          <w:shd w:val="clear" w:color="auto" w:fill="FFFFFF"/>
        </w:rPr>
        <w:t>(4),.199-210.</w:t>
      </w:r>
    </w:p>
    <w:p w14:paraId="46B21099" w14:textId="77777777" w:rsidR="00BE2C1D" w:rsidRPr="00BE2C1D" w:rsidRDefault="00BE2C1D" w:rsidP="00BE2C1D">
      <w:pPr>
        <w:spacing w:line="360" w:lineRule="auto"/>
        <w:rPr>
          <w:rFonts w:cstheme="minorHAnsi"/>
          <w:shd w:val="clear" w:color="auto" w:fill="FFFFFF"/>
        </w:rPr>
      </w:pPr>
      <w:r w:rsidRPr="00BE2C1D">
        <w:rPr>
          <w:rFonts w:cstheme="minorHAnsi"/>
          <w:shd w:val="clear" w:color="auto" w:fill="FFFFFF"/>
        </w:rPr>
        <w:t>Holt, L., 2004a. Childhood disability and ability:(Dis) ableist geographies of mainstream primary schools. </w:t>
      </w:r>
      <w:r w:rsidRPr="00BE2C1D">
        <w:rPr>
          <w:rFonts w:cstheme="minorHAnsi"/>
          <w:i/>
          <w:iCs/>
          <w:shd w:val="clear" w:color="auto" w:fill="FFFFFF"/>
        </w:rPr>
        <w:t>Disability Studies Quarterly</w:t>
      </w:r>
      <w:r w:rsidRPr="00BE2C1D">
        <w:rPr>
          <w:rFonts w:cstheme="minorHAnsi"/>
          <w:shd w:val="clear" w:color="auto" w:fill="FFFFFF"/>
        </w:rPr>
        <w:t>. </w:t>
      </w:r>
      <w:r w:rsidRPr="00BE2C1D">
        <w:rPr>
          <w:rFonts w:cstheme="minorHAnsi"/>
          <w:b/>
          <w:bCs/>
          <w:shd w:val="clear" w:color="auto" w:fill="FFFFFF"/>
        </w:rPr>
        <w:t>24</w:t>
      </w:r>
      <w:r w:rsidRPr="00BE2C1D">
        <w:rPr>
          <w:rFonts w:cstheme="minorHAnsi"/>
          <w:shd w:val="clear" w:color="auto" w:fill="FFFFFF"/>
        </w:rPr>
        <w:t>(3), n. p.</w:t>
      </w:r>
    </w:p>
    <w:p w14:paraId="38338D88" w14:textId="77777777" w:rsidR="00BE2C1D" w:rsidRPr="00BE2C1D" w:rsidRDefault="00BE2C1D" w:rsidP="00BE2C1D">
      <w:pPr>
        <w:spacing w:line="360" w:lineRule="auto"/>
        <w:rPr>
          <w:rFonts w:cstheme="minorHAnsi"/>
          <w:shd w:val="clear" w:color="auto" w:fill="FFFFFF"/>
        </w:rPr>
      </w:pPr>
      <w:r w:rsidRPr="00BE2C1D">
        <w:rPr>
          <w:rFonts w:cstheme="minorHAnsi"/>
          <w:shd w:val="clear" w:color="auto" w:fill="FFFFFF"/>
        </w:rPr>
        <w:t>Holt, L., 2004b. Children with mind–body differences: performing disability in primary school classrooms. </w:t>
      </w:r>
      <w:r w:rsidRPr="00BE2C1D">
        <w:rPr>
          <w:rFonts w:cstheme="minorHAnsi"/>
          <w:i/>
          <w:iCs/>
          <w:shd w:val="clear" w:color="auto" w:fill="FFFFFF"/>
        </w:rPr>
        <w:t>Children's Geographies</w:t>
      </w:r>
      <w:r w:rsidRPr="00BE2C1D">
        <w:rPr>
          <w:rFonts w:cstheme="minorHAnsi"/>
          <w:shd w:val="clear" w:color="auto" w:fill="FFFFFF"/>
        </w:rPr>
        <w:t>. </w:t>
      </w:r>
      <w:r w:rsidRPr="00BE2C1D">
        <w:rPr>
          <w:rFonts w:cstheme="minorHAnsi"/>
          <w:b/>
          <w:bCs/>
          <w:shd w:val="clear" w:color="auto" w:fill="FFFFFF"/>
        </w:rPr>
        <w:t>2</w:t>
      </w:r>
      <w:r w:rsidRPr="00BE2C1D">
        <w:rPr>
          <w:rFonts w:cstheme="minorHAnsi"/>
          <w:shd w:val="clear" w:color="auto" w:fill="FFFFFF"/>
        </w:rPr>
        <w:t>(2), 219-236.</w:t>
      </w:r>
    </w:p>
    <w:p w14:paraId="2CC96CFB" w14:textId="77777777" w:rsidR="00BE2C1D" w:rsidRPr="00BE2C1D" w:rsidRDefault="00BE2C1D" w:rsidP="00BE2C1D">
      <w:pPr>
        <w:spacing w:line="360" w:lineRule="auto"/>
        <w:rPr>
          <w:rFonts w:cstheme="minorHAnsi"/>
          <w:shd w:val="clear" w:color="auto" w:fill="FFFFFF"/>
        </w:rPr>
      </w:pPr>
      <w:r w:rsidRPr="00BE2C1D">
        <w:rPr>
          <w:rFonts w:cstheme="minorHAnsi"/>
          <w:shd w:val="clear" w:color="auto" w:fill="FFFFFF"/>
        </w:rPr>
        <w:t>Holt, L., 2007. Children's sociospatial (re) production of disability within primary school playgrounds. </w:t>
      </w:r>
      <w:r w:rsidRPr="00BE2C1D">
        <w:rPr>
          <w:rFonts w:cstheme="minorHAnsi"/>
          <w:i/>
          <w:iCs/>
          <w:shd w:val="clear" w:color="auto" w:fill="FFFFFF"/>
        </w:rPr>
        <w:t>Environment and Planning D: Society and Space</w:t>
      </w:r>
      <w:r w:rsidRPr="00BE2C1D">
        <w:rPr>
          <w:rFonts w:cstheme="minorHAnsi"/>
          <w:shd w:val="clear" w:color="auto" w:fill="FFFFFF"/>
        </w:rPr>
        <w:t>. </w:t>
      </w:r>
      <w:r w:rsidRPr="00BE2C1D">
        <w:rPr>
          <w:rFonts w:cstheme="minorHAnsi"/>
          <w:b/>
          <w:bCs/>
          <w:shd w:val="clear" w:color="auto" w:fill="FFFFFF"/>
        </w:rPr>
        <w:t>25</w:t>
      </w:r>
      <w:r w:rsidRPr="00BE2C1D">
        <w:rPr>
          <w:rFonts w:cstheme="minorHAnsi"/>
          <w:shd w:val="clear" w:color="auto" w:fill="FFFFFF"/>
        </w:rPr>
        <w:t>(5), 783-802.</w:t>
      </w:r>
    </w:p>
    <w:p w14:paraId="4666931A" w14:textId="77777777" w:rsidR="00BE2C1D" w:rsidRPr="00BE2C1D" w:rsidRDefault="00BE2C1D" w:rsidP="00BE2C1D">
      <w:pPr>
        <w:spacing w:line="360" w:lineRule="auto"/>
        <w:rPr>
          <w:rFonts w:cstheme="minorHAnsi"/>
          <w:shd w:val="clear" w:color="auto" w:fill="FFFFFF"/>
        </w:rPr>
      </w:pPr>
      <w:r w:rsidRPr="00BE2C1D">
        <w:rPr>
          <w:rFonts w:cstheme="minorHAnsi"/>
          <w:shd w:val="clear" w:color="auto" w:fill="FFFFFF"/>
        </w:rPr>
        <w:t>Holt, L., Lea, J. and Bowlby, S., 2012. Special units for young people on the autistic spectrum in mainstream schools: sites of normalisation, abnormalisation, inclusion, and exclusion. </w:t>
      </w:r>
      <w:r w:rsidRPr="00BE2C1D">
        <w:rPr>
          <w:rFonts w:cstheme="minorHAnsi"/>
          <w:i/>
          <w:iCs/>
          <w:shd w:val="clear" w:color="auto" w:fill="FFFFFF"/>
        </w:rPr>
        <w:t>Environment and Planning A</w:t>
      </w:r>
      <w:r w:rsidRPr="00BE2C1D">
        <w:rPr>
          <w:rFonts w:cstheme="minorHAnsi"/>
          <w:shd w:val="clear" w:color="auto" w:fill="FFFFFF"/>
        </w:rPr>
        <w:t>. </w:t>
      </w:r>
      <w:r w:rsidRPr="00BE2C1D">
        <w:rPr>
          <w:rFonts w:cstheme="minorHAnsi"/>
          <w:b/>
          <w:bCs/>
          <w:shd w:val="clear" w:color="auto" w:fill="FFFFFF"/>
        </w:rPr>
        <w:t>44</w:t>
      </w:r>
      <w:r w:rsidRPr="00BE2C1D">
        <w:rPr>
          <w:rFonts w:cstheme="minorHAnsi"/>
          <w:shd w:val="clear" w:color="auto" w:fill="FFFFFF"/>
        </w:rPr>
        <w:t>(9), 2191-2206.</w:t>
      </w:r>
    </w:p>
    <w:p w14:paraId="682635F1" w14:textId="77777777" w:rsidR="00BE2C1D" w:rsidRPr="00BE2C1D" w:rsidRDefault="00BE2C1D" w:rsidP="00BE2C1D">
      <w:pPr>
        <w:spacing w:line="360" w:lineRule="auto"/>
        <w:rPr>
          <w:rFonts w:cstheme="minorHAnsi"/>
          <w:shd w:val="clear" w:color="auto" w:fill="FFFFFF"/>
        </w:rPr>
      </w:pPr>
      <w:r w:rsidRPr="00BE2C1D">
        <w:rPr>
          <w:rFonts w:cstheme="minorHAnsi"/>
          <w:shd w:val="clear" w:color="auto" w:fill="FFFFFF"/>
        </w:rPr>
        <w:t>Holt, L., Bowlby, S. and Lea, J., 2017. “Everyone knows me…. I sort of like move about”: The friendships and encounters of young people with Special Educational Needs in different school settings. </w:t>
      </w:r>
      <w:r w:rsidRPr="00BE2C1D">
        <w:rPr>
          <w:rFonts w:cstheme="minorHAnsi"/>
          <w:i/>
          <w:iCs/>
          <w:shd w:val="clear" w:color="auto" w:fill="FFFFFF"/>
        </w:rPr>
        <w:t>Environment and Planning a</w:t>
      </w:r>
      <w:r w:rsidRPr="00BE2C1D">
        <w:rPr>
          <w:rFonts w:cstheme="minorHAnsi"/>
          <w:shd w:val="clear" w:color="auto" w:fill="FFFFFF"/>
        </w:rPr>
        <w:t>. </w:t>
      </w:r>
      <w:r w:rsidRPr="00BE2C1D">
        <w:rPr>
          <w:rFonts w:cstheme="minorHAnsi"/>
          <w:b/>
          <w:bCs/>
          <w:shd w:val="clear" w:color="auto" w:fill="FFFFFF"/>
        </w:rPr>
        <w:t>49</w:t>
      </w:r>
      <w:r w:rsidRPr="00BE2C1D">
        <w:rPr>
          <w:rFonts w:cstheme="minorHAnsi"/>
          <w:shd w:val="clear" w:color="auto" w:fill="FFFFFF"/>
        </w:rPr>
        <w:t>(6), 1361-1378.</w:t>
      </w:r>
    </w:p>
    <w:p w14:paraId="1CF0552A" w14:textId="77777777" w:rsidR="00BE2C1D" w:rsidRPr="00BE2C1D" w:rsidRDefault="00BE2C1D" w:rsidP="00BE2C1D">
      <w:pPr>
        <w:spacing w:line="360" w:lineRule="auto"/>
        <w:jc w:val="both"/>
        <w:rPr>
          <w:rFonts w:cstheme="minorHAnsi"/>
        </w:rPr>
      </w:pPr>
      <w:r w:rsidRPr="00BE2C1D">
        <w:rPr>
          <w:rFonts w:cstheme="minorHAnsi"/>
          <w:shd w:val="clear" w:color="auto" w:fill="FFFFFF"/>
        </w:rPr>
        <w:t>hooks, b. 1989. </w:t>
      </w:r>
      <w:r w:rsidRPr="00BE2C1D">
        <w:rPr>
          <w:rFonts w:cstheme="minorHAnsi"/>
          <w:i/>
          <w:iCs/>
          <w:shd w:val="clear" w:color="auto" w:fill="FFFFFF"/>
        </w:rPr>
        <w:t>Talking back: Thinking feminist, thinking black</w:t>
      </w:r>
      <w:r w:rsidRPr="00BE2C1D">
        <w:rPr>
          <w:rFonts w:cstheme="minorHAnsi"/>
          <w:shd w:val="clear" w:color="auto" w:fill="FFFFFF"/>
        </w:rPr>
        <w:t>. Boston: South End Press.</w:t>
      </w:r>
    </w:p>
    <w:p w14:paraId="4AFFF457" w14:textId="77777777" w:rsidR="00BE2C1D" w:rsidRPr="00BE2C1D" w:rsidRDefault="00BE2C1D" w:rsidP="00BE2C1D">
      <w:pPr>
        <w:spacing w:line="360" w:lineRule="auto"/>
        <w:rPr>
          <w:rFonts w:eastAsia="Times New Roman" w:cstheme="minorHAnsi"/>
          <w:lang w:eastAsia="en-GB"/>
        </w:rPr>
      </w:pPr>
      <w:r w:rsidRPr="00BE2C1D">
        <w:rPr>
          <w:rFonts w:cstheme="minorHAnsi"/>
          <w:shd w:val="clear" w:color="auto" w:fill="FFFFFF"/>
        </w:rPr>
        <w:t>hooks, b. 1990. Postmodern blackness. </w:t>
      </w:r>
      <w:r w:rsidRPr="00BE2C1D">
        <w:rPr>
          <w:rFonts w:cstheme="minorHAnsi"/>
          <w:i/>
          <w:iCs/>
          <w:shd w:val="clear" w:color="auto" w:fill="FFFFFF"/>
        </w:rPr>
        <w:t>Yearning: Race, Gender and Cultural Politics</w:t>
      </w:r>
      <w:r w:rsidRPr="00BE2C1D">
        <w:rPr>
          <w:rFonts w:cstheme="minorHAnsi"/>
          <w:shd w:val="clear" w:color="auto" w:fill="FFFFFF"/>
        </w:rPr>
        <w:t xml:space="preserve">. Boston, MA: South End Press), pp. 23-31. </w:t>
      </w:r>
    </w:p>
    <w:p w14:paraId="584D7D67" w14:textId="77777777" w:rsidR="00BE2C1D" w:rsidRPr="00BE2C1D" w:rsidRDefault="00BE2C1D" w:rsidP="00BE2C1D">
      <w:pPr>
        <w:shd w:val="clear" w:color="auto" w:fill="FFFFFF"/>
        <w:spacing w:after="0" w:line="360" w:lineRule="auto"/>
        <w:rPr>
          <w:rFonts w:eastAsia="Times New Roman" w:cstheme="minorHAnsi"/>
          <w:lang w:eastAsia="en-GB"/>
        </w:rPr>
      </w:pPr>
      <w:r w:rsidRPr="00BE2C1D">
        <w:rPr>
          <w:rFonts w:eastAsia="Times New Roman" w:cstheme="minorHAnsi"/>
          <w:lang w:eastAsia="en-GB"/>
        </w:rPr>
        <w:t>hooks, b. 1994. </w:t>
      </w:r>
      <w:r w:rsidRPr="00BE2C1D">
        <w:rPr>
          <w:rFonts w:eastAsia="Times New Roman" w:cstheme="minorHAnsi"/>
          <w:i/>
          <w:iCs/>
          <w:lang w:eastAsia="en-GB"/>
        </w:rPr>
        <w:t>Teaching to Transgress: Education As the Practice of Freedom</w:t>
      </w:r>
      <w:r w:rsidRPr="00BE2C1D">
        <w:rPr>
          <w:rFonts w:eastAsia="Times New Roman" w:cstheme="minorHAnsi"/>
          <w:lang w:eastAsia="en-GB"/>
        </w:rPr>
        <w:t xml:space="preserve">. New York: Routledge. </w:t>
      </w:r>
    </w:p>
    <w:p w14:paraId="2FD0C36B" w14:textId="77777777" w:rsidR="00BE2C1D" w:rsidRPr="00BE2C1D" w:rsidRDefault="00BE2C1D" w:rsidP="00BE2C1D">
      <w:pPr>
        <w:spacing w:line="360" w:lineRule="auto"/>
        <w:rPr>
          <w:rFonts w:cstheme="minorHAnsi"/>
          <w:shd w:val="clear" w:color="auto" w:fill="FFFFFF"/>
        </w:rPr>
      </w:pPr>
      <w:r w:rsidRPr="00BE2C1D">
        <w:rPr>
          <w:rFonts w:cstheme="minorHAnsi"/>
          <w:shd w:val="clear" w:color="auto" w:fill="FFFFFF"/>
        </w:rPr>
        <w:t>Hope, A., 2009. CCTV, school surveillance and social control. </w:t>
      </w:r>
      <w:r w:rsidRPr="00BE2C1D">
        <w:rPr>
          <w:rFonts w:cstheme="minorHAnsi"/>
          <w:i/>
          <w:iCs/>
          <w:shd w:val="clear" w:color="auto" w:fill="FFFFFF"/>
        </w:rPr>
        <w:t>British Educational Research Journal</w:t>
      </w:r>
      <w:r w:rsidRPr="00BE2C1D">
        <w:rPr>
          <w:rFonts w:cstheme="minorHAnsi"/>
          <w:shd w:val="clear" w:color="auto" w:fill="FFFFFF"/>
        </w:rPr>
        <w:t>. </w:t>
      </w:r>
      <w:r w:rsidRPr="00BE2C1D">
        <w:rPr>
          <w:rFonts w:cstheme="minorHAnsi"/>
          <w:b/>
          <w:bCs/>
          <w:shd w:val="clear" w:color="auto" w:fill="FFFFFF"/>
        </w:rPr>
        <w:t>35</w:t>
      </w:r>
      <w:r w:rsidRPr="00BE2C1D">
        <w:rPr>
          <w:rFonts w:cstheme="minorHAnsi"/>
          <w:shd w:val="clear" w:color="auto" w:fill="FFFFFF"/>
        </w:rPr>
        <w:t>(6), 891-907.</w:t>
      </w:r>
    </w:p>
    <w:p w14:paraId="76E5A208" w14:textId="77777777" w:rsidR="00BE2C1D" w:rsidRPr="00BE2C1D" w:rsidRDefault="00BE2C1D" w:rsidP="00BE2C1D">
      <w:pPr>
        <w:shd w:val="clear" w:color="auto" w:fill="FFFFFF"/>
        <w:spacing w:after="0" w:line="360" w:lineRule="auto"/>
        <w:rPr>
          <w:rFonts w:cstheme="minorHAnsi"/>
          <w:u w:val="single"/>
        </w:rPr>
      </w:pPr>
      <w:r w:rsidRPr="00BE2C1D">
        <w:rPr>
          <w:rFonts w:cstheme="minorHAnsi"/>
        </w:rPr>
        <w:t xml:space="preserve">Hook, Derek (2004). Frantz Fanon, Steve Biko, ‘psychopolitics’ and critical psychology [online]. London: LSE Research Online. Available at: </w:t>
      </w:r>
      <w:hyperlink r:id="rId20" w:history="1">
        <w:r w:rsidRPr="00BE2C1D">
          <w:rPr>
            <w:rFonts w:cstheme="minorHAnsi"/>
            <w:u w:val="single"/>
          </w:rPr>
          <w:t>http://eprints.lse.ac.uk/961</w:t>
        </w:r>
      </w:hyperlink>
    </w:p>
    <w:p w14:paraId="6285F5A7" w14:textId="77777777" w:rsidR="00BE2C1D" w:rsidRPr="00BE2C1D" w:rsidRDefault="00BE2C1D" w:rsidP="00BE2C1D">
      <w:pPr>
        <w:shd w:val="clear" w:color="auto" w:fill="FFFFFF"/>
        <w:spacing w:after="0" w:line="360" w:lineRule="auto"/>
        <w:rPr>
          <w:rFonts w:cstheme="minorHAnsi"/>
          <w:u w:val="single"/>
        </w:rPr>
      </w:pPr>
    </w:p>
    <w:p w14:paraId="482E0579" w14:textId="77777777" w:rsidR="00BE2C1D" w:rsidRPr="00BE2C1D" w:rsidRDefault="00BE2C1D" w:rsidP="00BE2C1D">
      <w:pPr>
        <w:spacing w:line="360" w:lineRule="auto"/>
        <w:rPr>
          <w:rFonts w:cstheme="minorHAnsi"/>
          <w:shd w:val="clear" w:color="auto" w:fill="FFFFFF"/>
        </w:rPr>
      </w:pPr>
      <w:r w:rsidRPr="00BE2C1D">
        <w:rPr>
          <w:rFonts w:cstheme="minorHAnsi"/>
          <w:shd w:val="clear" w:color="auto" w:fill="FFFFFF"/>
        </w:rPr>
        <w:t>Horton, J., Kraftl, P. and Tucker, F., 2008. The challenges of ‘Children's Geographies’: a reaffirmation. </w:t>
      </w:r>
      <w:r w:rsidRPr="00BE2C1D">
        <w:rPr>
          <w:rFonts w:cstheme="minorHAnsi"/>
          <w:i/>
          <w:iCs/>
          <w:shd w:val="clear" w:color="auto" w:fill="FFFFFF"/>
        </w:rPr>
        <w:t>Children's Geographies</w:t>
      </w:r>
      <w:r w:rsidRPr="00BE2C1D">
        <w:rPr>
          <w:rFonts w:cstheme="minorHAnsi"/>
          <w:shd w:val="clear" w:color="auto" w:fill="FFFFFF"/>
        </w:rPr>
        <w:t>. </w:t>
      </w:r>
      <w:r w:rsidRPr="00BE2C1D">
        <w:rPr>
          <w:rFonts w:cstheme="minorHAnsi"/>
          <w:b/>
          <w:bCs/>
          <w:shd w:val="clear" w:color="auto" w:fill="FFFFFF"/>
        </w:rPr>
        <w:t>6</w:t>
      </w:r>
      <w:r w:rsidRPr="00BE2C1D">
        <w:rPr>
          <w:rFonts w:cstheme="minorHAnsi"/>
          <w:shd w:val="clear" w:color="auto" w:fill="FFFFFF"/>
        </w:rPr>
        <w:t>(4), 335-348.</w:t>
      </w:r>
    </w:p>
    <w:p w14:paraId="2894CBD3" w14:textId="77777777" w:rsidR="00BE2C1D" w:rsidRPr="00BE2C1D" w:rsidRDefault="00BE2C1D" w:rsidP="00BE2C1D">
      <w:pPr>
        <w:spacing w:line="360" w:lineRule="auto"/>
        <w:rPr>
          <w:rFonts w:cstheme="minorHAnsi"/>
          <w:shd w:val="clear" w:color="auto" w:fill="FFFFFF"/>
        </w:rPr>
      </w:pPr>
      <w:r w:rsidRPr="00BE2C1D">
        <w:rPr>
          <w:rFonts w:cstheme="minorHAnsi"/>
          <w:shd w:val="clear" w:color="auto" w:fill="FFFFFF"/>
        </w:rPr>
        <w:t>Horton, P., 2011. School bullying and social and moral orders. </w:t>
      </w:r>
      <w:r w:rsidRPr="00BE2C1D">
        <w:rPr>
          <w:rFonts w:cstheme="minorHAnsi"/>
          <w:i/>
          <w:iCs/>
          <w:shd w:val="clear" w:color="auto" w:fill="FFFFFF"/>
        </w:rPr>
        <w:t>Children &amp; society</w:t>
      </w:r>
      <w:r w:rsidRPr="00BE2C1D">
        <w:rPr>
          <w:rFonts w:cstheme="minorHAnsi"/>
          <w:shd w:val="clear" w:color="auto" w:fill="FFFFFF"/>
        </w:rPr>
        <w:t>, </w:t>
      </w:r>
      <w:r w:rsidRPr="00BE2C1D">
        <w:rPr>
          <w:rFonts w:cstheme="minorHAnsi"/>
          <w:b/>
          <w:bCs/>
          <w:shd w:val="clear" w:color="auto" w:fill="FFFFFF"/>
        </w:rPr>
        <w:t>25</w:t>
      </w:r>
      <w:r w:rsidRPr="00BE2C1D">
        <w:rPr>
          <w:rFonts w:cstheme="minorHAnsi"/>
          <w:shd w:val="clear" w:color="auto" w:fill="FFFFFF"/>
        </w:rPr>
        <w:t>(4), 268-277.</w:t>
      </w:r>
    </w:p>
    <w:p w14:paraId="6F5C2176" w14:textId="77777777" w:rsidR="00BE2C1D" w:rsidRPr="00BE2C1D" w:rsidRDefault="00BE2C1D" w:rsidP="00BE2C1D">
      <w:pPr>
        <w:spacing w:line="360" w:lineRule="auto"/>
        <w:rPr>
          <w:rFonts w:cstheme="minorHAnsi"/>
          <w:shd w:val="clear" w:color="auto" w:fill="FFFFFF"/>
        </w:rPr>
      </w:pPr>
      <w:r w:rsidRPr="00BE2C1D">
        <w:rPr>
          <w:rFonts w:cstheme="minorHAnsi"/>
          <w:shd w:val="clear" w:color="auto" w:fill="FFFFFF"/>
        </w:rPr>
        <w:lastRenderedPageBreak/>
        <w:t>Horton, P., 2016a. Portraying monsters: framing school bullying through a macro lens. </w:t>
      </w:r>
      <w:r w:rsidRPr="00BE2C1D">
        <w:rPr>
          <w:rFonts w:cstheme="minorHAnsi"/>
          <w:i/>
          <w:iCs/>
          <w:shd w:val="clear" w:color="auto" w:fill="FFFFFF"/>
        </w:rPr>
        <w:t>Discourse: Studies in the Cultural Politics of Education</w:t>
      </w:r>
      <w:r w:rsidRPr="00BE2C1D">
        <w:rPr>
          <w:rFonts w:cstheme="minorHAnsi"/>
          <w:shd w:val="clear" w:color="auto" w:fill="FFFFFF"/>
        </w:rPr>
        <w:t>, </w:t>
      </w:r>
      <w:r w:rsidRPr="00BE2C1D">
        <w:rPr>
          <w:rFonts w:cstheme="minorHAnsi"/>
          <w:b/>
          <w:bCs/>
          <w:shd w:val="clear" w:color="auto" w:fill="FFFFFF"/>
        </w:rPr>
        <w:t>37</w:t>
      </w:r>
      <w:r w:rsidRPr="00BE2C1D">
        <w:rPr>
          <w:rFonts w:cstheme="minorHAnsi"/>
          <w:shd w:val="clear" w:color="auto" w:fill="FFFFFF"/>
        </w:rPr>
        <w:t>(2), 204-214.</w:t>
      </w:r>
    </w:p>
    <w:p w14:paraId="3C7C9478" w14:textId="77777777" w:rsidR="00BE2C1D" w:rsidRPr="00BE2C1D" w:rsidRDefault="00BE2C1D" w:rsidP="00BE2C1D">
      <w:pPr>
        <w:spacing w:line="360" w:lineRule="auto"/>
        <w:rPr>
          <w:rFonts w:cstheme="minorHAnsi"/>
          <w:shd w:val="clear" w:color="auto" w:fill="FFFFFF"/>
        </w:rPr>
      </w:pPr>
      <w:r w:rsidRPr="00BE2C1D">
        <w:rPr>
          <w:rFonts w:cstheme="minorHAnsi"/>
          <w:shd w:val="clear" w:color="auto" w:fill="FFFFFF"/>
        </w:rPr>
        <w:t>Horton, P., 2016b. Unpacking the bullying doll: Reflections from a fieldwork at the social-ecological square. </w:t>
      </w:r>
      <w:r w:rsidRPr="00BE2C1D">
        <w:rPr>
          <w:rFonts w:cstheme="minorHAnsi"/>
          <w:i/>
          <w:iCs/>
          <w:shd w:val="clear" w:color="auto" w:fill="FFFFFF"/>
        </w:rPr>
        <w:t>Confero</w:t>
      </w:r>
      <w:r w:rsidRPr="00BE2C1D">
        <w:rPr>
          <w:rFonts w:cstheme="minorHAnsi"/>
          <w:shd w:val="clear" w:color="auto" w:fill="FFFFFF"/>
        </w:rPr>
        <w:t>. </w:t>
      </w:r>
      <w:r w:rsidRPr="00BE2C1D">
        <w:rPr>
          <w:rFonts w:cstheme="minorHAnsi"/>
          <w:b/>
          <w:bCs/>
          <w:shd w:val="clear" w:color="auto" w:fill="FFFFFF"/>
        </w:rPr>
        <w:t>4</w:t>
      </w:r>
      <w:r w:rsidRPr="00BE2C1D">
        <w:rPr>
          <w:rFonts w:cstheme="minorHAnsi"/>
          <w:shd w:val="clear" w:color="auto" w:fill="FFFFFF"/>
        </w:rPr>
        <w:t>(1), 71-95.</w:t>
      </w:r>
    </w:p>
    <w:p w14:paraId="125888F4" w14:textId="77777777" w:rsidR="00BE2C1D" w:rsidRPr="00BE2C1D" w:rsidRDefault="00BE2C1D" w:rsidP="00BE2C1D">
      <w:pPr>
        <w:spacing w:line="360" w:lineRule="auto"/>
        <w:rPr>
          <w:rFonts w:cstheme="minorHAnsi"/>
          <w:shd w:val="clear" w:color="auto" w:fill="FFFFFF"/>
        </w:rPr>
      </w:pPr>
      <w:r w:rsidRPr="00BE2C1D">
        <w:rPr>
          <w:rFonts w:cstheme="minorHAnsi"/>
          <w:shd w:val="clear" w:color="auto" w:fill="FFFFFF"/>
        </w:rPr>
        <w:t>Horton, P., 2019. The bullied boy: masculinity, embodiment, and the gendered social-ecology of Vietnamese school bullying. </w:t>
      </w:r>
      <w:r w:rsidRPr="00BE2C1D">
        <w:rPr>
          <w:rFonts w:cstheme="minorHAnsi"/>
          <w:i/>
          <w:iCs/>
          <w:shd w:val="clear" w:color="auto" w:fill="FFFFFF"/>
        </w:rPr>
        <w:t>Gender and Education</w:t>
      </w:r>
      <w:r w:rsidRPr="00BE2C1D">
        <w:rPr>
          <w:rFonts w:cstheme="minorHAnsi"/>
          <w:shd w:val="clear" w:color="auto" w:fill="FFFFFF"/>
        </w:rPr>
        <w:t>. </w:t>
      </w:r>
      <w:r w:rsidRPr="00BE2C1D">
        <w:rPr>
          <w:rFonts w:cstheme="minorHAnsi"/>
          <w:b/>
          <w:bCs/>
          <w:shd w:val="clear" w:color="auto" w:fill="FFFFFF"/>
        </w:rPr>
        <w:t>31</w:t>
      </w:r>
      <w:r w:rsidRPr="00BE2C1D">
        <w:rPr>
          <w:rFonts w:cstheme="minorHAnsi"/>
          <w:shd w:val="clear" w:color="auto" w:fill="FFFFFF"/>
        </w:rPr>
        <w:t>(3), 394-407)</w:t>
      </w:r>
    </w:p>
    <w:p w14:paraId="698AA572" w14:textId="77777777" w:rsidR="00BE2C1D" w:rsidRPr="00BE2C1D" w:rsidRDefault="00BE2C1D" w:rsidP="00BE2C1D">
      <w:pPr>
        <w:spacing w:line="360" w:lineRule="auto"/>
        <w:rPr>
          <w:rFonts w:cstheme="minorHAnsi"/>
          <w:b/>
          <w:bCs/>
          <w:shd w:val="clear" w:color="auto" w:fill="FFFFFF"/>
        </w:rPr>
      </w:pPr>
      <w:r w:rsidRPr="00BE2C1D">
        <w:rPr>
          <w:rFonts w:cstheme="minorHAnsi"/>
          <w:shd w:val="clear" w:color="auto" w:fill="FFFFFF"/>
        </w:rPr>
        <w:t>Horton, P. and Forsberg, C., 2015. Essays on school bullying: Theoretical perspectives on a contemporary problem. </w:t>
      </w:r>
      <w:r w:rsidRPr="00BE2C1D">
        <w:rPr>
          <w:rFonts w:cstheme="minorHAnsi"/>
          <w:i/>
          <w:iCs/>
          <w:shd w:val="clear" w:color="auto" w:fill="FFFFFF"/>
        </w:rPr>
        <w:t>Confero: Essays on Education, Philosophy and Politics</w:t>
      </w:r>
      <w:r w:rsidRPr="00BE2C1D">
        <w:rPr>
          <w:rFonts w:cstheme="minorHAnsi"/>
          <w:shd w:val="clear" w:color="auto" w:fill="FFFFFF"/>
        </w:rPr>
        <w:t>. </w:t>
      </w:r>
      <w:r w:rsidRPr="00BE2C1D">
        <w:rPr>
          <w:rFonts w:cstheme="minorHAnsi"/>
          <w:b/>
          <w:bCs/>
          <w:shd w:val="clear" w:color="auto" w:fill="FFFFFF"/>
        </w:rPr>
        <w:t>3</w:t>
      </w:r>
      <w:r w:rsidRPr="00BE2C1D">
        <w:rPr>
          <w:rFonts w:cstheme="minorHAnsi"/>
          <w:shd w:val="clear" w:color="auto" w:fill="FFFFFF"/>
        </w:rPr>
        <w:t>(2), 6-16.</w:t>
      </w:r>
    </w:p>
    <w:p w14:paraId="06F9F816" w14:textId="77777777" w:rsidR="00BE2C1D" w:rsidRPr="00BE2C1D" w:rsidRDefault="00BE2C1D" w:rsidP="00BE2C1D">
      <w:pPr>
        <w:spacing w:line="360" w:lineRule="auto"/>
        <w:rPr>
          <w:rFonts w:cstheme="minorHAnsi"/>
          <w:shd w:val="clear" w:color="auto" w:fill="FFFFFF"/>
        </w:rPr>
      </w:pPr>
      <w:r w:rsidRPr="00BE2C1D">
        <w:rPr>
          <w:rFonts w:cstheme="minorHAnsi"/>
        </w:rPr>
        <w:t xml:space="preserve">Howard, R. and Ford, J. (2007). The roles and responsibilities of teacher aides supporting students with special needs in secondary school settings. Australasian Journal of Special Education. </w:t>
      </w:r>
      <w:r w:rsidRPr="00BE2C1D">
        <w:rPr>
          <w:rFonts w:cstheme="minorHAnsi"/>
          <w:b/>
          <w:bCs/>
        </w:rPr>
        <w:t>31</w:t>
      </w:r>
      <w:r w:rsidRPr="00BE2C1D">
        <w:rPr>
          <w:rFonts w:cstheme="minorHAnsi"/>
        </w:rPr>
        <w:t>(1), 25-43.</w:t>
      </w:r>
    </w:p>
    <w:p w14:paraId="3EAF0629" w14:textId="77777777" w:rsidR="00BE2C1D" w:rsidRPr="00BE2C1D" w:rsidRDefault="00BE2C1D" w:rsidP="00BE2C1D">
      <w:pPr>
        <w:spacing w:line="360" w:lineRule="auto"/>
        <w:rPr>
          <w:rFonts w:cstheme="minorHAnsi"/>
          <w:shd w:val="clear" w:color="auto" w:fill="FFFFFF"/>
        </w:rPr>
      </w:pPr>
      <w:r w:rsidRPr="00BE2C1D">
        <w:rPr>
          <w:rFonts w:cstheme="minorHAnsi"/>
          <w:shd w:val="clear" w:color="auto" w:fill="FFFFFF"/>
        </w:rPr>
        <w:t xml:space="preserve">Hoy, D. Couzens (2004). </w:t>
      </w:r>
      <w:r w:rsidRPr="00BE2C1D">
        <w:rPr>
          <w:rFonts w:cstheme="minorHAnsi"/>
          <w:i/>
          <w:iCs/>
          <w:shd w:val="clear" w:color="auto" w:fill="FFFFFF"/>
        </w:rPr>
        <w:t>Critical resistance</w:t>
      </w:r>
      <w:r w:rsidRPr="00BE2C1D">
        <w:rPr>
          <w:rFonts w:cstheme="minorHAnsi"/>
          <w:shd w:val="clear" w:color="auto" w:fill="FFFFFF"/>
        </w:rPr>
        <w:t>. Cambridge, MA: MIT Press.</w:t>
      </w:r>
    </w:p>
    <w:p w14:paraId="5B8C2623" w14:textId="77777777" w:rsidR="00BE2C1D" w:rsidRPr="00BE2C1D" w:rsidRDefault="00BE2C1D" w:rsidP="00BE2C1D">
      <w:pPr>
        <w:spacing w:line="360" w:lineRule="auto"/>
        <w:rPr>
          <w:rFonts w:cstheme="minorHAnsi"/>
          <w:shd w:val="clear" w:color="auto" w:fill="FFFFFF"/>
        </w:rPr>
      </w:pPr>
      <w:r w:rsidRPr="00BE2C1D">
        <w:rPr>
          <w:rFonts w:cstheme="minorHAnsi"/>
          <w:shd w:val="clear" w:color="auto" w:fill="FFFFFF"/>
        </w:rPr>
        <w:t>Huang, C.J. and Brittain, I., 2006. Negotiating identities through disability sport. </w:t>
      </w:r>
      <w:r w:rsidRPr="00BE2C1D">
        <w:rPr>
          <w:rFonts w:cstheme="minorHAnsi"/>
          <w:i/>
          <w:iCs/>
          <w:shd w:val="clear" w:color="auto" w:fill="FFFFFF"/>
        </w:rPr>
        <w:t>Sociology of sport journal</w:t>
      </w:r>
      <w:r w:rsidRPr="00BE2C1D">
        <w:rPr>
          <w:rFonts w:cstheme="minorHAnsi"/>
          <w:shd w:val="clear" w:color="auto" w:fill="FFFFFF"/>
        </w:rPr>
        <w:t>, </w:t>
      </w:r>
      <w:r w:rsidRPr="00BE2C1D">
        <w:rPr>
          <w:rFonts w:cstheme="minorHAnsi"/>
          <w:b/>
          <w:bCs/>
          <w:shd w:val="clear" w:color="auto" w:fill="FFFFFF"/>
        </w:rPr>
        <w:t>23</w:t>
      </w:r>
      <w:r w:rsidRPr="00BE2C1D">
        <w:rPr>
          <w:rFonts w:cstheme="minorHAnsi"/>
          <w:shd w:val="clear" w:color="auto" w:fill="FFFFFF"/>
        </w:rPr>
        <w:t>(4), 352-375.</w:t>
      </w:r>
    </w:p>
    <w:p w14:paraId="2AA0055A" w14:textId="77777777" w:rsidR="00BE2C1D" w:rsidRPr="00BE2C1D" w:rsidRDefault="00BE2C1D" w:rsidP="00BE2C1D">
      <w:pPr>
        <w:spacing w:line="360" w:lineRule="auto"/>
        <w:rPr>
          <w:rFonts w:cstheme="minorHAnsi"/>
          <w:shd w:val="clear" w:color="auto" w:fill="FFFFFF"/>
        </w:rPr>
      </w:pPr>
      <w:r w:rsidRPr="00BE2C1D">
        <w:rPr>
          <w:rFonts w:cstheme="minorHAnsi"/>
          <w:shd w:val="clear" w:color="auto" w:fill="FFFFFF"/>
        </w:rPr>
        <w:t>Hughes, B., 2000. Medicine and the aesthetic invalidation of disabled people. </w:t>
      </w:r>
      <w:r w:rsidRPr="00BE2C1D">
        <w:rPr>
          <w:rFonts w:cstheme="minorHAnsi"/>
          <w:i/>
          <w:iCs/>
          <w:shd w:val="clear" w:color="auto" w:fill="FFFFFF"/>
        </w:rPr>
        <w:t>Disability &amp; Society</w:t>
      </w:r>
      <w:r w:rsidRPr="00BE2C1D">
        <w:rPr>
          <w:rFonts w:cstheme="minorHAnsi"/>
          <w:shd w:val="clear" w:color="auto" w:fill="FFFFFF"/>
        </w:rPr>
        <w:t>. </w:t>
      </w:r>
      <w:r w:rsidRPr="00BE2C1D">
        <w:rPr>
          <w:rFonts w:cstheme="minorHAnsi"/>
          <w:b/>
          <w:bCs/>
          <w:shd w:val="clear" w:color="auto" w:fill="FFFFFF"/>
        </w:rPr>
        <w:t>15</w:t>
      </w:r>
      <w:r w:rsidRPr="00BE2C1D">
        <w:rPr>
          <w:rFonts w:cstheme="minorHAnsi"/>
          <w:shd w:val="clear" w:color="auto" w:fill="FFFFFF"/>
        </w:rPr>
        <w:t>(4), 555-568.</w:t>
      </w:r>
    </w:p>
    <w:p w14:paraId="57FA121B" w14:textId="77777777" w:rsidR="00BE2C1D" w:rsidRPr="00BE2C1D" w:rsidRDefault="00BE2C1D" w:rsidP="00BE2C1D">
      <w:pPr>
        <w:spacing w:line="360" w:lineRule="auto"/>
        <w:rPr>
          <w:rFonts w:cstheme="minorHAnsi"/>
          <w:shd w:val="clear" w:color="auto" w:fill="FFFFFF"/>
        </w:rPr>
      </w:pPr>
      <w:r w:rsidRPr="00BE2C1D">
        <w:rPr>
          <w:rFonts w:cstheme="minorHAnsi"/>
        </w:rPr>
        <w:t>Hughes, B., (2002). Disability and the body. In: C. Barnes, L. Barton, M. Oliver, eds. </w:t>
      </w:r>
      <w:r w:rsidRPr="00BE2C1D">
        <w:rPr>
          <w:rFonts w:cstheme="minorHAnsi"/>
          <w:i/>
          <w:iCs/>
        </w:rPr>
        <w:t>Disability studies today</w:t>
      </w:r>
      <w:r w:rsidRPr="00BE2C1D">
        <w:rPr>
          <w:rFonts w:cstheme="minorHAnsi"/>
        </w:rPr>
        <w:t>. Cambridge, Polity Press. pp. 58-76. </w:t>
      </w:r>
    </w:p>
    <w:p w14:paraId="2F95696E" w14:textId="77777777" w:rsidR="00BE2C1D" w:rsidRPr="00BE2C1D" w:rsidRDefault="00BE2C1D" w:rsidP="00BE2C1D">
      <w:pPr>
        <w:spacing w:line="360" w:lineRule="auto"/>
        <w:rPr>
          <w:rFonts w:cstheme="minorHAnsi"/>
          <w:shd w:val="clear" w:color="auto" w:fill="FFFFFF"/>
        </w:rPr>
      </w:pPr>
      <w:r w:rsidRPr="00BE2C1D">
        <w:rPr>
          <w:rFonts w:cstheme="minorHAnsi"/>
          <w:shd w:val="clear" w:color="auto" w:fill="FFFFFF"/>
        </w:rPr>
        <w:t>Hughes, B., 2007. Being disabled: Towards a critical social ontology for disability studies. </w:t>
      </w:r>
      <w:r w:rsidRPr="00BE2C1D">
        <w:rPr>
          <w:rFonts w:cstheme="minorHAnsi"/>
          <w:i/>
          <w:iCs/>
          <w:shd w:val="clear" w:color="auto" w:fill="FFFFFF"/>
        </w:rPr>
        <w:t>Disability &amp; Society</w:t>
      </w:r>
      <w:r w:rsidRPr="00BE2C1D">
        <w:rPr>
          <w:rFonts w:cstheme="minorHAnsi"/>
          <w:shd w:val="clear" w:color="auto" w:fill="FFFFFF"/>
        </w:rPr>
        <w:t>. </w:t>
      </w:r>
      <w:r w:rsidRPr="00BE2C1D">
        <w:rPr>
          <w:rFonts w:cstheme="minorHAnsi"/>
          <w:b/>
          <w:bCs/>
          <w:shd w:val="clear" w:color="auto" w:fill="FFFFFF"/>
        </w:rPr>
        <w:t>22</w:t>
      </w:r>
      <w:r w:rsidRPr="00BE2C1D">
        <w:rPr>
          <w:rFonts w:cstheme="minorHAnsi"/>
          <w:shd w:val="clear" w:color="auto" w:fill="FFFFFF"/>
        </w:rPr>
        <w:t>(7), 673-684.</w:t>
      </w:r>
    </w:p>
    <w:p w14:paraId="11FA6FB7" w14:textId="77777777" w:rsidR="00BE2C1D" w:rsidRPr="00BE2C1D" w:rsidRDefault="00BE2C1D" w:rsidP="00BE2C1D">
      <w:pPr>
        <w:spacing w:line="360" w:lineRule="auto"/>
        <w:jc w:val="both"/>
        <w:rPr>
          <w:rFonts w:cstheme="minorHAnsi"/>
          <w:shd w:val="clear" w:color="auto" w:fill="FFFFFF"/>
        </w:rPr>
      </w:pPr>
      <w:r w:rsidRPr="00BE2C1D">
        <w:rPr>
          <w:rFonts w:cstheme="minorHAnsi"/>
          <w:shd w:val="clear" w:color="auto" w:fill="FFFFFF"/>
        </w:rPr>
        <w:t>Hughes, B., 2009. Disability activisms: Social model stalwarts and biological citizens. </w:t>
      </w:r>
      <w:r w:rsidRPr="00BE2C1D">
        <w:rPr>
          <w:rFonts w:cstheme="minorHAnsi"/>
          <w:i/>
          <w:iCs/>
          <w:shd w:val="clear" w:color="auto" w:fill="FFFFFF"/>
        </w:rPr>
        <w:t>Disability &amp; Society</w:t>
      </w:r>
      <w:r w:rsidRPr="00BE2C1D">
        <w:rPr>
          <w:rFonts w:cstheme="minorHAnsi"/>
          <w:shd w:val="clear" w:color="auto" w:fill="FFFFFF"/>
        </w:rPr>
        <w:t>. </w:t>
      </w:r>
      <w:r w:rsidRPr="00BE2C1D">
        <w:rPr>
          <w:rFonts w:cstheme="minorHAnsi"/>
          <w:b/>
          <w:bCs/>
          <w:shd w:val="clear" w:color="auto" w:fill="FFFFFF"/>
        </w:rPr>
        <w:t>24</w:t>
      </w:r>
      <w:r w:rsidRPr="00BE2C1D">
        <w:rPr>
          <w:rFonts w:cstheme="minorHAnsi"/>
          <w:shd w:val="clear" w:color="auto" w:fill="FFFFFF"/>
        </w:rPr>
        <w:t>(6), 677-688.</w:t>
      </w:r>
    </w:p>
    <w:p w14:paraId="4F9C6F49" w14:textId="77777777" w:rsidR="00BE2C1D" w:rsidRPr="00BE2C1D" w:rsidRDefault="00BE2C1D" w:rsidP="00BE2C1D">
      <w:pPr>
        <w:spacing w:line="360" w:lineRule="auto"/>
        <w:jc w:val="both"/>
        <w:rPr>
          <w:rFonts w:cstheme="minorHAnsi"/>
        </w:rPr>
      </w:pPr>
      <w:r w:rsidRPr="00BE2C1D">
        <w:rPr>
          <w:rFonts w:cstheme="minorHAnsi"/>
        </w:rPr>
        <w:t>Hughes, B. (2012). Civilising Modernity and the Ontological Invalidation of Disabled People. In: D. Goodley, B. Hughes, L. Davis, eds. </w:t>
      </w:r>
      <w:r w:rsidRPr="00BE2C1D">
        <w:rPr>
          <w:rFonts w:cstheme="minorHAnsi"/>
          <w:i/>
          <w:iCs/>
        </w:rPr>
        <w:t>Disability and Social Theory: New Developments and Directions</w:t>
      </w:r>
      <w:r w:rsidRPr="00BE2C1D">
        <w:rPr>
          <w:rFonts w:cstheme="minorHAnsi"/>
        </w:rPr>
        <w:t>. Basingstoke: Palgrave Macmillan. pp 17-32.</w:t>
      </w:r>
    </w:p>
    <w:p w14:paraId="3F661903" w14:textId="77777777" w:rsidR="00BE2C1D" w:rsidRPr="00BE2C1D" w:rsidRDefault="00BE2C1D" w:rsidP="00BE2C1D">
      <w:pPr>
        <w:spacing w:line="360" w:lineRule="auto"/>
        <w:rPr>
          <w:rFonts w:cstheme="minorHAnsi"/>
          <w:shd w:val="clear" w:color="auto" w:fill="FFFFFF"/>
        </w:rPr>
      </w:pPr>
      <w:r w:rsidRPr="00BE2C1D">
        <w:rPr>
          <w:rFonts w:cstheme="minorHAnsi"/>
          <w:shd w:val="clear" w:color="auto" w:fill="FFFFFF"/>
        </w:rPr>
        <w:t xml:space="preserve">Hughes, B., Goodley, D. and Davis, L., (2012). Conclusion. </w:t>
      </w:r>
      <w:bookmarkStart w:id="198" w:name="_Hlk37006634"/>
      <w:r w:rsidRPr="00BE2C1D">
        <w:rPr>
          <w:rFonts w:cstheme="minorHAnsi"/>
        </w:rPr>
        <w:t>In: D. Goodley, B. Hughes, L. Davis, eds. </w:t>
      </w:r>
      <w:r w:rsidRPr="00BE2C1D">
        <w:rPr>
          <w:rFonts w:cstheme="minorHAnsi"/>
          <w:i/>
          <w:iCs/>
          <w:shd w:val="clear" w:color="auto" w:fill="FFFFFF"/>
        </w:rPr>
        <w:t>Disability and social theory</w:t>
      </w:r>
      <w:bookmarkStart w:id="199" w:name="_Hlk37006504"/>
      <w:r w:rsidRPr="00BE2C1D">
        <w:rPr>
          <w:rFonts w:cstheme="minorHAnsi"/>
          <w:shd w:val="clear" w:color="auto" w:fill="FFFFFF"/>
        </w:rPr>
        <w:t xml:space="preserve">. Basingstoke: Palgrave Macmillan. </w:t>
      </w:r>
      <w:bookmarkEnd w:id="198"/>
      <w:r w:rsidRPr="00BE2C1D">
        <w:rPr>
          <w:rFonts w:cstheme="minorHAnsi"/>
          <w:shd w:val="clear" w:color="auto" w:fill="FFFFFF"/>
        </w:rPr>
        <w:t>pp</w:t>
      </w:r>
      <w:bookmarkEnd w:id="199"/>
      <w:r w:rsidRPr="00BE2C1D">
        <w:rPr>
          <w:rFonts w:cstheme="minorHAnsi"/>
          <w:shd w:val="clear" w:color="auto" w:fill="FFFFFF"/>
        </w:rPr>
        <w:t>. 308-317.</w:t>
      </w:r>
    </w:p>
    <w:p w14:paraId="4ADA6B98" w14:textId="77777777" w:rsidR="00BE2C1D" w:rsidRPr="00BE2C1D" w:rsidRDefault="00BE2C1D" w:rsidP="00BE2C1D">
      <w:pPr>
        <w:spacing w:line="360" w:lineRule="auto"/>
        <w:rPr>
          <w:rFonts w:cstheme="minorHAnsi"/>
          <w:shd w:val="clear" w:color="auto" w:fill="FFFFFF"/>
        </w:rPr>
      </w:pPr>
      <w:r w:rsidRPr="00BE2C1D">
        <w:rPr>
          <w:rFonts w:cstheme="minorHAnsi"/>
        </w:rPr>
        <w:t>Hughes, B. and Paterson, K. 1997. The social model of disability and the disappearing body. </w:t>
      </w:r>
      <w:r w:rsidRPr="00BE2C1D">
        <w:rPr>
          <w:rFonts w:cstheme="minorHAnsi"/>
          <w:i/>
          <w:iCs/>
        </w:rPr>
        <w:t>Disability &amp; Society</w:t>
      </w:r>
      <w:r w:rsidRPr="00BE2C1D">
        <w:rPr>
          <w:rFonts w:cstheme="minorHAnsi"/>
        </w:rPr>
        <w:t xml:space="preserve">. </w:t>
      </w:r>
      <w:r w:rsidRPr="00BE2C1D">
        <w:rPr>
          <w:rFonts w:cstheme="minorHAnsi"/>
          <w:b/>
          <w:bCs/>
        </w:rPr>
        <w:t>15</w:t>
      </w:r>
      <w:r w:rsidRPr="00BE2C1D">
        <w:rPr>
          <w:rFonts w:cstheme="minorHAnsi"/>
        </w:rPr>
        <w:t>(4), 555–568.</w:t>
      </w:r>
    </w:p>
    <w:p w14:paraId="385E8873" w14:textId="77777777" w:rsidR="00BE2C1D" w:rsidRPr="00BE2C1D" w:rsidRDefault="00BE2C1D" w:rsidP="00BE2C1D">
      <w:pPr>
        <w:spacing w:line="360" w:lineRule="auto"/>
        <w:rPr>
          <w:rFonts w:cstheme="minorHAnsi"/>
        </w:rPr>
      </w:pPr>
      <w:r w:rsidRPr="00BE2C1D">
        <w:rPr>
          <w:rFonts w:cstheme="minorHAnsi"/>
        </w:rPr>
        <w:lastRenderedPageBreak/>
        <w:t>Hunt, P. (1981) Settling Accounts with the Parasite People, Disability Challenge London, Union of the Physically Impaired Against Segregation, No. 2, pp. 37-50.</w:t>
      </w:r>
    </w:p>
    <w:p w14:paraId="1DA582A4" w14:textId="77777777" w:rsidR="00BE2C1D" w:rsidRPr="00BE2C1D" w:rsidRDefault="00BE2C1D" w:rsidP="00BE2C1D">
      <w:pPr>
        <w:spacing w:line="360" w:lineRule="auto"/>
        <w:rPr>
          <w:rFonts w:cstheme="minorHAnsi"/>
          <w:shd w:val="clear" w:color="auto" w:fill="FFFFFF"/>
        </w:rPr>
      </w:pPr>
      <w:r w:rsidRPr="00BE2C1D">
        <w:rPr>
          <w:rFonts w:cstheme="minorHAnsi"/>
          <w:shd w:val="clear" w:color="auto" w:fill="FFFFFF"/>
        </w:rPr>
        <w:t>Hunter, J., Runswick‐Cole, K., Goodley, D. and Lawthom, R., 2019. Plans that work: improving employment outcomes for young people with learning disabilities. </w:t>
      </w:r>
      <w:r w:rsidRPr="00BE2C1D">
        <w:rPr>
          <w:rFonts w:cstheme="minorHAnsi"/>
          <w:i/>
          <w:iCs/>
          <w:shd w:val="clear" w:color="auto" w:fill="FFFFFF"/>
        </w:rPr>
        <w:t>British Journal of Special Education</w:t>
      </w:r>
      <w:r w:rsidRPr="00BE2C1D">
        <w:rPr>
          <w:rFonts w:cstheme="minorHAnsi"/>
          <w:shd w:val="clear" w:color="auto" w:fill="FFFFFF"/>
        </w:rPr>
        <w:t>. 1-18.</w:t>
      </w:r>
    </w:p>
    <w:p w14:paraId="71917F67" w14:textId="77777777" w:rsidR="00BE2C1D" w:rsidRPr="00BE2C1D" w:rsidRDefault="00BE2C1D" w:rsidP="00BE2C1D">
      <w:pPr>
        <w:spacing w:line="360" w:lineRule="auto"/>
        <w:rPr>
          <w:rFonts w:cstheme="minorHAnsi"/>
          <w:shd w:val="clear" w:color="auto" w:fill="FFFFFF"/>
        </w:rPr>
      </w:pPr>
      <w:r w:rsidRPr="00BE2C1D">
        <w:rPr>
          <w:rFonts w:cstheme="minorHAnsi"/>
          <w:shd w:val="clear" w:color="auto" w:fill="FFFFFF"/>
        </w:rPr>
        <w:t>Husserl, E. (1970). The Crisis of European Sciences and Transcendental Phenomenology: An Introduction to Phenomenological Philosophy. Evanston: Northwestern University Press.</w:t>
      </w:r>
    </w:p>
    <w:p w14:paraId="75D18A9A" w14:textId="77777777" w:rsidR="00BE2C1D" w:rsidRPr="00BE2C1D" w:rsidRDefault="00BE2C1D" w:rsidP="00BE2C1D">
      <w:pPr>
        <w:spacing w:line="360" w:lineRule="auto"/>
        <w:rPr>
          <w:rFonts w:cstheme="minorHAnsi"/>
          <w:shd w:val="clear" w:color="auto" w:fill="FFFFFF"/>
        </w:rPr>
      </w:pPr>
      <w:r w:rsidRPr="00BE2C1D">
        <w:rPr>
          <w:rFonts w:cstheme="minorHAnsi"/>
          <w:shd w:val="clear" w:color="auto" w:fill="FFFFFF"/>
        </w:rPr>
        <w:t>Huuki, T. and Renold, E., 2016. Crush: mapping historical, material and affective force relations in young children's hetero-sexual playground play. </w:t>
      </w:r>
      <w:r w:rsidRPr="00BE2C1D">
        <w:rPr>
          <w:rFonts w:cstheme="minorHAnsi"/>
          <w:i/>
          <w:iCs/>
          <w:shd w:val="clear" w:color="auto" w:fill="FFFFFF"/>
        </w:rPr>
        <w:t>Discourse: Studies in the Cultural Politics of Education</w:t>
      </w:r>
      <w:r w:rsidRPr="00BE2C1D">
        <w:rPr>
          <w:rFonts w:cstheme="minorHAnsi"/>
          <w:shd w:val="clear" w:color="auto" w:fill="FFFFFF"/>
        </w:rPr>
        <w:t>. </w:t>
      </w:r>
      <w:r w:rsidRPr="00BE2C1D">
        <w:rPr>
          <w:rFonts w:cstheme="minorHAnsi"/>
          <w:b/>
          <w:bCs/>
          <w:shd w:val="clear" w:color="auto" w:fill="FFFFFF"/>
        </w:rPr>
        <w:t>37</w:t>
      </w:r>
      <w:r w:rsidRPr="00BE2C1D">
        <w:rPr>
          <w:rFonts w:cstheme="minorHAnsi"/>
          <w:shd w:val="clear" w:color="auto" w:fill="FFFFFF"/>
        </w:rPr>
        <w:t>(5), 754-769.</w:t>
      </w:r>
    </w:p>
    <w:p w14:paraId="02BF1D47" w14:textId="77777777" w:rsidR="00BE2C1D" w:rsidRPr="00BE2C1D" w:rsidRDefault="00BE2C1D" w:rsidP="00BE2C1D">
      <w:pPr>
        <w:spacing w:line="360" w:lineRule="auto"/>
        <w:jc w:val="both"/>
        <w:rPr>
          <w:rFonts w:cstheme="minorHAnsi"/>
        </w:rPr>
      </w:pPr>
      <w:r w:rsidRPr="00BE2C1D">
        <w:rPr>
          <w:rFonts w:eastAsia="Times New Roman" w:cstheme="minorHAnsi"/>
          <w:bCs/>
          <w:lang w:eastAsia="en-GB"/>
        </w:rPr>
        <w:t xml:space="preserve">Hyden, M. (2013) Narrating Sensitive topics. In: M. Andrews, C. Squire, M. Tamboukou, eds. </w:t>
      </w:r>
      <w:r w:rsidRPr="00BE2C1D">
        <w:rPr>
          <w:rFonts w:eastAsia="Times New Roman" w:cstheme="minorHAnsi"/>
          <w:bCs/>
          <w:i/>
          <w:iCs/>
          <w:lang w:eastAsia="en-GB"/>
        </w:rPr>
        <w:t>Doing Narrative Research</w:t>
      </w:r>
      <w:r w:rsidRPr="00BE2C1D">
        <w:rPr>
          <w:rFonts w:eastAsia="Times New Roman" w:cstheme="minorHAnsi"/>
          <w:bCs/>
          <w:lang w:eastAsia="en-GB"/>
        </w:rPr>
        <w:t xml:space="preserve">. London: Sage. pp. 223-239. </w:t>
      </w:r>
    </w:p>
    <w:p w14:paraId="78D2CC7C" w14:textId="77777777" w:rsidR="00BE2C1D" w:rsidRPr="00BE2C1D" w:rsidRDefault="00BE2C1D" w:rsidP="00BE2C1D">
      <w:pPr>
        <w:spacing w:line="360" w:lineRule="auto"/>
        <w:rPr>
          <w:rFonts w:cstheme="minorHAnsi"/>
          <w:shd w:val="clear" w:color="auto" w:fill="FFFFFF"/>
        </w:rPr>
      </w:pPr>
      <w:r w:rsidRPr="00BE2C1D">
        <w:rPr>
          <w:rFonts w:cstheme="minorHAnsi"/>
          <w:shd w:val="clear" w:color="auto" w:fill="FFFFFF"/>
        </w:rPr>
        <w:t xml:space="preserve">Hydén, L. C. (2013). Bodies, embodiment and stories. </w:t>
      </w:r>
      <w:r w:rsidRPr="00BE2C1D">
        <w:rPr>
          <w:rFonts w:eastAsia="Times New Roman" w:cstheme="minorHAnsi"/>
          <w:bCs/>
          <w:lang w:eastAsia="en-GB"/>
        </w:rPr>
        <w:t xml:space="preserve">In: M. Andrews, C. Squire, M. Tamboukou, eds. </w:t>
      </w:r>
      <w:r w:rsidRPr="00BE2C1D">
        <w:rPr>
          <w:rFonts w:eastAsia="Times New Roman" w:cstheme="minorHAnsi"/>
          <w:bCs/>
          <w:i/>
          <w:iCs/>
          <w:lang w:eastAsia="en-GB"/>
        </w:rPr>
        <w:t>Doing Narrative Research</w:t>
      </w:r>
      <w:r w:rsidRPr="00BE2C1D">
        <w:rPr>
          <w:rFonts w:eastAsia="Times New Roman" w:cstheme="minorHAnsi"/>
          <w:bCs/>
          <w:lang w:eastAsia="en-GB"/>
        </w:rPr>
        <w:t>. London: Sage.</w:t>
      </w:r>
      <w:r w:rsidRPr="00BE2C1D">
        <w:rPr>
          <w:rFonts w:cstheme="minorHAnsi"/>
          <w:shd w:val="clear" w:color="auto" w:fill="FFFFFF"/>
        </w:rPr>
        <w:t xml:space="preserve"> pp.126-141.</w:t>
      </w:r>
    </w:p>
    <w:p w14:paraId="49FBAAE2" w14:textId="77777777" w:rsidR="00BE2C1D" w:rsidRPr="00BE2C1D" w:rsidRDefault="00BE2C1D" w:rsidP="00BE2C1D">
      <w:pPr>
        <w:spacing w:line="360" w:lineRule="auto"/>
        <w:rPr>
          <w:rFonts w:cstheme="minorHAnsi"/>
          <w:shd w:val="clear" w:color="auto" w:fill="FFFFFF"/>
        </w:rPr>
      </w:pPr>
      <w:r w:rsidRPr="00BE2C1D">
        <w:rPr>
          <w:rFonts w:cstheme="minorHAnsi"/>
          <w:shd w:val="clear" w:color="auto" w:fill="FFFFFF"/>
        </w:rPr>
        <w:t xml:space="preserve">Imrie, R., 2003. Architects' conceptions of the human body. </w:t>
      </w:r>
      <w:r w:rsidRPr="00BE2C1D">
        <w:rPr>
          <w:rFonts w:cstheme="minorHAnsi"/>
          <w:i/>
          <w:iCs/>
          <w:shd w:val="clear" w:color="auto" w:fill="FFFFFF"/>
        </w:rPr>
        <w:t>Environment and Planning D: Society and Space</w:t>
      </w:r>
      <w:r w:rsidRPr="00BE2C1D">
        <w:rPr>
          <w:rFonts w:cstheme="minorHAnsi"/>
          <w:shd w:val="clear" w:color="auto" w:fill="FFFFFF"/>
        </w:rPr>
        <w:t>. 21(1), 47-65.</w:t>
      </w:r>
    </w:p>
    <w:p w14:paraId="56D777FE" w14:textId="77777777" w:rsidR="00BE2C1D" w:rsidRPr="00BE2C1D" w:rsidRDefault="00BE2C1D" w:rsidP="00BE2C1D">
      <w:pPr>
        <w:spacing w:line="360" w:lineRule="auto"/>
        <w:rPr>
          <w:rFonts w:cstheme="minorHAnsi"/>
          <w:shd w:val="clear" w:color="auto" w:fill="FFFFFF"/>
        </w:rPr>
      </w:pPr>
      <w:r w:rsidRPr="00BE2C1D">
        <w:rPr>
          <w:rFonts w:cstheme="minorHAnsi"/>
          <w:shd w:val="clear" w:color="auto" w:fill="FFFFFF"/>
        </w:rPr>
        <w:t>Ingrey, J.C., 2012. The public school washroom as analytic space for troubling gender: investigating the spatiality of gender through students' self-knowledge. </w:t>
      </w:r>
      <w:r w:rsidRPr="00BE2C1D">
        <w:rPr>
          <w:rFonts w:cstheme="minorHAnsi"/>
          <w:i/>
          <w:iCs/>
          <w:shd w:val="clear" w:color="auto" w:fill="FFFFFF"/>
        </w:rPr>
        <w:t>Gender and Education</w:t>
      </w:r>
      <w:r w:rsidRPr="00BE2C1D">
        <w:rPr>
          <w:rFonts w:cstheme="minorHAnsi"/>
          <w:shd w:val="clear" w:color="auto" w:fill="FFFFFF"/>
        </w:rPr>
        <w:t>. </w:t>
      </w:r>
      <w:r w:rsidRPr="00BE2C1D">
        <w:rPr>
          <w:rFonts w:cstheme="minorHAnsi"/>
          <w:b/>
          <w:bCs/>
          <w:shd w:val="clear" w:color="auto" w:fill="FFFFFF"/>
        </w:rPr>
        <w:t>24</w:t>
      </w:r>
      <w:r w:rsidRPr="00BE2C1D">
        <w:rPr>
          <w:rFonts w:cstheme="minorHAnsi"/>
          <w:shd w:val="clear" w:color="auto" w:fill="FFFFFF"/>
        </w:rPr>
        <w:t>(7), 799-817.</w:t>
      </w:r>
    </w:p>
    <w:p w14:paraId="23232796" w14:textId="77777777" w:rsidR="00BE2C1D" w:rsidRPr="00BE2C1D" w:rsidRDefault="00BE2C1D" w:rsidP="00BE2C1D">
      <w:pPr>
        <w:spacing w:line="360" w:lineRule="auto"/>
        <w:rPr>
          <w:rFonts w:cstheme="minorHAnsi"/>
          <w:shd w:val="clear" w:color="auto" w:fill="FFFFFF"/>
        </w:rPr>
      </w:pPr>
      <w:r w:rsidRPr="00BE2C1D">
        <w:rPr>
          <w:rFonts w:cstheme="minorHAnsi"/>
          <w:shd w:val="clear" w:color="auto" w:fill="FFFFFF"/>
        </w:rPr>
        <w:t>Isaacs, D., 2020. ‘I Don’t Have Time For This’: Stuttering and the Politics of University Time. </w:t>
      </w:r>
      <w:r w:rsidRPr="00BE2C1D">
        <w:rPr>
          <w:rFonts w:cstheme="minorHAnsi"/>
          <w:i/>
          <w:iCs/>
          <w:bdr w:val="none" w:sz="0" w:space="0" w:color="auto" w:frame="1"/>
          <w:shd w:val="clear" w:color="auto" w:fill="FFFFFF"/>
        </w:rPr>
        <w:t>Scandinavian Journal of Disability Research</w:t>
      </w:r>
      <w:r w:rsidRPr="00BE2C1D">
        <w:rPr>
          <w:rFonts w:cstheme="minorHAnsi"/>
          <w:shd w:val="clear" w:color="auto" w:fill="FFFFFF"/>
        </w:rPr>
        <w:t xml:space="preserve">. </w:t>
      </w:r>
      <w:r w:rsidRPr="00BE2C1D">
        <w:rPr>
          <w:rFonts w:cstheme="minorHAnsi"/>
          <w:b/>
          <w:bCs/>
          <w:shd w:val="clear" w:color="auto" w:fill="FFFFFF"/>
        </w:rPr>
        <w:t>22</w:t>
      </w:r>
      <w:r w:rsidRPr="00BE2C1D">
        <w:rPr>
          <w:rFonts w:cstheme="minorHAnsi"/>
          <w:shd w:val="clear" w:color="auto" w:fill="FFFFFF"/>
        </w:rPr>
        <w:t>(1), 58–67.</w:t>
      </w:r>
    </w:p>
    <w:p w14:paraId="16B276F1" w14:textId="77777777" w:rsidR="00BE2C1D" w:rsidRPr="00BE2C1D" w:rsidRDefault="00BE2C1D" w:rsidP="00BE2C1D">
      <w:pPr>
        <w:spacing w:line="360" w:lineRule="auto"/>
        <w:jc w:val="both"/>
        <w:rPr>
          <w:rFonts w:cstheme="minorHAnsi"/>
          <w:shd w:val="clear" w:color="auto" w:fill="FFFFFF"/>
        </w:rPr>
      </w:pPr>
      <w:r w:rsidRPr="00BE2C1D">
        <w:rPr>
          <w:rFonts w:cstheme="minorHAnsi"/>
          <w:shd w:val="clear" w:color="auto" w:fill="FFFFFF"/>
        </w:rPr>
        <w:t>James, N., 2007. The use of email interviewing as a qualitative method of inquiry in educational research. </w:t>
      </w:r>
      <w:r w:rsidRPr="00BE2C1D">
        <w:rPr>
          <w:rFonts w:cstheme="minorHAnsi"/>
          <w:i/>
          <w:iCs/>
          <w:shd w:val="clear" w:color="auto" w:fill="FFFFFF"/>
        </w:rPr>
        <w:t>British Educational Research Journal</w:t>
      </w:r>
      <w:r w:rsidRPr="00BE2C1D">
        <w:rPr>
          <w:rFonts w:cstheme="minorHAnsi"/>
          <w:shd w:val="clear" w:color="auto" w:fill="FFFFFF"/>
        </w:rPr>
        <w:t>. </w:t>
      </w:r>
      <w:r w:rsidRPr="00BE2C1D">
        <w:rPr>
          <w:rFonts w:cstheme="minorHAnsi"/>
          <w:b/>
          <w:bCs/>
          <w:shd w:val="clear" w:color="auto" w:fill="FFFFFF"/>
        </w:rPr>
        <w:t>33</w:t>
      </w:r>
      <w:r w:rsidRPr="00BE2C1D">
        <w:rPr>
          <w:rFonts w:cstheme="minorHAnsi"/>
          <w:shd w:val="clear" w:color="auto" w:fill="FFFFFF"/>
        </w:rPr>
        <w:t>(6), 963-976.</w:t>
      </w:r>
    </w:p>
    <w:p w14:paraId="5789C009" w14:textId="77777777" w:rsidR="00BE2C1D" w:rsidRPr="00BE2C1D" w:rsidRDefault="00BE2C1D" w:rsidP="00BE2C1D">
      <w:pPr>
        <w:spacing w:line="360" w:lineRule="auto"/>
        <w:rPr>
          <w:rFonts w:cstheme="minorHAnsi"/>
          <w:shd w:val="clear" w:color="auto" w:fill="FFFFFF"/>
        </w:rPr>
      </w:pPr>
      <w:r w:rsidRPr="00BE2C1D">
        <w:rPr>
          <w:rFonts w:cstheme="minorHAnsi"/>
          <w:shd w:val="clear" w:color="auto" w:fill="FFFFFF"/>
        </w:rPr>
        <w:t xml:space="preserve">Johnston, K., Highfield, K. and Hadley, F., 2018. Supporting young children as digital citizens: The importance of shared understandings of technology to support integration in play‐based learning. </w:t>
      </w:r>
      <w:r w:rsidRPr="00BE2C1D">
        <w:rPr>
          <w:rFonts w:cstheme="minorHAnsi"/>
          <w:i/>
          <w:iCs/>
          <w:shd w:val="clear" w:color="auto" w:fill="FFFFFF"/>
        </w:rPr>
        <w:t>British journal of educational technology.</w:t>
      </w:r>
      <w:r w:rsidRPr="00BE2C1D">
        <w:rPr>
          <w:rFonts w:cstheme="minorHAnsi"/>
          <w:shd w:val="clear" w:color="auto" w:fill="FFFFFF"/>
        </w:rPr>
        <w:t xml:space="preserve"> </w:t>
      </w:r>
      <w:r w:rsidRPr="00BE2C1D">
        <w:rPr>
          <w:rFonts w:cstheme="minorHAnsi"/>
          <w:b/>
          <w:bCs/>
          <w:shd w:val="clear" w:color="auto" w:fill="FFFFFF"/>
        </w:rPr>
        <w:t>49</w:t>
      </w:r>
      <w:r w:rsidRPr="00BE2C1D">
        <w:rPr>
          <w:rFonts w:cstheme="minorHAnsi"/>
          <w:shd w:val="clear" w:color="auto" w:fill="FFFFFF"/>
        </w:rPr>
        <w:t>(5), 896-910.</w:t>
      </w:r>
    </w:p>
    <w:p w14:paraId="5A98F3DB" w14:textId="77777777" w:rsidR="00BE2C1D" w:rsidRPr="00BE2C1D" w:rsidRDefault="00BE2C1D" w:rsidP="00BE2C1D">
      <w:pPr>
        <w:spacing w:line="360" w:lineRule="auto"/>
        <w:rPr>
          <w:rFonts w:cstheme="minorHAnsi"/>
          <w:shd w:val="clear" w:color="auto" w:fill="FFFFFF"/>
        </w:rPr>
      </w:pPr>
      <w:r w:rsidRPr="00BE2C1D">
        <w:rPr>
          <w:rFonts w:cstheme="minorHAnsi"/>
          <w:shd w:val="clear" w:color="auto" w:fill="FFFFFF"/>
        </w:rPr>
        <w:t>Jones, L., Bellis, M.A., Wood, S., Hughes, K., McCoy, E., Eckley, L., Bates, G., Mikton, C., Shakespeare, T. and Officer, A., 2012. Prevalence and risk of violence against children with disabilities: a systematic review and meta-analysis of observational studies. </w:t>
      </w:r>
      <w:r w:rsidRPr="00BE2C1D">
        <w:rPr>
          <w:rFonts w:cstheme="minorHAnsi"/>
          <w:i/>
          <w:iCs/>
          <w:shd w:val="clear" w:color="auto" w:fill="FFFFFF"/>
        </w:rPr>
        <w:t>The Lancet</w:t>
      </w:r>
      <w:r w:rsidRPr="00BE2C1D">
        <w:rPr>
          <w:rFonts w:cstheme="minorHAnsi"/>
          <w:shd w:val="clear" w:color="auto" w:fill="FFFFFF"/>
        </w:rPr>
        <w:t>, </w:t>
      </w:r>
      <w:r w:rsidRPr="00BE2C1D">
        <w:rPr>
          <w:rFonts w:cstheme="minorHAnsi"/>
          <w:b/>
          <w:bCs/>
          <w:shd w:val="clear" w:color="auto" w:fill="FFFFFF"/>
        </w:rPr>
        <w:t>380</w:t>
      </w:r>
      <w:r w:rsidRPr="00BE2C1D">
        <w:rPr>
          <w:rFonts w:cstheme="minorHAnsi"/>
          <w:shd w:val="clear" w:color="auto" w:fill="FFFFFF"/>
        </w:rPr>
        <w:t>(9845), 899-907.</w:t>
      </w:r>
    </w:p>
    <w:p w14:paraId="38D0098D" w14:textId="77777777" w:rsidR="00BE2C1D" w:rsidRPr="00BE2C1D" w:rsidRDefault="00BE2C1D" w:rsidP="00BE2C1D">
      <w:pPr>
        <w:spacing w:line="360" w:lineRule="auto"/>
        <w:rPr>
          <w:rFonts w:cstheme="minorHAnsi"/>
          <w:shd w:val="clear" w:color="auto" w:fill="FFFFFF"/>
        </w:rPr>
      </w:pPr>
      <w:r w:rsidRPr="00BE2C1D">
        <w:rPr>
          <w:rFonts w:cstheme="minorHAnsi"/>
        </w:rPr>
        <w:t>Jorgensen, C., Schuh, M. and Nisbet, J., (2006). </w:t>
      </w:r>
      <w:r w:rsidRPr="00BE2C1D">
        <w:rPr>
          <w:rFonts w:cstheme="minorHAnsi"/>
          <w:i/>
          <w:iCs/>
        </w:rPr>
        <w:t>The inclusion facilitator’s guide</w:t>
      </w:r>
      <w:r w:rsidRPr="00BE2C1D">
        <w:rPr>
          <w:rFonts w:cstheme="minorHAnsi"/>
        </w:rPr>
        <w:t>. Baltimore MD: Paul H. Brookes.</w:t>
      </w:r>
    </w:p>
    <w:p w14:paraId="200B3CC4" w14:textId="77777777" w:rsidR="00BE2C1D" w:rsidRPr="00BE2C1D" w:rsidRDefault="00BE2C1D" w:rsidP="00BE2C1D">
      <w:pPr>
        <w:spacing w:line="360" w:lineRule="auto"/>
        <w:rPr>
          <w:rFonts w:cstheme="minorHAnsi"/>
          <w:shd w:val="clear" w:color="auto" w:fill="FFFFFF"/>
        </w:rPr>
      </w:pPr>
      <w:r w:rsidRPr="00BE2C1D">
        <w:rPr>
          <w:rFonts w:cstheme="minorHAnsi"/>
          <w:shd w:val="clear" w:color="auto" w:fill="FFFFFF"/>
        </w:rPr>
        <w:lastRenderedPageBreak/>
        <w:t>Kafer, A., (2013). </w:t>
      </w:r>
      <w:r w:rsidRPr="00BE2C1D">
        <w:rPr>
          <w:rFonts w:cstheme="minorHAnsi"/>
          <w:i/>
          <w:iCs/>
          <w:shd w:val="clear" w:color="auto" w:fill="FFFFFF"/>
        </w:rPr>
        <w:t>Feminist, queer, crip</w:t>
      </w:r>
      <w:r w:rsidRPr="00BE2C1D">
        <w:rPr>
          <w:rFonts w:cstheme="minorHAnsi"/>
          <w:shd w:val="clear" w:color="auto" w:fill="FFFFFF"/>
        </w:rPr>
        <w:t>. Indiana: Indiana University Press.</w:t>
      </w:r>
    </w:p>
    <w:p w14:paraId="6A26FD2C" w14:textId="77777777" w:rsidR="00BE2C1D" w:rsidRPr="00BE2C1D" w:rsidRDefault="00BE2C1D" w:rsidP="00BE2C1D">
      <w:pPr>
        <w:spacing w:line="360" w:lineRule="auto"/>
        <w:rPr>
          <w:rFonts w:cstheme="minorHAnsi"/>
          <w:shd w:val="clear" w:color="auto" w:fill="FFFFFF"/>
        </w:rPr>
      </w:pPr>
      <w:r w:rsidRPr="00BE2C1D">
        <w:rPr>
          <w:rFonts w:cstheme="minorHAnsi"/>
          <w:shd w:val="clear" w:color="auto" w:fill="FFFFFF"/>
        </w:rPr>
        <w:t>Kaukiainen, A., Salmivalli, C., Lagerspetz, K., Tamminen, M., Vauras, M., Mäki, H. and Poskiparta, E., 2002. Learning difficulties, social intelligence, and self–concept: Connections to bully–victim problems. </w:t>
      </w:r>
      <w:r w:rsidRPr="00BE2C1D">
        <w:rPr>
          <w:rFonts w:cstheme="minorHAnsi"/>
          <w:i/>
          <w:iCs/>
          <w:shd w:val="clear" w:color="auto" w:fill="FFFFFF"/>
        </w:rPr>
        <w:t>Scandinavian journal of psychology</w:t>
      </w:r>
      <w:r w:rsidRPr="00BE2C1D">
        <w:rPr>
          <w:rFonts w:cstheme="minorHAnsi"/>
          <w:shd w:val="clear" w:color="auto" w:fill="FFFFFF"/>
        </w:rPr>
        <w:t>. </w:t>
      </w:r>
      <w:r w:rsidRPr="00BE2C1D">
        <w:rPr>
          <w:rFonts w:cstheme="minorHAnsi"/>
          <w:b/>
          <w:bCs/>
          <w:shd w:val="clear" w:color="auto" w:fill="FFFFFF"/>
        </w:rPr>
        <w:t>43</w:t>
      </w:r>
      <w:r w:rsidRPr="00BE2C1D">
        <w:rPr>
          <w:rFonts w:cstheme="minorHAnsi"/>
          <w:shd w:val="clear" w:color="auto" w:fill="FFFFFF"/>
        </w:rPr>
        <w:t>(3), 269-278.</w:t>
      </w:r>
    </w:p>
    <w:p w14:paraId="74CB763F" w14:textId="77777777" w:rsidR="00BE2C1D" w:rsidRPr="00BE2C1D" w:rsidRDefault="00BE2C1D" w:rsidP="00BE2C1D">
      <w:pPr>
        <w:spacing w:line="360" w:lineRule="auto"/>
        <w:rPr>
          <w:rFonts w:cstheme="minorHAnsi"/>
          <w:shd w:val="clear" w:color="auto" w:fill="FFFFFF"/>
        </w:rPr>
      </w:pPr>
      <w:r w:rsidRPr="00BE2C1D">
        <w:rPr>
          <w:rFonts w:cstheme="minorHAnsi"/>
          <w:shd w:val="clear" w:color="auto" w:fill="FFFFFF"/>
        </w:rPr>
        <w:t xml:space="preserve">Kavanagh, A., (2018). I am visually impaired, but it doesn’t give you the right to grab me. </w:t>
      </w:r>
      <w:r w:rsidRPr="00BE2C1D">
        <w:rPr>
          <w:rFonts w:cstheme="minorHAnsi"/>
          <w:i/>
          <w:iCs/>
          <w:shd w:val="clear" w:color="auto" w:fill="FFFFFF"/>
        </w:rPr>
        <w:t xml:space="preserve">Metro </w:t>
      </w:r>
      <w:r w:rsidRPr="00BE2C1D">
        <w:rPr>
          <w:rFonts w:cstheme="minorHAnsi"/>
          <w:shd w:val="clear" w:color="auto" w:fill="FFFFFF"/>
        </w:rPr>
        <w:t xml:space="preserve">[online]. 31 July 2018. Viewed: 14 January 2019. Available at: </w:t>
      </w:r>
      <w:hyperlink r:id="rId21" w:history="1">
        <w:r w:rsidRPr="00BE2C1D">
          <w:rPr>
            <w:rFonts w:cstheme="minorHAnsi"/>
            <w:color w:val="0563C1" w:themeColor="hyperlink"/>
            <w:u w:val="single"/>
          </w:rPr>
          <w:t>https://metro.co.uk/2018/07/31/just-because-im-visually-impaired-it-doesnt-give-you-the-right-to-grab-me-7780931/</w:t>
        </w:r>
      </w:hyperlink>
    </w:p>
    <w:p w14:paraId="3C8432FE" w14:textId="77777777" w:rsidR="00BE2C1D" w:rsidRPr="00BE2C1D" w:rsidRDefault="00BE2C1D" w:rsidP="00BE2C1D">
      <w:pPr>
        <w:spacing w:line="360" w:lineRule="auto"/>
        <w:rPr>
          <w:rFonts w:cstheme="minorHAnsi"/>
          <w:shd w:val="clear" w:color="auto" w:fill="FFFFFF"/>
        </w:rPr>
      </w:pPr>
      <w:r w:rsidRPr="00BE2C1D">
        <w:rPr>
          <w:rFonts w:cstheme="minorHAnsi"/>
          <w:shd w:val="clear" w:color="auto" w:fill="FFFFFF"/>
        </w:rPr>
        <w:t>Kelly, B., 2005. ‘Chocolate… makes you autism’: impairment, disability and childhood identities. </w:t>
      </w:r>
      <w:r w:rsidRPr="00BE2C1D">
        <w:rPr>
          <w:rFonts w:cstheme="minorHAnsi"/>
          <w:i/>
          <w:iCs/>
          <w:shd w:val="clear" w:color="auto" w:fill="FFFFFF"/>
        </w:rPr>
        <w:t>Disability &amp; Society</w:t>
      </w:r>
      <w:r w:rsidRPr="00BE2C1D">
        <w:rPr>
          <w:rFonts w:cstheme="minorHAnsi"/>
          <w:shd w:val="clear" w:color="auto" w:fill="FFFFFF"/>
        </w:rPr>
        <w:t>. </w:t>
      </w:r>
      <w:r w:rsidRPr="00BE2C1D">
        <w:rPr>
          <w:rFonts w:cstheme="minorHAnsi"/>
          <w:b/>
          <w:bCs/>
          <w:shd w:val="clear" w:color="auto" w:fill="FFFFFF"/>
        </w:rPr>
        <w:t>20</w:t>
      </w:r>
      <w:r w:rsidRPr="00BE2C1D">
        <w:rPr>
          <w:rFonts w:cstheme="minorHAnsi"/>
          <w:shd w:val="clear" w:color="auto" w:fill="FFFFFF"/>
        </w:rPr>
        <w:t>(3), 261-275.</w:t>
      </w:r>
    </w:p>
    <w:p w14:paraId="36A50787" w14:textId="77777777" w:rsidR="00BE2C1D" w:rsidRPr="00BE2C1D" w:rsidRDefault="00BE2C1D" w:rsidP="00BE2C1D">
      <w:pPr>
        <w:spacing w:line="360" w:lineRule="auto"/>
        <w:rPr>
          <w:rFonts w:cstheme="minorHAnsi"/>
          <w:shd w:val="clear" w:color="auto" w:fill="FFFFFF"/>
        </w:rPr>
      </w:pPr>
      <w:r w:rsidRPr="00BE2C1D">
        <w:rPr>
          <w:rFonts w:cstheme="minorHAnsi"/>
          <w:shd w:val="clear" w:color="auto" w:fill="FFFFFF"/>
        </w:rPr>
        <w:t>Kelly, P., 2001. Youth at risk: processes of responsibilization and individualization in the risk society. </w:t>
      </w:r>
      <w:r w:rsidRPr="00BE2C1D">
        <w:rPr>
          <w:rFonts w:cstheme="minorHAnsi"/>
          <w:i/>
          <w:iCs/>
          <w:shd w:val="clear" w:color="auto" w:fill="FFFFFF"/>
        </w:rPr>
        <w:t>Discourse</w:t>
      </w:r>
      <w:r w:rsidRPr="00BE2C1D">
        <w:rPr>
          <w:rFonts w:cstheme="minorHAnsi"/>
          <w:shd w:val="clear" w:color="auto" w:fill="FFFFFF"/>
        </w:rPr>
        <w:t>. </w:t>
      </w:r>
      <w:r w:rsidRPr="00BE2C1D">
        <w:rPr>
          <w:rFonts w:cstheme="minorHAnsi"/>
          <w:b/>
          <w:bCs/>
          <w:shd w:val="clear" w:color="auto" w:fill="FFFFFF"/>
        </w:rPr>
        <w:t>22</w:t>
      </w:r>
      <w:r w:rsidRPr="00BE2C1D">
        <w:rPr>
          <w:rFonts w:cstheme="minorHAnsi"/>
          <w:shd w:val="clear" w:color="auto" w:fill="FFFFFF"/>
        </w:rPr>
        <w:t>(1), 23-34.</w:t>
      </w:r>
    </w:p>
    <w:p w14:paraId="741E83EE" w14:textId="77777777" w:rsidR="00BE2C1D" w:rsidRPr="00BE2C1D" w:rsidRDefault="00BE2C1D" w:rsidP="00BE2C1D">
      <w:pPr>
        <w:spacing w:line="360" w:lineRule="auto"/>
        <w:rPr>
          <w:rFonts w:cstheme="minorHAnsi"/>
          <w:shd w:val="clear" w:color="auto" w:fill="FFFFFF"/>
        </w:rPr>
      </w:pPr>
      <w:r w:rsidRPr="00BE2C1D">
        <w:rPr>
          <w:rFonts w:cstheme="minorHAnsi"/>
          <w:shd w:val="clear" w:color="auto" w:fill="FFFFFF"/>
        </w:rPr>
        <w:t>Kelnar, C.J.H., Albertsson-Wikland, K., Hintz, R.L., Ranke, M.B. and Rosenfeld, R.G., 1999. Should we treat children with idiopathic short stature?. </w:t>
      </w:r>
      <w:r w:rsidRPr="00BE2C1D">
        <w:rPr>
          <w:rFonts w:cstheme="minorHAnsi"/>
          <w:i/>
          <w:iCs/>
          <w:shd w:val="clear" w:color="auto" w:fill="FFFFFF"/>
        </w:rPr>
        <w:t>Hormone Research in Paediatrics</w:t>
      </w:r>
      <w:r w:rsidRPr="00BE2C1D">
        <w:rPr>
          <w:rFonts w:cstheme="minorHAnsi"/>
          <w:shd w:val="clear" w:color="auto" w:fill="FFFFFF"/>
        </w:rPr>
        <w:t>, </w:t>
      </w:r>
      <w:r w:rsidRPr="00BE2C1D">
        <w:rPr>
          <w:rFonts w:cstheme="minorHAnsi"/>
          <w:b/>
          <w:bCs/>
          <w:shd w:val="clear" w:color="auto" w:fill="FFFFFF"/>
        </w:rPr>
        <w:t>52</w:t>
      </w:r>
      <w:r w:rsidRPr="00BE2C1D">
        <w:rPr>
          <w:rFonts w:cstheme="minorHAnsi"/>
          <w:shd w:val="clear" w:color="auto" w:fill="FFFFFF"/>
        </w:rPr>
        <w:t>(3), 150-157.</w:t>
      </w:r>
    </w:p>
    <w:p w14:paraId="51B84303" w14:textId="77777777" w:rsidR="00BE2C1D" w:rsidRPr="00BE2C1D" w:rsidRDefault="00BE2C1D" w:rsidP="00BE2C1D">
      <w:pPr>
        <w:spacing w:line="360" w:lineRule="auto"/>
        <w:rPr>
          <w:rFonts w:cstheme="minorHAnsi"/>
          <w:shd w:val="clear" w:color="auto" w:fill="FFFFFF"/>
        </w:rPr>
      </w:pPr>
      <w:r w:rsidRPr="00BE2C1D">
        <w:rPr>
          <w:rFonts w:cstheme="minorHAnsi"/>
          <w:shd w:val="clear" w:color="auto" w:fill="FFFFFF"/>
        </w:rPr>
        <w:t>Kendrick, K., Jutengren, G. and Stattin, H., 2012. The protective role of supportive friends against bullying perpetration and victimization. </w:t>
      </w:r>
      <w:r w:rsidRPr="00BE2C1D">
        <w:rPr>
          <w:rFonts w:cstheme="minorHAnsi"/>
          <w:i/>
          <w:iCs/>
          <w:shd w:val="clear" w:color="auto" w:fill="FFFFFF"/>
        </w:rPr>
        <w:t>Journal of adolescence</w:t>
      </w:r>
      <w:r w:rsidRPr="00BE2C1D">
        <w:rPr>
          <w:rFonts w:cstheme="minorHAnsi"/>
          <w:shd w:val="clear" w:color="auto" w:fill="FFFFFF"/>
        </w:rPr>
        <w:t>. </w:t>
      </w:r>
      <w:r w:rsidRPr="00BE2C1D">
        <w:rPr>
          <w:rFonts w:cstheme="minorHAnsi"/>
          <w:b/>
          <w:bCs/>
          <w:shd w:val="clear" w:color="auto" w:fill="FFFFFF"/>
        </w:rPr>
        <w:t>35</w:t>
      </w:r>
      <w:r w:rsidRPr="00BE2C1D">
        <w:rPr>
          <w:rFonts w:cstheme="minorHAnsi"/>
          <w:shd w:val="clear" w:color="auto" w:fill="FFFFFF"/>
        </w:rPr>
        <w:t>(4), 1069-1080.</w:t>
      </w:r>
    </w:p>
    <w:p w14:paraId="24EFA62E" w14:textId="77777777" w:rsidR="00BE2C1D" w:rsidRPr="00BE2C1D" w:rsidRDefault="00BE2C1D" w:rsidP="00BE2C1D">
      <w:pPr>
        <w:spacing w:line="360" w:lineRule="auto"/>
        <w:rPr>
          <w:rFonts w:cstheme="minorHAnsi"/>
          <w:shd w:val="clear" w:color="auto" w:fill="FFFFFF"/>
        </w:rPr>
      </w:pPr>
      <w:r w:rsidRPr="00BE2C1D">
        <w:rPr>
          <w:rFonts w:cstheme="minorHAnsi"/>
          <w:shd w:val="clear" w:color="auto" w:fill="FFFFFF"/>
        </w:rPr>
        <w:t>Kenworthy, J. and Whittaker, J., 2000. Anything to declare? The struggle for inclusive education and children's rights. </w:t>
      </w:r>
      <w:r w:rsidRPr="00BE2C1D">
        <w:rPr>
          <w:rFonts w:cstheme="minorHAnsi"/>
          <w:i/>
          <w:iCs/>
          <w:shd w:val="clear" w:color="auto" w:fill="FFFFFF"/>
        </w:rPr>
        <w:t>Disability &amp; Society</w:t>
      </w:r>
      <w:r w:rsidRPr="00BE2C1D">
        <w:rPr>
          <w:rFonts w:cstheme="minorHAnsi"/>
          <w:shd w:val="clear" w:color="auto" w:fill="FFFFFF"/>
        </w:rPr>
        <w:t>. </w:t>
      </w:r>
      <w:r w:rsidRPr="00BE2C1D">
        <w:rPr>
          <w:rFonts w:cstheme="minorHAnsi"/>
          <w:b/>
          <w:bCs/>
          <w:shd w:val="clear" w:color="auto" w:fill="FFFFFF"/>
        </w:rPr>
        <w:t>15</w:t>
      </w:r>
      <w:r w:rsidRPr="00BE2C1D">
        <w:rPr>
          <w:rFonts w:cstheme="minorHAnsi"/>
          <w:shd w:val="clear" w:color="auto" w:fill="FFFFFF"/>
        </w:rPr>
        <w:t>(2), .219-231.</w:t>
      </w:r>
    </w:p>
    <w:p w14:paraId="18C6EF41" w14:textId="77777777" w:rsidR="00BE2C1D" w:rsidRPr="00BE2C1D" w:rsidRDefault="00BE2C1D" w:rsidP="00BE2C1D">
      <w:pPr>
        <w:spacing w:line="360" w:lineRule="auto"/>
        <w:rPr>
          <w:rFonts w:cstheme="minorHAnsi"/>
          <w:shd w:val="clear" w:color="auto" w:fill="FFFFFF"/>
        </w:rPr>
      </w:pPr>
      <w:r w:rsidRPr="00BE2C1D">
        <w:rPr>
          <w:rFonts w:cstheme="minorHAnsi"/>
          <w:shd w:val="clear" w:color="auto" w:fill="FFFFFF"/>
        </w:rPr>
        <w:t>Kerry, T., 2005. Towards a typology for conceptualizing the roles of teaching assistants. </w:t>
      </w:r>
      <w:r w:rsidRPr="00BE2C1D">
        <w:rPr>
          <w:rFonts w:cstheme="minorHAnsi"/>
          <w:i/>
          <w:iCs/>
          <w:shd w:val="clear" w:color="auto" w:fill="FFFFFF"/>
        </w:rPr>
        <w:t>Educational Review</w:t>
      </w:r>
      <w:r w:rsidRPr="00BE2C1D">
        <w:rPr>
          <w:rFonts w:cstheme="minorHAnsi"/>
          <w:shd w:val="clear" w:color="auto" w:fill="FFFFFF"/>
        </w:rPr>
        <w:t>. </w:t>
      </w:r>
      <w:r w:rsidRPr="00BE2C1D">
        <w:rPr>
          <w:rFonts w:cstheme="minorHAnsi"/>
          <w:b/>
          <w:bCs/>
          <w:shd w:val="clear" w:color="auto" w:fill="FFFFFF"/>
        </w:rPr>
        <w:t>57</w:t>
      </w:r>
      <w:r w:rsidRPr="00BE2C1D">
        <w:rPr>
          <w:rFonts w:cstheme="minorHAnsi"/>
          <w:shd w:val="clear" w:color="auto" w:fill="FFFFFF"/>
        </w:rPr>
        <w:t>(3), 373-384.</w:t>
      </w:r>
    </w:p>
    <w:p w14:paraId="22D56177" w14:textId="77777777" w:rsidR="00BE2C1D" w:rsidRPr="00BE2C1D" w:rsidRDefault="00BE2C1D" w:rsidP="00BE2C1D">
      <w:pPr>
        <w:spacing w:line="360" w:lineRule="auto"/>
        <w:jc w:val="both"/>
        <w:rPr>
          <w:rFonts w:cstheme="minorHAnsi"/>
          <w:lang w:eastAsia="en-GB"/>
        </w:rPr>
      </w:pPr>
      <w:r w:rsidRPr="00BE2C1D">
        <w:rPr>
          <w:rFonts w:cstheme="minorHAnsi"/>
          <w:shd w:val="clear" w:color="auto" w:fill="FFFFFF"/>
        </w:rPr>
        <w:t>King, T., (2003). </w:t>
      </w:r>
      <w:r w:rsidRPr="00BE2C1D">
        <w:rPr>
          <w:rFonts w:cstheme="minorHAnsi"/>
          <w:i/>
          <w:iCs/>
          <w:shd w:val="clear" w:color="auto" w:fill="FFFFFF"/>
        </w:rPr>
        <w:t>The truth about stories: A native narrative</w:t>
      </w:r>
      <w:r w:rsidRPr="00BE2C1D">
        <w:rPr>
          <w:rFonts w:cstheme="minorHAnsi"/>
          <w:shd w:val="clear" w:color="auto" w:fill="FFFFFF"/>
        </w:rPr>
        <w:t>. Toronto: House of Anansi.</w:t>
      </w:r>
    </w:p>
    <w:p w14:paraId="6F08C554" w14:textId="77777777" w:rsidR="00BE2C1D" w:rsidRPr="00BE2C1D" w:rsidRDefault="00BE2C1D" w:rsidP="00BE2C1D">
      <w:pPr>
        <w:spacing w:line="360" w:lineRule="auto"/>
        <w:rPr>
          <w:rFonts w:cstheme="minorHAnsi"/>
          <w:shd w:val="clear" w:color="auto" w:fill="FFFFFF"/>
        </w:rPr>
      </w:pPr>
      <w:r w:rsidRPr="00BE2C1D">
        <w:rPr>
          <w:rFonts w:cstheme="minorHAnsi"/>
          <w:shd w:val="clear" w:color="auto" w:fill="FFFFFF"/>
        </w:rPr>
        <w:t>Kitchin, R., 1998. 'Out of Place', 'Knowing One's Place': Space, power and the exclusion of disabled people. </w:t>
      </w:r>
      <w:r w:rsidRPr="00BE2C1D">
        <w:rPr>
          <w:rFonts w:cstheme="minorHAnsi"/>
          <w:i/>
          <w:iCs/>
          <w:shd w:val="clear" w:color="auto" w:fill="FFFFFF"/>
        </w:rPr>
        <w:t>Disability &amp; Society</w:t>
      </w:r>
      <w:r w:rsidRPr="00BE2C1D">
        <w:rPr>
          <w:rFonts w:cstheme="minorHAnsi"/>
          <w:shd w:val="clear" w:color="auto" w:fill="FFFFFF"/>
        </w:rPr>
        <w:t>. </w:t>
      </w:r>
      <w:r w:rsidRPr="00BE2C1D">
        <w:rPr>
          <w:rFonts w:cstheme="minorHAnsi"/>
          <w:b/>
          <w:bCs/>
          <w:shd w:val="clear" w:color="auto" w:fill="FFFFFF"/>
        </w:rPr>
        <w:t>13</w:t>
      </w:r>
      <w:r w:rsidRPr="00BE2C1D">
        <w:rPr>
          <w:rFonts w:cstheme="minorHAnsi"/>
          <w:shd w:val="clear" w:color="auto" w:fill="FFFFFF"/>
        </w:rPr>
        <w:t>(3), 343-356.</w:t>
      </w:r>
    </w:p>
    <w:p w14:paraId="3E872313" w14:textId="77777777" w:rsidR="00BE2C1D" w:rsidRPr="00BE2C1D" w:rsidRDefault="00BE2C1D" w:rsidP="00BE2C1D">
      <w:pPr>
        <w:spacing w:line="360" w:lineRule="auto"/>
        <w:rPr>
          <w:rFonts w:cstheme="minorHAnsi"/>
          <w:shd w:val="clear" w:color="auto" w:fill="FFFFFF"/>
        </w:rPr>
      </w:pPr>
      <w:r w:rsidRPr="00BE2C1D">
        <w:rPr>
          <w:rFonts w:cstheme="minorHAnsi"/>
          <w:shd w:val="clear" w:color="auto" w:fill="FFFFFF"/>
        </w:rPr>
        <w:t xml:space="preserve">Kitchin, R., 2000. The researched opinions on research: Disabled people and disability research. </w:t>
      </w:r>
      <w:r w:rsidRPr="00BE2C1D">
        <w:rPr>
          <w:rFonts w:cstheme="minorHAnsi"/>
          <w:i/>
          <w:iCs/>
          <w:shd w:val="clear" w:color="auto" w:fill="FFFFFF"/>
        </w:rPr>
        <w:t>Disability &amp; Society.</w:t>
      </w:r>
      <w:r w:rsidRPr="00BE2C1D">
        <w:rPr>
          <w:rFonts w:cstheme="minorHAnsi"/>
          <w:shd w:val="clear" w:color="auto" w:fill="FFFFFF"/>
        </w:rPr>
        <w:t xml:space="preserve"> </w:t>
      </w:r>
      <w:r w:rsidRPr="00BE2C1D">
        <w:rPr>
          <w:rFonts w:cstheme="minorHAnsi"/>
          <w:b/>
          <w:bCs/>
          <w:shd w:val="clear" w:color="auto" w:fill="FFFFFF"/>
        </w:rPr>
        <w:t>15</w:t>
      </w:r>
      <w:r w:rsidRPr="00BE2C1D">
        <w:rPr>
          <w:rFonts w:cstheme="minorHAnsi"/>
          <w:shd w:val="clear" w:color="auto" w:fill="FFFFFF"/>
        </w:rPr>
        <w:t>(1), 25-47.</w:t>
      </w:r>
    </w:p>
    <w:p w14:paraId="6159579B" w14:textId="77777777" w:rsidR="00BE2C1D" w:rsidRPr="00BE2C1D" w:rsidRDefault="00BE2C1D" w:rsidP="00BE2C1D">
      <w:pPr>
        <w:spacing w:line="360" w:lineRule="auto"/>
        <w:jc w:val="both"/>
        <w:rPr>
          <w:rFonts w:cstheme="minorHAnsi"/>
          <w:lang w:eastAsia="en-GB"/>
        </w:rPr>
      </w:pPr>
      <w:r w:rsidRPr="00BE2C1D">
        <w:rPr>
          <w:rFonts w:cstheme="minorHAnsi"/>
          <w:shd w:val="clear" w:color="auto" w:fill="FFFFFF"/>
        </w:rPr>
        <w:t>Kitchin, R., 2001. Using Participatory Action. Research Approaches in Geographical Studies of Disability: Some Reflections. </w:t>
      </w:r>
      <w:r w:rsidRPr="00BE2C1D">
        <w:rPr>
          <w:rFonts w:cstheme="minorHAnsi"/>
          <w:i/>
          <w:iCs/>
          <w:shd w:val="clear" w:color="auto" w:fill="FFFFFF"/>
        </w:rPr>
        <w:t>Disability Studies Quarterly</w:t>
      </w:r>
      <w:r w:rsidRPr="00BE2C1D">
        <w:rPr>
          <w:rFonts w:cstheme="minorHAnsi"/>
          <w:shd w:val="clear" w:color="auto" w:fill="FFFFFF"/>
        </w:rPr>
        <w:t>. </w:t>
      </w:r>
      <w:r w:rsidRPr="00BE2C1D">
        <w:rPr>
          <w:rFonts w:cstheme="minorHAnsi"/>
          <w:b/>
          <w:bCs/>
          <w:shd w:val="clear" w:color="auto" w:fill="FFFFFF"/>
        </w:rPr>
        <w:t>21</w:t>
      </w:r>
      <w:r w:rsidRPr="00BE2C1D">
        <w:rPr>
          <w:rFonts w:cstheme="minorHAnsi"/>
          <w:shd w:val="clear" w:color="auto" w:fill="FFFFFF"/>
        </w:rPr>
        <w:t>(4), 61-69.</w:t>
      </w:r>
    </w:p>
    <w:p w14:paraId="3B82CEFE" w14:textId="77777777" w:rsidR="00BE2C1D" w:rsidRPr="00BE2C1D" w:rsidRDefault="00BE2C1D" w:rsidP="00BE2C1D">
      <w:pPr>
        <w:spacing w:line="360" w:lineRule="auto"/>
        <w:rPr>
          <w:rFonts w:cstheme="minorHAnsi"/>
          <w:shd w:val="clear" w:color="auto" w:fill="FFFFFF"/>
        </w:rPr>
      </w:pPr>
      <w:r w:rsidRPr="00BE2C1D">
        <w:rPr>
          <w:rFonts w:cstheme="minorHAnsi"/>
          <w:shd w:val="clear" w:color="auto" w:fill="FFFFFF"/>
        </w:rPr>
        <w:t>Kitchin, R. and Law, R., 2001. The socio-spatial construction of (in) accessible public toilets. </w:t>
      </w:r>
      <w:r w:rsidRPr="00BE2C1D">
        <w:rPr>
          <w:rFonts w:cstheme="minorHAnsi"/>
          <w:i/>
          <w:iCs/>
          <w:shd w:val="clear" w:color="auto" w:fill="FFFFFF"/>
        </w:rPr>
        <w:t>Urban studies</w:t>
      </w:r>
      <w:r w:rsidRPr="00BE2C1D">
        <w:rPr>
          <w:rFonts w:cstheme="minorHAnsi"/>
          <w:shd w:val="clear" w:color="auto" w:fill="FFFFFF"/>
        </w:rPr>
        <w:t>. </w:t>
      </w:r>
      <w:r w:rsidRPr="00BE2C1D">
        <w:rPr>
          <w:rFonts w:cstheme="minorHAnsi"/>
          <w:b/>
          <w:bCs/>
          <w:shd w:val="clear" w:color="auto" w:fill="FFFFFF"/>
        </w:rPr>
        <w:t>38</w:t>
      </w:r>
      <w:r w:rsidRPr="00BE2C1D">
        <w:rPr>
          <w:rFonts w:cstheme="minorHAnsi"/>
          <w:shd w:val="clear" w:color="auto" w:fill="FFFFFF"/>
        </w:rPr>
        <w:t>(2), 287-298.</w:t>
      </w:r>
    </w:p>
    <w:p w14:paraId="244BBF84" w14:textId="77777777" w:rsidR="00BE2C1D" w:rsidRPr="00BE2C1D" w:rsidRDefault="00BE2C1D" w:rsidP="00BE2C1D">
      <w:pPr>
        <w:spacing w:line="360" w:lineRule="auto"/>
        <w:rPr>
          <w:rFonts w:cstheme="minorHAnsi"/>
          <w:shd w:val="clear" w:color="auto" w:fill="FFFFFF"/>
        </w:rPr>
      </w:pPr>
      <w:r w:rsidRPr="00BE2C1D">
        <w:rPr>
          <w:rFonts w:cstheme="minorHAnsi"/>
          <w:shd w:val="clear" w:color="auto" w:fill="FFFFFF"/>
        </w:rPr>
        <w:lastRenderedPageBreak/>
        <w:t>Kleinman, A., Das, V., Lock, M. and Lock, M.M. eds., (1997). </w:t>
      </w:r>
      <w:r w:rsidRPr="00BE2C1D">
        <w:rPr>
          <w:rFonts w:cstheme="minorHAnsi"/>
          <w:i/>
          <w:iCs/>
          <w:shd w:val="clear" w:color="auto" w:fill="FFFFFF"/>
        </w:rPr>
        <w:t>Social suffering</w:t>
      </w:r>
      <w:r w:rsidRPr="00BE2C1D">
        <w:rPr>
          <w:rFonts w:cstheme="minorHAnsi"/>
          <w:shd w:val="clear" w:color="auto" w:fill="FFFFFF"/>
        </w:rPr>
        <w:t>. London: University of California press.</w:t>
      </w:r>
    </w:p>
    <w:p w14:paraId="08FEEB3F" w14:textId="77777777" w:rsidR="00BE2C1D" w:rsidRPr="00BE2C1D" w:rsidRDefault="00BE2C1D" w:rsidP="00BE2C1D">
      <w:pPr>
        <w:spacing w:line="360" w:lineRule="auto"/>
        <w:rPr>
          <w:rFonts w:cstheme="minorHAnsi"/>
          <w:shd w:val="clear" w:color="auto" w:fill="FFFFFF"/>
        </w:rPr>
      </w:pPr>
      <w:r w:rsidRPr="00BE2C1D">
        <w:rPr>
          <w:rFonts w:cstheme="minorHAnsi"/>
          <w:shd w:val="clear" w:color="auto" w:fill="FFFFFF"/>
        </w:rPr>
        <w:t>Klomek, A.B., Sourander, A., Kumpulainen, K., Piha, J., Tamminen, T., Moilanen, I., Almqvist, F. and Gould, M.S., 2008. Childhood bullying as a risk for later depression and suicidal ideation among Finnish males. </w:t>
      </w:r>
      <w:r w:rsidRPr="00BE2C1D">
        <w:rPr>
          <w:rFonts w:cstheme="minorHAnsi"/>
          <w:i/>
          <w:iCs/>
          <w:shd w:val="clear" w:color="auto" w:fill="FFFFFF"/>
        </w:rPr>
        <w:t>Journal of affective disorders</w:t>
      </w:r>
      <w:r w:rsidRPr="00BE2C1D">
        <w:rPr>
          <w:rFonts w:cstheme="minorHAnsi"/>
          <w:shd w:val="clear" w:color="auto" w:fill="FFFFFF"/>
        </w:rPr>
        <w:t>. </w:t>
      </w:r>
      <w:r w:rsidRPr="00BE2C1D">
        <w:rPr>
          <w:rFonts w:cstheme="minorHAnsi"/>
          <w:b/>
          <w:bCs/>
          <w:shd w:val="clear" w:color="auto" w:fill="FFFFFF"/>
        </w:rPr>
        <w:t>109</w:t>
      </w:r>
      <w:r w:rsidRPr="00BE2C1D">
        <w:rPr>
          <w:rFonts w:cstheme="minorHAnsi"/>
          <w:shd w:val="clear" w:color="auto" w:fill="FFFFFF"/>
        </w:rPr>
        <w:t>(1-2), 47-55.</w:t>
      </w:r>
    </w:p>
    <w:p w14:paraId="36937D85" w14:textId="77777777" w:rsidR="00BE2C1D" w:rsidRPr="00BE2C1D" w:rsidRDefault="00BE2C1D" w:rsidP="00BE2C1D">
      <w:pPr>
        <w:spacing w:line="360" w:lineRule="auto"/>
        <w:rPr>
          <w:rFonts w:cstheme="minorHAnsi"/>
          <w:shd w:val="clear" w:color="auto" w:fill="FFFFFF"/>
        </w:rPr>
      </w:pPr>
      <w:r w:rsidRPr="00BE2C1D">
        <w:rPr>
          <w:rFonts w:cstheme="minorHAnsi"/>
          <w:shd w:val="clear" w:color="auto" w:fill="FFFFFF"/>
        </w:rPr>
        <w:t>Kochenderfer-Ladd, B. and Pelletier, M.E., 2008. Teachers' views and beliefs about bullying: Influences on classroom management strategies and students' coping with peer victimization. </w:t>
      </w:r>
      <w:r w:rsidRPr="00BE2C1D">
        <w:rPr>
          <w:rFonts w:cstheme="minorHAnsi"/>
          <w:i/>
          <w:iCs/>
          <w:shd w:val="clear" w:color="auto" w:fill="FFFFFF"/>
        </w:rPr>
        <w:t>Journal of school psychology</w:t>
      </w:r>
      <w:r w:rsidRPr="00BE2C1D">
        <w:rPr>
          <w:rFonts w:cstheme="minorHAnsi"/>
          <w:shd w:val="clear" w:color="auto" w:fill="FFFFFF"/>
        </w:rPr>
        <w:t>. </w:t>
      </w:r>
      <w:r w:rsidRPr="00BE2C1D">
        <w:rPr>
          <w:rFonts w:cstheme="minorHAnsi"/>
          <w:b/>
          <w:bCs/>
          <w:shd w:val="clear" w:color="auto" w:fill="FFFFFF"/>
        </w:rPr>
        <w:t>46</w:t>
      </w:r>
      <w:r w:rsidRPr="00BE2C1D">
        <w:rPr>
          <w:rFonts w:cstheme="minorHAnsi"/>
          <w:shd w:val="clear" w:color="auto" w:fill="FFFFFF"/>
        </w:rPr>
        <w:t>(4), 431-453.</w:t>
      </w:r>
    </w:p>
    <w:p w14:paraId="5343228B" w14:textId="77777777" w:rsidR="00BE2C1D" w:rsidRPr="00BE2C1D" w:rsidRDefault="00BE2C1D" w:rsidP="00BE2C1D">
      <w:pPr>
        <w:spacing w:line="360" w:lineRule="auto"/>
        <w:rPr>
          <w:rFonts w:cstheme="minorHAnsi"/>
          <w:shd w:val="clear" w:color="auto" w:fill="FFFFFF"/>
        </w:rPr>
      </w:pPr>
      <w:r w:rsidRPr="00BE2C1D">
        <w:rPr>
          <w:rFonts w:cstheme="minorHAnsi"/>
          <w:shd w:val="clear" w:color="auto" w:fill="FFFFFF"/>
        </w:rPr>
        <w:t>Kokko, T.H. and Pörhölä, M., 2009. Tackling bullying: Victimized by peers as a pupil, an effective intervener as a teacher?. </w:t>
      </w:r>
      <w:r w:rsidRPr="00BE2C1D">
        <w:rPr>
          <w:rFonts w:cstheme="minorHAnsi"/>
          <w:i/>
          <w:iCs/>
          <w:shd w:val="clear" w:color="auto" w:fill="FFFFFF"/>
        </w:rPr>
        <w:t>Teaching and Teacher Education</w:t>
      </w:r>
      <w:r w:rsidRPr="00BE2C1D">
        <w:rPr>
          <w:rFonts w:cstheme="minorHAnsi"/>
          <w:shd w:val="clear" w:color="auto" w:fill="FFFFFF"/>
        </w:rPr>
        <w:t>. </w:t>
      </w:r>
      <w:r w:rsidRPr="00BE2C1D">
        <w:rPr>
          <w:rFonts w:cstheme="minorHAnsi"/>
          <w:b/>
          <w:bCs/>
          <w:shd w:val="clear" w:color="auto" w:fill="FFFFFF"/>
        </w:rPr>
        <w:t>25</w:t>
      </w:r>
      <w:r w:rsidRPr="00BE2C1D">
        <w:rPr>
          <w:rFonts w:cstheme="minorHAnsi"/>
          <w:shd w:val="clear" w:color="auto" w:fill="FFFFFF"/>
        </w:rPr>
        <w:t>(8), 1000-1008.</w:t>
      </w:r>
    </w:p>
    <w:p w14:paraId="5191166C" w14:textId="77777777" w:rsidR="00BE2C1D" w:rsidRPr="00BE2C1D" w:rsidRDefault="00BE2C1D" w:rsidP="00BE2C1D">
      <w:pPr>
        <w:spacing w:line="360" w:lineRule="auto"/>
        <w:rPr>
          <w:rFonts w:cstheme="minorHAnsi"/>
        </w:rPr>
      </w:pPr>
      <w:r w:rsidRPr="00BE2C1D">
        <w:rPr>
          <w:rFonts w:cstheme="minorHAnsi"/>
        </w:rPr>
        <w:t xml:space="preserve">Kousholt, K., &amp; Fisker, T. B., 2015. Approaches to Reduce Bullying in Schools–A Critical Analysis from the Viewpoint of First‐and Second‐Order Perspectives on Bullying. Children &amp; Society. </w:t>
      </w:r>
      <w:r w:rsidRPr="00BE2C1D">
        <w:rPr>
          <w:rFonts w:cstheme="minorHAnsi"/>
          <w:b/>
          <w:bCs/>
        </w:rPr>
        <w:t>29</w:t>
      </w:r>
      <w:r w:rsidRPr="00BE2C1D">
        <w:rPr>
          <w:rFonts w:cstheme="minorHAnsi"/>
        </w:rPr>
        <w:t>(6), 593-603.</w:t>
      </w:r>
    </w:p>
    <w:p w14:paraId="4616049A" w14:textId="77777777" w:rsidR="00BE2C1D" w:rsidRPr="00BE2C1D" w:rsidRDefault="00BE2C1D" w:rsidP="00BE2C1D">
      <w:pPr>
        <w:spacing w:line="360" w:lineRule="auto"/>
        <w:rPr>
          <w:rFonts w:cstheme="minorHAnsi"/>
          <w:shd w:val="clear" w:color="auto" w:fill="FFFFFF"/>
        </w:rPr>
      </w:pPr>
      <w:r w:rsidRPr="00BE2C1D">
        <w:rPr>
          <w:rFonts w:cstheme="minorHAnsi"/>
          <w:shd w:val="clear" w:color="auto" w:fill="FFFFFF"/>
        </w:rPr>
        <w:t>Kranzler, J.H., Rosenbloom, A.L., Proctor, B., Diamond Jr, F.B. and Watson, M., 2000. Is short stature a handicap? A comparison of the psychosocial functioning of referred and nonreferred children with normal short stature and children with normal stature. </w:t>
      </w:r>
      <w:r w:rsidRPr="00BE2C1D">
        <w:rPr>
          <w:rFonts w:cstheme="minorHAnsi"/>
          <w:i/>
          <w:iCs/>
          <w:shd w:val="clear" w:color="auto" w:fill="FFFFFF"/>
        </w:rPr>
        <w:t>The Journal of paediatrics</w:t>
      </w:r>
      <w:r w:rsidRPr="00BE2C1D">
        <w:rPr>
          <w:rFonts w:cstheme="minorHAnsi"/>
          <w:shd w:val="clear" w:color="auto" w:fill="FFFFFF"/>
        </w:rPr>
        <w:t>. </w:t>
      </w:r>
      <w:r w:rsidRPr="00BE2C1D">
        <w:rPr>
          <w:rFonts w:cstheme="minorHAnsi"/>
          <w:b/>
          <w:bCs/>
          <w:shd w:val="clear" w:color="auto" w:fill="FFFFFF"/>
        </w:rPr>
        <w:t>136</w:t>
      </w:r>
      <w:r w:rsidRPr="00BE2C1D">
        <w:rPr>
          <w:rFonts w:cstheme="minorHAnsi"/>
          <w:shd w:val="clear" w:color="auto" w:fill="FFFFFF"/>
        </w:rPr>
        <w:t>(1), 96-102.</w:t>
      </w:r>
    </w:p>
    <w:p w14:paraId="55BB59D7" w14:textId="77777777" w:rsidR="00BE2C1D" w:rsidRPr="00BE2C1D" w:rsidRDefault="00BE2C1D" w:rsidP="00BE2C1D">
      <w:pPr>
        <w:spacing w:line="360" w:lineRule="auto"/>
        <w:rPr>
          <w:rFonts w:cstheme="minorHAnsi"/>
          <w:shd w:val="clear" w:color="auto" w:fill="FFFFFF"/>
        </w:rPr>
      </w:pPr>
      <w:r w:rsidRPr="00BE2C1D">
        <w:rPr>
          <w:rFonts w:cstheme="minorHAnsi"/>
          <w:shd w:val="clear" w:color="auto" w:fill="FFFFFF"/>
        </w:rPr>
        <w:t>Kristén, L., Patriksson, G. and Fridlund, B., 2002. Conceptions of children and adolescents with physical disabilities about their participation in a sports programme. </w:t>
      </w:r>
      <w:r w:rsidRPr="00BE2C1D">
        <w:rPr>
          <w:rFonts w:cstheme="minorHAnsi"/>
          <w:i/>
          <w:iCs/>
          <w:shd w:val="clear" w:color="auto" w:fill="FFFFFF"/>
        </w:rPr>
        <w:t>European Physical Education Review</w:t>
      </w:r>
      <w:r w:rsidRPr="00BE2C1D">
        <w:rPr>
          <w:rFonts w:cstheme="minorHAnsi"/>
          <w:shd w:val="clear" w:color="auto" w:fill="FFFFFF"/>
        </w:rPr>
        <w:t>. </w:t>
      </w:r>
      <w:r w:rsidRPr="00BE2C1D">
        <w:rPr>
          <w:rFonts w:cstheme="minorHAnsi"/>
          <w:b/>
          <w:bCs/>
          <w:shd w:val="clear" w:color="auto" w:fill="FFFFFF"/>
        </w:rPr>
        <w:t>8</w:t>
      </w:r>
      <w:r w:rsidRPr="00BE2C1D">
        <w:rPr>
          <w:rFonts w:cstheme="minorHAnsi"/>
          <w:shd w:val="clear" w:color="auto" w:fill="FFFFFF"/>
        </w:rPr>
        <w:t>(2), 139-156.</w:t>
      </w:r>
    </w:p>
    <w:p w14:paraId="0F727B67" w14:textId="77777777" w:rsidR="00BE2C1D" w:rsidRPr="00BE2C1D" w:rsidRDefault="00BE2C1D" w:rsidP="00BE2C1D">
      <w:pPr>
        <w:spacing w:line="360" w:lineRule="auto"/>
        <w:rPr>
          <w:rFonts w:cstheme="minorHAnsi"/>
          <w:shd w:val="clear" w:color="auto" w:fill="FCFCFC"/>
        </w:rPr>
      </w:pPr>
      <w:r w:rsidRPr="00BE2C1D">
        <w:rPr>
          <w:rFonts w:cstheme="minorHAnsi"/>
          <w:shd w:val="clear" w:color="auto" w:fill="FCFCFC"/>
        </w:rPr>
        <w:t>Kristeva, J., (1982). </w:t>
      </w:r>
      <w:r w:rsidRPr="00BE2C1D">
        <w:rPr>
          <w:rFonts w:cstheme="minorHAnsi"/>
          <w:i/>
          <w:iCs/>
          <w:shd w:val="clear" w:color="auto" w:fill="FCFCFC"/>
        </w:rPr>
        <w:t>The powers of horror: an essay on abjection</w:t>
      </w:r>
      <w:r w:rsidRPr="00BE2C1D">
        <w:rPr>
          <w:rFonts w:cstheme="minorHAnsi"/>
          <w:shd w:val="clear" w:color="auto" w:fill="FCFCFC"/>
        </w:rPr>
        <w:t>. New York: Columbia University Press.</w:t>
      </w:r>
    </w:p>
    <w:p w14:paraId="35F4E048" w14:textId="77777777" w:rsidR="00BE2C1D" w:rsidRPr="00BE2C1D" w:rsidRDefault="00BE2C1D" w:rsidP="00BE2C1D">
      <w:pPr>
        <w:spacing w:line="360" w:lineRule="auto"/>
        <w:rPr>
          <w:rFonts w:cstheme="minorHAnsi"/>
          <w:shd w:val="clear" w:color="auto" w:fill="FFFFFF"/>
        </w:rPr>
      </w:pPr>
      <w:r w:rsidRPr="00BE2C1D">
        <w:rPr>
          <w:rFonts w:cstheme="minorHAnsi"/>
          <w:shd w:val="clear" w:color="auto" w:fill="FFFFFF"/>
        </w:rPr>
        <w:t>Kruse, R.J., 2002. Social spaces of little people: The experiences of the Jamisons. </w:t>
      </w:r>
      <w:r w:rsidRPr="00BE2C1D">
        <w:rPr>
          <w:rFonts w:cstheme="minorHAnsi"/>
          <w:i/>
          <w:iCs/>
          <w:shd w:val="clear" w:color="auto" w:fill="FFFFFF"/>
        </w:rPr>
        <w:t>Social &amp; Cultural Geography</w:t>
      </w:r>
      <w:r w:rsidRPr="00BE2C1D">
        <w:rPr>
          <w:rFonts w:cstheme="minorHAnsi"/>
          <w:shd w:val="clear" w:color="auto" w:fill="FFFFFF"/>
        </w:rPr>
        <w:t>. </w:t>
      </w:r>
      <w:r w:rsidRPr="00BE2C1D">
        <w:rPr>
          <w:rFonts w:cstheme="minorHAnsi"/>
          <w:b/>
          <w:bCs/>
          <w:i/>
          <w:iCs/>
          <w:shd w:val="clear" w:color="auto" w:fill="FFFFFF"/>
        </w:rPr>
        <w:t>3</w:t>
      </w:r>
      <w:r w:rsidRPr="00BE2C1D">
        <w:rPr>
          <w:rFonts w:cstheme="minorHAnsi"/>
          <w:shd w:val="clear" w:color="auto" w:fill="FFFFFF"/>
        </w:rPr>
        <w:t>(2), 175-191.</w:t>
      </w:r>
    </w:p>
    <w:p w14:paraId="0E4CF709" w14:textId="77777777" w:rsidR="00BE2C1D" w:rsidRPr="00BE2C1D" w:rsidRDefault="00BE2C1D" w:rsidP="00BE2C1D">
      <w:pPr>
        <w:spacing w:line="360" w:lineRule="auto"/>
        <w:rPr>
          <w:rFonts w:cstheme="minorHAnsi"/>
          <w:shd w:val="clear" w:color="auto" w:fill="FFFFFF"/>
        </w:rPr>
      </w:pPr>
      <w:r w:rsidRPr="00BE2C1D">
        <w:rPr>
          <w:rFonts w:cstheme="minorHAnsi"/>
          <w:shd w:val="clear" w:color="auto" w:fill="FFFFFF"/>
        </w:rPr>
        <w:t>Kruse, II, R.J., 2003. Narrating intersections of gender and dwarfism in everyday spaces. </w:t>
      </w:r>
      <w:r w:rsidRPr="00BE2C1D">
        <w:rPr>
          <w:rFonts w:cstheme="minorHAnsi"/>
          <w:i/>
          <w:iCs/>
          <w:shd w:val="clear" w:color="auto" w:fill="FFFFFF"/>
        </w:rPr>
        <w:t>Canadian Geographer/Le Géographe canadien</w:t>
      </w:r>
      <w:r w:rsidRPr="00BE2C1D">
        <w:rPr>
          <w:rFonts w:cstheme="minorHAnsi"/>
          <w:shd w:val="clear" w:color="auto" w:fill="FFFFFF"/>
        </w:rPr>
        <w:t>. </w:t>
      </w:r>
      <w:r w:rsidRPr="00BE2C1D">
        <w:rPr>
          <w:rFonts w:cstheme="minorHAnsi"/>
          <w:b/>
          <w:bCs/>
          <w:shd w:val="clear" w:color="auto" w:fill="FFFFFF"/>
        </w:rPr>
        <w:t>47</w:t>
      </w:r>
      <w:r w:rsidRPr="00BE2C1D">
        <w:rPr>
          <w:rFonts w:cstheme="minorHAnsi"/>
          <w:shd w:val="clear" w:color="auto" w:fill="FFFFFF"/>
        </w:rPr>
        <w:t>(4), 494-508.</w:t>
      </w:r>
    </w:p>
    <w:p w14:paraId="39ADD5AF" w14:textId="77777777" w:rsidR="00BE2C1D" w:rsidRPr="00BE2C1D" w:rsidRDefault="00BE2C1D" w:rsidP="00BE2C1D">
      <w:pPr>
        <w:spacing w:line="360" w:lineRule="auto"/>
        <w:rPr>
          <w:rFonts w:cstheme="minorHAnsi"/>
          <w:shd w:val="clear" w:color="auto" w:fill="FFFFFF"/>
        </w:rPr>
      </w:pPr>
      <w:r w:rsidRPr="00BE2C1D">
        <w:rPr>
          <w:rFonts w:cstheme="minorHAnsi"/>
          <w:shd w:val="clear" w:color="auto" w:fill="FFFFFF"/>
        </w:rPr>
        <w:t xml:space="preserve">Ktenidis, A. (2014). </w:t>
      </w:r>
      <w:r w:rsidRPr="00BE2C1D">
        <w:rPr>
          <w:rFonts w:cstheme="minorHAnsi"/>
          <w:i/>
          <w:iCs/>
          <w:shd w:val="clear" w:color="auto" w:fill="FFFFFF"/>
        </w:rPr>
        <w:t>Secondary educational experiences of people with restricted growth: a qualitative research.</w:t>
      </w:r>
      <w:r w:rsidRPr="00BE2C1D">
        <w:rPr>
          <w:rFonts w:cstheme="minorHAnsi"/>
          <w:shd w:val="clear" w:color="auto" w:fill="FFFFFF"/>
        </w:rPr>
        <w:t xml:space="preserve"> M.A. Dissertation, University College London.</w:t>
      </w:r>
    </w:p>
    <w:p w14:paraId="5CEB6401" w14:textId="77777777" w:rsidR="00BE2C1D" w:rsidRPr="00BE2C1D" w:rsidRDefault="00BE2C1D" w:rsidP="00BE2C1D">
      <w:pPr>
        <w:spacing w:line="360" w:lineRule="auto"/>
        <w:rPr>
          <w:rFonts w:cstheme="minorHAnsi"/>
          <w:shd w:val="clear" w:color="auto" w:fill="FFFFFF"/>
        </w:rPr>
      </w:pPr>
      <w:r w:rsidRPr="00BE2C1D">
        <w:rPr>
          <w:rFonts w:cstheme="minorHAnsi"/>
          <w:shd w:val="clear" w:color="auto" w:fill="FFFFFF"/>
        </w:rPr>
        <w:t xml:space="preserve">Ktenidis, A. (2017). Short Studies Justice: From “Arborescent” to “Rhizomatic” Growth. [Paper Presentation] In:  Canadian Disability Studies Association-Association Canadienne des Études sur </w:t>
      </w:r>
      <w:r w:rsidRPr="00BE2C1D">
        <w:rPr>
          <w:rFonts w:cstheme="minorHAnsi"/>
          <w:shd w:val="clear" w:color="auto" w:fill="FFFFFF"/>
        </w:rPr>
        <w:lastRenderedPageBreak/>
        <w:t>L’Incapacité, May 31 – June 2, 2017 Congress of the Humanities and Social Sciences, Ryerson University, Toronto, Ontario.</w:t>
      </w:r>
    </w:p>
    <w:p w14:paraId="4D685480" w14:textId="77777777" w:rsidR="00BE2C1D" w:rsidRPr="00BE2C1D" w:rsidRDefault="00BE2C1D" w:rsidP="00BE2C1D">
      <w:pPr>
        <w:spacing w:line="360" w:lineRule="auto"/>
        <w:rPr>
          <w:rFonts w:cstheme="minorHAnsi"/>
          <w:shd w:val="clear" w:color="auto" w:fill="FFFFFF"/>
        </w:rPr>
      </w:pPr>
      <w:r w:rsidRPr="00BE2C1D">
        <w:rPr>
          <w:rFonts w:cstheme="minorHAnsi"/>
          <w:shd w:val="clear" w:color="auto" w:fill="FFFFFF"/>
        </w:rPr>
        <w:t xml:space="preserve">Ktenidis, A. (2020). The Production of The Suffering Child/Young Person with Restricted Growth: who’s/whose Suffering? In: D. Goodley, K. Runswic-Cole, K. Liddiard, eds. </w:t>
      </w:r>
      <w:r w:rsidRPr="00BE2C1D">
        <w:rPr>
          <w:rFonts w:cstheme="minorHAnsi"/>
          <w:i/>
          <w:iCs/>
          <w:shd w:val="clear" w:color="auto" w:fill="FFFFFF"/>
        </w:rPr>
        <w:t>Interventions in Disabled Childhood Studies.</w:t>
      </w:r>
      <w:r w:rsidRPr="00BE2C1D">
        <w:rPr>
          <w:rFonts w:cstheme="minorHAnsi"/>
          <w:shd w:val="clear" w:color="auto" w:fill="FFFFFF"/>
        </w:rPr>
        <w:t xml:space="preserve"> Sheffield: iHuman Press. 2020. Chapter 16.</w:t>
      </w:r>
    </w:p>
    <w:p w14:paraId="367EA00C" w14:textId="77777777" w:rsidR="00BE2C1D" w:rsidRPr="00BE2C1D" w:rsidRDefault="00BE2C1D" w:rsidP="00BE2C1D">
      <w:pPr>
        <w:spacing w:line="360" w:lineRule="auto"/>
        <w:rPr>
          <w:rFonts w:cstheme="minorHAnsi"/>
          <w:shd w:val="clear" w:color="auto" w:fill="FFFFFF"/>
        </w:rPr>
      </w:pPr>
      <w:r w:rsidRPr="00BE2C1D">
        <w:rPr>
          <w:rFonts w:cstheme="minorHAnsi"/>
          <w:shd w:val="clear" w:color="auto" w:fill="FFFFFF"/>
        </w:rPr>
        <w:t>Ktenidis, A., Goodley D., (2019).</w:t>
      </w:r>
      <w:r w:rsidRPr="00BE2C1D">
        <w:rPr>
          <w:rFonts w:cstheme="minorHAnsi"/>
        </w:rPr>
        <w:t xml:space="preserve"> Handicap: rencontres humaines et posthumaines.</w:t>
      </w:r>
      <w:r w:rsidRPr="00BE2C1D">
        <w:rPr>
          <w:rFonts w:cstheme="minorHAnsi"/>
          <w:shd w:val="clear" w:color="auto" w:fill="FFFFFF"/>
        </w:rPr>
        <w:t xml:space="preserve"> In: Jean-Pierre Tabin, J,-P.,Piecek, M., Perrin, C., Probst, I. eds. </w:t>
      </w:r>
      <w:r w:rsidRPr="00BE2C1D">
        <w:rPr>
          <w:rFonts w:cstheme="minorHAnsi"/>
          <w:i/>
          <w:iCs/>
          <w:shd w:val="clear" w:color="auto" w:fill="FFFFFF"/>
        </w:rPr>
        <w:t xml:space="preserve">Repenser la normalité Perspectives critiques sur le handicap. </w:t>
      </w:r>
      <w:r w:rsidRPr="00BE2C1D">
        <w:rPr>
          <w:rFonts w:cstheme="minorHAnsi"/>
          <w:shd w:val="clear" w:color="auto" w:fill="FFFFFF"/>
        </w:rPr>
        <w:t>pp. 87-106.</w:t>
      </w:r>
    </w:p>
    <w:p w14:paraId="32CEB544" w14:textId="77777777" w:rsidR="00BE2C1D" w:rsidRPr="00BE2C1D" w:rsidRDefault="00BE2C1D" w:rsidP="00BE2C1D">
      <w:pPr>
        <w:spacing w:line="360" w:lineRule="auto"/>
        <w:rPr>
          <w:rFonts w:cstheme="minorHAnsi"/>
          <w:shd w:val="clear" w:color="auto" w:fill="FFFFFF"/>
        </w:rPr>
      </w:pPr>
      <w:r w:rsidRPr="00BE2C1D">
        <w:rPr>
          <w:rFonts w:cstheme="minorHAnsi"/>
          <w:shd w:val="clear" w:color="auto" w:fill="FFFFFF"/>
        </w:rPr>
        <w:t>Kumpulainen, K., Räsänen, E. and Puura, K., 2001. Psychiatric disorders and the use of mental health services among children involved in bullying. </w:t>
      </w:r>
      <w:r w:rsidRPr="00BE2C1D">
        <w:rPr>
          <w:rFonts w:cstheme="minorHAnsi"/>
          <w:i/>
          <w:iCs/>
          <w:shd w:val="clear" w:color="auto" w:fill="FFFFFF"/>
        </w:rPr>
        <w:t>Aggressive Behavior: Official Journal of the International Society for Research on Aggression</w:t>
      </w:r>
      <w:r w:rsidRPr="00BE2C1D">
        <w:rPr>
          <w:rFonts w:cstheme="minorHAnsi"/>
          <w:shd w:val="clear" w:color="auto" w:fill="FFFFFF"/>
        </w:rPr>
        <w:t>. </w:t>
      </w:r>
      <w:r w:rsidRPr="00BE2C1D">
        <w:rPr>
          <w:rFonts w:cstheme="minorHAnsi"/>
          <w:b/>
          <w:bCs/>
          <w:shd w:val="clear" w:color="auto" w:fill="FFFFFF"/>
        </w:rPr>
        <w:t>27</w:t>
      </w:r>
      <w:r w:rsidRPr="00BE2C1D">
        <w:rPr>
          <w:rFonts w:cstheme="minorHAnsi"/>
          <w:shd w:val="clear" w:color="auto" w:fill="FFFFFF"/>
        </w:rPr>
        <w:t>(2), 102-110.</w:t>
      </w:r>
    </w:p>
    <w:p w14:paraId="3F0CC16D" w14:textId="77777777" w:rsidR="00BE2C1D" w:rsidRPr="00BE2C1D" w:rsidRDefault="00BE2C1D" w:rsidP="00BE2C1D">
      <w:pPr>
        <w:spacing w:line="360" w:lineRule="auto"/>
        <w:jc w:val="both"/>
        <w:rPr>
          <w:rFonts w:cstheme="minorHAnsi"/>
          <w:shd w:val="clear" w:color="auto" w:fill="FFFFFF"/>
        </w:rPr>
      </w:pPr>
      <w:r w:rsidRPr="00BE2C1D">
        <w:rPr>
          <w:rFonts w:cstheme="minorHAnsi"/>
          <w:shd w:val="clear" w:color="auto" w:fill="FFFFFF"/>
        </w:rPr>
        <w:t>Kvale, S., 2007. Analyzing interviews. In. S. Kvale, ed. </w:t>
      </w:r>
      <w:r w:rsidRPr="00BE2C1D">
        <w:rPr>
          <w:rFonts w:cstheme="minorHAnsi"/>
          <w:i/>
          <w:iCs/>
          <w:shd w:val="clear" w:color="auto" w:fill="FFFFFF"/>
        </w:rPr>
        <w:t>Doing interviews</w:t>
      </w:r>
      <w:r w:rsidRPr="00BE2C1D">
        <w:rPr>
          <w:rFonts w:cstheme="minorHAnsi"/>
          <w:shd w:val="clear" w:color="auto" w:fill="FFFFFF"/>
        </w:rPr>
        <w:t>. London: Sage. pp.102-120.</w:t>
      </w:r>
    </w:p>
    <w:p w14:paraId="676556A0" w14:textId="77777777" w:rsidR="00BE2C1D" w:rsidRPr="00BE2C1D" w:rsidRDefault="00BE2C1D" w:rsidP="00BE2C1D">
      <w:pPr>
        <w:spacing w:line="360" w:lineRule="auto"/>
        <w:rPr>
          <w:rFonts w:cstheme="minorHAnsi"/>
          <w:shd w:val="clear" w:color="auto" w:fill="FFFFFF"/>
        </w:rPr>
      </w:pPr>
      <w:r w:rsidRPr="00BE2C1D">
        <w:rPr>
          <w:rFonts w:cstheme="minorHAnsi"/>
          <w:shd w:val="clear" w:color="auto" w:fill="FFFFFF"/>
        </w:rPr>
        <w:t>Lalvani, P., 2015. Disability, stigma and otherness: Perspectives of parents and teachers. </w:t>
      </w:r>
      <w:r w:rsidRPr="00BE2C1D">
        <w:rPr>
          <w:rFonts w:cstheme="minorHAnsi"/>
          <w:i/>
          <w:iCs/>
          <w:shd w:val="clear" w:color="auto" w:fill="FFFFFF"/>
        </w:rPr>
        <w:t>International Journal of Disability, Development and Education</w:t>
      </w:r>
      <w:r w:rsidRPr="00BE2C1D">
        <w:rPr>
          <w:rFonts w:cstheme="minorHAnsi"/>
          <w:shd w:val="clear" w:color="auto" w:fill="FFFFFF"/>
        </w:rPr>
        <w:t>. </w:t>
      </w:r>
      <w:r w:rsidRPr="00BE2C1D">
        <w:rPr>
          <w:rFonts w:cstheme="minorHAnsi"/>
          <w:b/>
          <w:bCs/>
          <w:shd w:val="clear" w:color="auto" w:fill="FFFFFF"/>
        </w:rPr>
        <w:t>62</w:t>
      </w:r>
      <w:r w:rsidRPr="00BE2C1D">
        <w:rPr>
          <w:rFonts w:cstheme="minorHAnsi"/>
          <w:shd w:val="clear" w:color="auto" w:fill="FFFFFF"/>
        </w:rPr>
        <w:t>(4), 379-393.</w:t>
      </w:r>
    </w:p>
    <w:p w14:paraId="35B924C6" w14:textId="77777777" w:rsidR="00BE2C1D" w:rsidRPr="00BE2C1D" w:rsidRDefault="00BE2C1D" w:rsidP="00BE2C1D">
      <w:pPr>
        <w:spacing w:line="360" w:lineRule="auto"/>
        <w:rPr>
          <w:rFonts w:cstheme="minorHAnsi"/>
          <w:shd w:val="clear" w:color="auto" w:fill="FFFFFF"/>
        </w:rPr>
      </w:pPr>
      <w:r w:rsidRPr="00BE2C1D">
        <w:rPr>
          <w:rFonts w:cstheme="minorHAnsi"/>
          <w:shd w:val="clear" w:color="auto" w:fill="FFFFFF"/>
        </w:rPr>
        <w:t>Landahl, J., 2013. The eye of power (-lessness): On the emergence of the panoptical and synoptical classroom. </w:t>
      </w:r>
      <w:r w:rsidRPr="00BE2C1D">
        <w:rPr>
          <w:rFonts w:cstheme="minorHAnsi"/>
          <w:i/>
          <w:iCs/>
          <w:shd w:val="clear" w:color="auto" w:fill="FFFFFF"/>
        </w:rPr>
        <w:t>History of Education</w:t>
      </w:r>
      <w:r w:rsidRPr="00BE2C1D">
        <w:rPr>
          <w:rFonts w:cstheme="minorHAnsi"/>
          <w:shd w:val="clear" w:color="auto" w:fill="FFFFFF"/>
        </w:rPr>
        <w:t>. </w:t>
      </w:r>
      <w:r w:rsidRPr="00BE2C1D">
        <w:rPr>
          <w:rFonts w:cstheme="minorHAnsi"/>
          <w:b/>
          <w:bCs/>
          <w:shd w:val="clear" w:color="auto" w:fill="FFFFFF"/>
        </w:rPr>
        <w:t>42</w:t>
      </w:r>
      <w:r w:rsidRPr="00BE2C1D">
        <w:rPr>
          <w:rFonts w:cstheme="minorHAnsi"/>
          <w:shd w:val="clear" w:color="auto" w:fill="FFFFFF"/>
        </w:rPr>
        <w:t>(6), 803-821.</w:t>
      </w:r>
    </w:p>
    <w:p w14:paraId="1AC481F2" w14:textId="77777777" w:rsidR="00BE2C1D" w:rsidRPr="00BE2C1D" w:rsidRDefault="00BE2C1D" w:rsidP="00BE2C1D">
      <w:pPr>
        <w:spacing w:line="360" w:lineRule="auto"/>
        <w:rPr>
          <w:rFonts w:cstheme="minorHAnsi"/>
          <w:shd w:val="clear" w:color="auto" w:fill="FFFFFF"/>
        </w:rPr>
      </w:pPr>
      <w:r w:rsidRPr="00BE2C1D">
        <w:rPr>
          <w:rFonts w:cstheme="minorHAnsi"/>
          <w:shd w:val="clear" w:color="auto" w:fill="FFFFFF"/>
        </w:rPr>
        <w:t>Law, C.M., 1987. The disability of short stature. </w:t>
      </w:r>
      <w:r w:rsidRPr="00BE2C1D">
        <w:rPr>
          <w:rFonts w:cstheme="minorHAnsi"/>
          <w:i/>
          <w:iCs/>
          <w:shd w:val="clear" w:color="auto" w:fill="FFFFFF"/>
        </w:rPr>
        <w:t>Archives of disease in childhood</w:t>
      </w:r>
      <w:r w:rsidRPr="00BE2C1D">
        <w:rPr>
          <w:rFonts w:cstheme="minorHAnsi"/>
          <w:shd w:val="clear" w:color="auto" w:fill="FFFFFF"/>
        </w:rPr>
        <w:t>. </w:t>
      </w:r>
      <w:r w:rsidRPr="00BE2C1D">
        <w:rPr>
          <w:rFonts w:cstheme="minorHAnsi"/>
          <w:b/>
          <w:bCs/>
          <w:shd w:val="clear" w:color="auto" w:fill="FFFFFF"/>
        </w:rPr>
        <w:t>62</w:t>
      </w:r>
      <w:r w:rsidRPr="00BE2C1D">
        <w:rPr>
          <w:rFonts w:cstheme="minorHAnsi"/>
          <w:shd w:val="clear" w:color="auto" w:fill="FFFFFF"/>
        </w:rPr>
        <w:t xml:space="preserve">(8), 855-859. </w:t>
      </w:r>
    </w:p>
    <w:p w14:paraId="7FB9D55C" w14:textId="77777777" w:rsidR="00BE2C1D" w:rsidRPr="00BE2C1D" w:rsidRDefault="00BE2C1D" w:rsidP="00BE2C1D">
      <w:pPr>
        <w:shd w:val="clear" w:color="auto" w:fill="FCFCFC"/>
        <w:spacing w:after="120" w:line="360" w:lineRule="auto"/>
        <w:rPr>
          <w:rFonts w:eastAsia="Times New Roman" w:cstheme="minorHAnsi"/>
          <w:lang w:eastAsia="en-GB"/>
        </w:rPr>
      </w:pPr>
      <w:r w:rsidRPr="00BE2C1D">
        <w:rPr>
          <w:rFonts w:eastAsia="Times New Roman" w:cstheme="minorHAnsi"/>
          <w:lang w:eastAsia="en-GB"/>
        </w:rPr>
        <w:t>Leder, D. (1990). </w:t>
      </w:r>
      <w:r w:rsidRPr="00BE2C1D">
        <w:rPr>
          <w:rFonts w:eastAsia="Times New Roman" w:cstheme="minorHAnsi"/>
          <w:i/>
          <w:iCs/>
          <w:lang w:eastAsia="en-GB"/>
        </w:rPr>
        <w:t>The absent body</w:t>
      </w:r>
      <w:r w:rsidRPr="00BE2C1D">
        <w:rPr>
          <w:rFonts w:eastAsia="Times New Roman" w:cstheme="minorHAnsi"/>
          <w:lang w:eastAsia="en-GB"/>
        </w:rPr>
        <w:t>. Chicago and London: The University of Chicago Press.</w:t>
      </w:r>
    </w:p>
    <w:p w14:paraId="173B3052" w14:textId="77777777" w:rsidR="00BE2C1D" w:rsidRPr="00BE2C1D" w:rsidRDefault="00BE2C1D" w:rsidP="00BE2C1D">
      <w:pPr>
        <w:spacing w:line="360" w:lineRule="auto"/>
        <w:rPr>
          <w:rFonts w:cstheme="minorHAnsi"/>
          <w:shd w:val="clear" w:color="auto" w:fill="FFFFFF"/>
        </w:rPr>
      </w:pPr>
      <w:r w:rsidRPr="00BE2C1D">
        <w:rPr>
          <w:rFonts w:cstheme="minorHAnsi"/>
          <w:shd w:val="clear" w:color="auto" w:fill="FFFFFF"/>
        </w:rPr>
        <w:t>Lee, J. M., Appugliese, D., Coleman, S.M., Kaciroti, N., Corwyn, R.F., Bradley, R.H., Sandberg, D.E. and Lumeng, J.C., 2009. Short stature in a population-based cohort: social, emotional, and behavioral functioning. </w:t>
      </w:r>
      <w:r w:rsidRPr="00BE2C1D">
        <w:rPr>
          <w:rFonts w:cstheme="minorHAnsi"/>
          <w:i/>
          <w:iCs/>
          <w:shd w:val="clear" w:color="auto" w:fill="FFFFFF"/>
        </w:rPr>
        <w:t>Pediatrics</w:t>
      </w:r>
      <w:r w:rsidRPr="00BE2C1D">
        <w:rPr>
          <w:rFonts w:cstheme="minorHAnsi"/>
          <w:shd w:val="clear" w:color="auto" w:fill="FFFFFF"/>
        </w:rPr>
        <w:t>. </w:t>
      </w:r>
      <w:r w:rsidRPr="00BE2C1D">
        <w:rPr>
          <w:rFonts w:cstheme="minorHAnsi"/>
          <w:b/>
          <w:bCs/>
          <w:shd w:val="clear" w:color="auto" w:fill="FFFFFF"/>
        </w:rPr>
        <w:t>124</w:t>
      </w:r>
      <w:r w:rsidRPr="00BE2C1D">
        <w:rPr>
          <w:rFonts w:cstheme="minorHAnsi"/>
          <w:shd w:val="clear" w:color="auto" w:fill="FFFFFF"/>
        </w:rPr>
        <w:t>(3), 903-910.</w:t>
      </w:r>
    </w:p>
    <w:p w14:paraId="54B9840B" w14:textId="77777777" w:rsidR="00BE2C1D" w:rsidRPr="00BE2C1D" w:rsidRDefault="00BE2C1D" w:rsidP="00BE2C1D">
      <w:pPr>
        <w:spacing w:line="360" w:lineRule="auto"/>
        <w:rPr>
          <w:rFonts w:cstheme="minorHAnsi"/>
          <w:shd w:val="clear" w:color="auto" w:fill="FFFFFF"/>
        </w:rPr>
      </w:pPr>
      <w:r w:rsidRPr="00BE2C1D">
        <w:rPr>
          <w:rFonts w:cstheme="minorHAnsi"/>
          <w:shd w:val="clear" w:color="auto" w:fill="FFFFFF"/>
        </w:rPr>
        <w:t>Lee, P.D. and Rosenfeld, R.G., 1987. Psychosocial correlates of short stature and delayed puberty. </w:t>
      </w:r>
      <w:r w:rsidRPr="00BE2C1D">
        <w:rPr>
          <w:rFonts w:cstheme="minorHAnsi"/>
          <w:i/>
          <w:iCs/>
          <w:shd w:val="clear" w:color="auto" w:fill="FFFFFF"/>
        </w:rPr>
        <w:t>Pediatric Clinics of North America</w:t>
      </w:r>
      <w:r w:rsidRPr="00BE2C1D">
        <w:rPr>
          <w:rFonts w:cstheme="minorHAnsi"/>
          <w:shd w:val="clear" w:color="auto" w:fill="FFFFFF"/>
        </w:rPr>
        <w:t>. </w:t>
      </w:r>
      <w:r w:rsidRPr="00BE2C1D">
        <w:rPr>
          <w:rFonts w:cstheme="minorHAnsi"/>
          <w:b/>
          <w:bCs/>
          <w:shd w:val="clear" w:color="auto" w:fill="FFFFFF"/>
        </w:rPr>
        <w:t>34</w:t>
      </w:r>
      <w:r w:rsidRPr="00BE2C1D">
        <w:rPr>
          <w:rFonts w:cstheme="minorHAnsi"/>
          <w:shd w:val="clear" w:color="auto" w:fill="FFFFFF"/>
        </w:rPr>
        <w:t>(4), 851-863.</w:t>
      </w:r>
    </w:p>
    <w:p w14:paraId="6C0B740F" w14:textId="77777777" w:rsidR="00BE2C1D" w:rsidRPr="00BE2C1D" w:rsidRDefault="00BE2C1D" w:rsidP="00BE2C1D">
      <w:pPr>
        <w:spacing w:line="360" w:lineRule="auto"/>
        <w:rPr>
          <w:rFonts w:cstheme="minorHAnsi"/>
          <w:shd w:val="clear" w:color="auto" w:fill="FFFFFF"/>
        </w:rPr>
      </w:pPr>
      <w:r w:rsidRPr="00BE2C1D">
        <w:rPr>
          <w:rFonts w:cstheme="minorHAnsi"/>
          <w:shd w:val="clear" w:color="auto" w:fill="FFFFFF"/>
        </w:rPr>
        <w:t>LeFrançois, B.A. and Diamond, S., 2014. Queering the sociology of diagnosis: Children and the constituting of ‘mentally ill’ subjects. </w:t>
      </w:r>
      <w:r w:rsidRPr="00BE2C1D">
        <w:rPr>
          <w:rFonts w:cstheme="minorHAnsi"/>
          <w:i/>
          <w:iCs/>
          <w:shd w:val="clear" w:color="auto" w:fill="FFFFFF"/>
        </w:rPr>
        <w:t>Journal of Critical Anti-Oppressive Social Inquiry</w:t>
      </w:r>
      <w:r w:rsidRPr="00BE2C1D">
        <w:rPr>
          <w:rFonts w:cstheme="minorHAnsi"/>
          <w:shd w:val="clear" w:color="auto" w:fill="FFFFFF"/>
        </w:rPr>
        <w:t>. </w:t>
      </w:r>
      <w:r w:rsidRPr="00BE2C1D">
        <w:rPr>
          <w:rFonts w:cstheme="minorHAnsi"/>
          <w:b/>
          <w:bCs/>
          <w:shd w:val="clear" w:color="auto" w:fill="FFFFFF"/>
        </w:rPr>
        <w:t>1</w:t>
      </w:r>
      <w:r w:rsidRPr="00BE2C1D">
        <w:rPr>
          <w:rFonts w:cstheme="minorHAnsi"/>
          <w:shd w:val="clear" w:color="auto" w:fill="FFFFFF"/>
        </w:rPr>
        <w:t>(1).</w:t>
      </w:r>
    </w:p>
    <w:p w14:paraId="0E704A08" w14:textId="77777777" w:rsidR="00BE2C1D" w:rsidRPr="00BE2C1D" w:rsidRDefault="00BE2C1D" w:rsidP="00BE2C1D">
      <w:pPr>
        <w:spacing w:line="360" w:lineRule="auto"/>
        <w:jc w:val="both"/>
        <w:rPr>
          <w:rFonts w:cstheme="minorHAnsi"/>
        </w:rPr>
      </w:pPr>
      <w:r w:rsidRPr="00BE2C1D">
        <w:rPr>
          <w:rFonts w:cstheme="minorHAnsi"/>
          <w:shd w:val="clear" w:color="auto" w:fill="FFFFFF"/>
        </w:rPr>
        <w:t>Liasidou, A., 2013. Intersectional understandings of disability and implications for a social justice reform agenda in education policy and practice. </w:t>
      </w:r>
      <w:r w:rsidRPr="00BE2C1D">
        <w:rPr>
          <w:rFonts w:cstheme="minorHAnsi"/>
          <w:i/>
          <w:iCs/>
          <w:shd w:val="clear" w:color="auto" w:fill="FFFFFF"/>
        </w:rPr>
        <w:t>Disability &amp; Society</w:t>
      </w:r>
      <w:r w:rsidRPr="00BE2C1D">
        <w:rPr>
          <w:rFonts w:cstheme="minorHAnsi"/>
          <w:shd w:val="clear" w:color="auto" w:fill="FFFFFF"/>
        </w:rPr>
        <w:t>. </w:t>
      </w:r>
      <w:r w:rsidRPr="00BE2C1D">
        <w:rPr>
          <w:rFonts w:cstheme="minorHAnsi"/>
          <w:b/>
          <w:bCs/>
          <w:shd w:val="clear" w:color="auto" w:fill="FFFFFF"/>
        </w:rPr>
        <w:t>28</w:t>
      </w:r>
      <w:r w:rsidRPr="00BE2C1D">
        <w:rPr>
          <w:rFonts w:cstheme="minorHAnsi"/>
          <w:shd w:val="clear" w:color="auto" w:fill="FFFFFF"/>
        </w:rPr>
        <w:t>(3), 299-312.</w:t>
      </w:r>
    </w:p>
    <w:p w14:paraId="04D4BBA6" w14:textId="77777777" w:rsidR="00BE2C1D" w:rsidRPr="00BE2C1D" w:rsidRDefault="00BE2C1D" w:rsidP="00BE2C1D">
      <w:pPr>
        <w:spacing w:line="360" w:lineRule="auto"/>
        <w:jc w:val="both"/>
        <w:rPr>
          <w:rFonts w:cstheme="minorHAnsi"/>
          <w:lang w:val="en-US"/>
        </w:rPr>
      </w:pPr>
      <w:r w:rsidRPr="00BE2C1D">
        <w:rPr>
          <w:rFonts w:cstheme="minorHAnsi"/>
          <w:shd w:val="clear" w:color="auto" w:fill="FFFFFF"/>
        </w:rPr>
        <w:t>Liddiard, K., 2013. Reflections on the process of researching disabled people's sexual lives. </w:t>
      </w:r>
      <w:r w:rsidRPr="00BE2C1D">
        <w:rPr>
          <w:rFonts w:cstheme="minorHAnsi"/>
          <w:i/>
          <w:iCs/>
          <w:shd w:val="clear" w:color="auto" w:fill="FFFFFF"/>
        </w:rPr>
        <w:t>Sociological Research Online</w:t>
      </w:r>
      <w:r w:rsidRPr="00BE2C1D">
        <w:rPr>
          <w:rFonts w:cstheme="minorHAnsi"/>
          <w:shd w:val="clear" w:color="auto" w:fill="FFFFFF"/>
        </w:rPr>
        <w:t>. </w:t>
      </w:r>
      <w:r w:rsidRPr="00BE2C1D">
        <w:rPr>
          <w:rFonts w:cstheme="minorHAnsi"/>
          <w:b/>
          <w:bCs/>
          <w:shd w:val="clear" w:color="auto" w:fill="FFFFFF"/>
        </w:rPr>
        <w:t>18</w:t>
      </w:r>
      <w:r w:rsidRPr="00BE2C1D">
        <w:rPr>
          <w:rFonts w:cstheme="minorHAnsi"/>
          <w:shd w:val="clear" w:color="auto" w:fill="FFFFFF"/>
        </w:rPr>
        <w:t>(3), 1-13.</w:t>
      </w:r>
    </w:p>
    <w:p w14:paraId="702F7F42" w14:textId="77777777" w:rsidR="00BE2C1D" w:rsidRPr="00BE2C1D" w:rsidRDefault="00BE2C1D" w:rsidP="00BE2C1D">
      <w:pPr>
        <w:spacing w:line="360" w:lineRule="auto"/>
        <w:jc w:val="both"/>
        <w:rPr>
          <w:rFonts w:cstheme="minorHAnsi"/>
          <w:lang w:val="en-US"/>
        </w:rPr>
      </w:pPr>
      <w:r w:rsidRPr="00BE2C1D">
        <w:rPr>
          <w:rFonts w:cstheme="minorHAnsi"/>
        </w:rPr>
        <w:lastRenderedPageBreak/>
        <w:t>Liddiard, K., (2018). The Intimate Lives of Disabled People. London: Routledge.</w:t>
      </w:r>
    </w:p>
    <w:p w14:paraId="6931EA67" w14:textId="77777777" w:rsidR="00BE2C1D" w:rsidRPr="00BE2C1D" w:rsidRDefault="00BE2C1D" w:rsidP="00BE2C1D">
      <w:pPr>
        <w:spacing w:line="360" w:lineRule="auto"/>
        <w:rPr>
          <w:rFonts w:cstheme="minorHAnsi"/>
          <w:shd w:val="clear" w:color="auto" w:fill="FFFFFF"/>
        </w:rPr>
      </w:pPr>
      <w:r w:rsidRPr="00BE2C1D">
        <w:rPr>
          <w:rFonts w:cstheme="minorHAnsi"/>
          <w:shd w:val="clear" w:color="auto" w:fill="FFFFFF"/>
        </w:rPr>
        <w:t>Liddiard, K., Curran, T. and Runswick-Cole, K., 2018. Concluding thoughts and future directions. In: K. Runswick-Cole, T. Curran, K. Liddiard, eds. </w:t>
      </w:r>
      <w:r w:rsidRPr="00BE2C1D">
        <w:rPr>
          <w:rFonts w:cstheme="minorHAnsi"/>
          <w:i/>
          <w:iCs/>
          <w:shd w:val="clear" w:color="auto" w:fill="FFFFFF"/>
        </w:rPr>
        <w:t>The Palgrave handbook of disabled children’s childhood studies</w:t>
      </w:r>
      <w:r w:rsidRPr="00BE2C1D">
        <w:rPr>
          <w:rFonts w:cstheme="minorHAnsi"/>
          <w:shd w:val="clear" w:color="auto" w:fill="FFFFFF"/>
        </w:rPr>
        <w:t>. London: Springer. pp.643-654.</w:t>
      </w:r>
    </w:p>
    <w:p w14:paraId="3AFA731F" w14:textId="77777777" w:rsidR="00BE2C1D" w:rsidRPr="00BE2C1D" w:rsidRDefault="00BE2C1D" w:rsidP="00BE2C1D">
      <w:pPr>
        <w:spacing w:line="360" w:lineRule="auto"/>
        <w:rPr>
          <w:rFonts w:cstheme="minorHAnsi"/>
          <w:shd w:val="clear" w:color="auto" w:fill="FFFFFF"/>
        </w:rPr>
      </w:pPr>
      <w:r w:rsidRPr="00BE2C1D">
        <w:rPr>
          <w:rFonts w:cstheme="minorHAnsi"/>
          <w:shd w:val="clear" w:color="auto" w:fill="FFFFFF"/>
        </w:rPr>
        <w:t>Liddiard, K., Runswick‐Cole, K., Goodley, D., Whitney, S., Vogelmann, E. and Watts MBE, L., 2019. “I was Excited by the Idea of a Project that Focuses on those Unasked Questions” Co‐Producing Disability Research with Disabled Young People. </w:t>
      </w:r>
      <w:r w:rsidRPr="00BE2C1D">
        <w:rPr>
          <w:rFonts w:cstheme="minorHAnsi"/>
          <w:i/>
          <w:iCs/>
          <w:shd w:val="clear" w:color="auto" w:fill="FFFFFF"/>
        </w:rPr>
        <w:t>Children &amp; Society</w:t>
      </w:r>
      <w:r w:rsidRPr="00BE2C1D">
        <w:rPr>
          <w:rFonts w:cstheme="minorHAnsi"/>
          <w:shd w:val="clear" w:color="auto" w:fill="FFFFFF"/>
        </w:rPr>
        <w:t>. </w:t>
      </w:r>
      <w:r w:rsidRPr="00BE2C1D">
        <w:rPr>
          <w:rFonts w:cstheme="minorHAnsi"/>
          <w:b/>
          <w:bCs/>
          <w:shd w:val="clear" w:color="auto" w:fill="FFFFFF"/>
        </w:rPr>
        <w:t>33</w:t>
      </w:r>
      <w:r w:rsidRPr="00BE2C1D">
        <w:rPr>
          <w:rFonts w:cstheme="minorHAnsi"/>
          <w:shd w:val="clear" w:color="auto" w:fill="FFFFFF"/>
        </w:rPr>
        <w:t>(2), 154-167.</w:t>
      </w:r>
    </w:p>
    <w:p w14:paraId="351F2FD9" w14:textId="77777777" w:rsidR="00BE2C1D" w:rsidRPr="00BE2C1D" w:rsidRDefault="00BE2C1D" w:rsidP="00BE2C1D">
      <w:pPr>
        <w:spacing w:line="360" w:lineRule="auto"/>
        <w:rPr>
          <w:rFonts w:cstheme="minorHAnsi"/>
          <w:shd w:val="clear" w:color="auto" w:fill="FFFFFF"/>
        </w:rPr>
      </w:pPr>
      <w:r w:rsidRPr="00BE2C1D">
        <w:rPr>
          <w:rFonts w:cstheme="minorHAnsi"/>
          <w:shd w:val="clear" w:color="auto" w:fill="FFFFFF"/>
        </w:rPr>
        <w:t>Liddiard, K. and Slater, J., 2018. ‘Like, pissing yourself is not a particularly attractive quality, let’s be honest’: Learning to contain through youth, adulthood, disability and sexuality. </w:t>
      </w:r>
      <w:r w:rsidRPr="00BE2C1D">
        <w:rPr>
          <w:rFonts w:cstheme="minorHAnsi"/>
          <w:i/>
          <w:iCs/>
          <w:shd w:val="clear" w:color="auto" w:fill="FFFFFF"/>
        </w:rPr>
        <w:t>Sexualities</w:t>
      </w:r>
      <w:r w:rsidRPr="00BE2C1D">
        <w:rPr>
          <w:rFonts w:cstheme="minorHAnsi"/>
          <w:shd w:val="clear" w:color="auto" w:fill="FFFFFF"/>
        </w:rPr>
        <w:t>. </w:t>
      </w:r>
      <w:r w:rsidRPr="00BE2C1D">
        <w:rPr>
          <w:rFonts w:cstheme="minorHAnsi"/>
          <w:b/>
          <w:bCs/>
          <w:shd w:val="clear" w:color="auto" w:fill="FFFFFF"/>
        </w:rPr>
        <w:t>21</w:t>
      </w:r>
      <w:r w:rsidRPr="00BE2C1D">
        <w:rPr>
          <w:rFonts w:cstheme="minorHAnsi"/>
          <w:shd w:val="clear" w:color="auto" w:fill="FFFFFF"/>
        </w:rPr>
        <w:t>(3), 319-333.</w:t>
      </w:r>
    </w:p>
    <w:p w14:paraId="087B6B88" w14:textId="77777777" w:rsidR="00BE2C1D" w:rsidRPr="00BE2C1D" w:rsidRDefault="00BE2C1D" w:rsidP="00BE2C1D">
      <w:pPr>
        <w:spacing w:line="360" w:lineRule="auto"/>
        <w:rPr>
          <w:rFonts w:cstheme="minorHAnsi"/>
          <w:shd w:val="clear" w:color="auto" w:fill="FFFFFF"/>
        </w:rPr>
      </w:pPr>
      <w:r w:rsidRPr="00BE2C1D">
        <w:rPr>
          <w:rFonts w:cstheme="minorHAnsi"/>
          <w:shd w:val="clear" w:color="auto" w:fill="FFFFFF"/>
        </w:rPr>
        <w:t>Light, R. and Kirk, D., 2000. High school rugby, the body and the reproduction of hegemonic masculinity. </w:t>
      </w:r>
      <w:r w:rsidRPr="00BE2C1D">
        <w:rPr>
          <w:rFonts w:cstheme="minorHAnsi"/>
          <w:i/>
          <w:iCs/>
          <w:shd w:val="clear" w:color="auto" w:fill="FFFFFF"/>
        </w:rPr>
        <w:t>Sport, education and society</w:t>
      </w:r>
      <w:r w:rsidRPr="00BE2C1D">
        <w:rPr>
          <w:rFonts w:cstheme="minorHAnsi"/>
          <w:shd w:val="clear" w:color="auto" w:fill="FFFFFF"/>
        </w:rPr>
        <w:t>. </w:t>
      </w:r>
      <w:r w:rsidRPr="00BE2C1D">
        <w:rPr>
          <w:rFonts w:cstheme="minorHAnsi"/>
          <w:b/>
          <w:bCs/>
          <w:i/>
          <w:iCs/>
          <w:shd w:val="clear" w:color="auto" w:fill="FFFFFF"/>
        </w:rPr>
        <w:t>5</w:t>
      </w:r>
      <w:r w:rsidRPr="00BE2C1D">
        <w:rPr>
          <w:rFonts w:cstheme="minorHAnsi"/>
          <w:shd w:val="clear" w:color="auto" w:fill="FFFFFF"/>
        </w:rPr>
        <w:t>(2), 163-176.</w:t>
      </w:r>
    </w:p>
    <w:p w14:paraId="01D8EFC4" w14:textId="77777777" w:rsidR="00BE2C1D" w:rsidRPr="00BE2C1D" w:rsidRDefault="00BE2C1D" w:rsidP="00BE2C1D">
      <w:pPr>
        <w:spacing w:line="360" w:lineRule="auto"/>
        <w:rPr>
          <w:rFonts w:cstheme="minorHAnsi"/>
          <w:shd w:val="clear" w:color="auto" w:fill="FFFFFF"/>
        </w:rPr>
      </w:pPr>
      <w:r w:rsidRPr="00BE2C1D">
        <w:rPr>
          <w:rFonts w:cstheme="minorHAnsi"/>
          <w:shd w:val="clear" w:color="auto" w:fill="FFFFFF"/>
        </w:rPr>
        <w:t>Lilja, M. and Vinthagen, S., 2014. Sovereign power, disciplinary power and biopower: resisting what power with what resistance?. </w:t>
      </w:r>
      <w:r w:rsidRPr="00BE2C1D">
        <w:rPr>
          <w:rFonts w:cstheme="minorHAnsi"/>
          <w:i/>
          <w:iCs/>
          <w:shd w:val="clear" w:color="auto" w:fill="FFFFFF"/>
        </w:rPr>
        <w:t>Journal of Political Power</w:t>
      </w:r>
      <w:r w:rsidRPr="00BE2C1D">
        <w:rPr>
          <w:rFonts w:cstheme="minorHAnsi"/>
          <w:shd w:val="clear" w:color="auto" w:fill="FFFFFF"/>
        </w:rPr>
        <w:t>. </w:t>
      </w:r>
      <w:r w:rsidRPr="00BE2C1D">
        <w:rPr>
          <w:rFonts w:cstheme="minorHAnsi"/>
          <w:b/>
          <w:bCs/>
          <w:shd w:val="clear" w:color="auto" w:fill="FFFFFF"/>
        </w:rPr>
        <w:t>7</w:t>
      </w:r>
      <w:r w:rsidRPr="00BE2C1D">
        <w:rPr>
          <w:rFonts w:cstheme="minorHAnsi"/>
          <w:shd w:val="clear" w:color="auto" w:fill="FFFFFF"/>
        </w:rPr>
        <w:t>(1), 107-126.</w:t>
      </w:r>
    </w:p>
    <w:p w14:paraId="7A72DDE2" w14:textId="77777777" w:rsidR="00BE2C1D" w:rsidRPr="00BE2C1D" w:rsidRDefault="00BE2C1D" w:rsidP="00BE2C1D">
      <w:pPr>
        <w:spacing w:line="360" w:lineRule="auto"/>
        <w:rPr>
          <w:rFonts w:cstheme="minorHAnsi"/>
          <w:shd w:val="clear" w:color="auto" w:fill="FFFFFF"/>
        </w:rPr>
      </w:pPr>
      <w:r w:rsidRPr="00BE2C1D">
        <w:rPr>
          <w:rFonts w:cstheme="minorHAnsi"/>
          <w:shd w:val="clear" w:color="auto" w:fill="FFFFFF"/>
        </w:rPr>
        <w:t>Limber, S.P., (2006). Peer victimization: The nature and prevalence of bullying among children and youth. In: N. E. Dowd, D.G. Singer, R.F. Wilson, eds. </w:t>
      </w:r>
      <w:r w:rsidRPr="00BE2C1D">
        <w:rPr>
          <w:rFonts w:cstheme="minorHAnsi"/>
          <w:i/>
          <w:iCs/>
          <w:shd w:val="clear" w:color="auto" w:fill="FFFFFF"/>
        </w:rPr>
        <w:t>Handbook of children, culture, and violence</w:t>
      </w:r>
      <w:r w:rsidRPr="00BE2C1D">
        <w:rPr>
          <w:rFonts w:cstheme="minorHAnsi"/>
          <w:shd w:val="clear" w:color="auto" w:fill="FFFFFF"/>
        </w:rPr>
        <w:t>. London: Sage. pp.331-332.</w:t>
      </w:r>
    </w:p>
    <w:p w14:paraId="23B72356" w14:textId="77777777" w:rsidR="00BE2C1D" w:rsidRPr="00BE2C1D" w:rsidRDefault="00BE2C1D" w:rsidP="00BE2C1D">
      <w:pPr>
        <w:spacing w:line="360" w:lineRule="auto"/>
        <w:jc w:val="both"/>
        <w:rPr>
          <w:rFonts w:cstheme="minorHAnsi"/>
          <w:shd w:val="clear" w:color="auto" w:fill="FFFFFF"/>
        </w:rPr>
      </w:pPr>
      <w:r w:rsidRPr="00BE2C1D">
        <w:rPr>
          <w:rFonts w:cstheme="minorHAnsi"/>
          <w:shd w:val="clear" w:color="auto" w:fill="FFFFFF"/>
        </w:rPr>
        <w:t>Limerick, B., Burgess‐Limerick, T. and Grace, M., 1996. The politics of interviewing: power relations and accepting the gift. </w:t>
      </w:r>
      <w:r w:rsidRPr="00BE2C1D">
        <w:rPr>
          <w:rFonts w:cstheme="minorHAnsi"/>
          <w:i/>
          <w:iCs/>
          <w:shd w:val="clear" w:color="auto" w:fill="FFFFFF"/>
        </w:rPr>
        <w:t>International Journal of Qualitative Studies in Education</w:t>
      </w:r>
      <w:r w:rsidRPr="00BE2C1D">
        <w:rPr>
          <w:rFonts w:cstheme="minorHAnsi"/>
          <w:shd w:val="clear" w:color="auto" w:fill="FFFFFF"/>
        </w:rPr>
        <w:t>. </w:t>
      </w:r>
      <w:r w:rsidRPr="00BE2C1D">
        <w:rPr>
          <w:rFonts w:cstheme="minorHAnsi"/>
          <w:b/>
          <w:bCs/>
          <w:shd w:val="clear" w:color="auto" w:fill="FFFFFF"/>
        </w:rPr>
        <w:t>9</w:t>
      </w:r>
      <w:r w:rsidRPr="00BE2C1D">
        <w:rPr>
          <w:rFonts w:cstheme="minorHAnsi"/>
          <w:shd w:val="clear" w:color="auto" w:fill="FFFFFF"/>
        </w:rPr>
        <w:t>(4), 449-460.</w:t>
      </w:r>
    </w:p>
    <w:p w14:paraId="43D36AF1" w14:textId="77777777" w:rsidR="00BE2C1D" w:rsidRPr="00BE2C1D" w:rsidRDefault="00BE2C1D" w:rsidP="00BE2C1D">
      <w:pPr>
        <w:spacing w:line="360" w:lineRule="auto"/>
        <w:jc w:val="both"/>
        <w:rPr>
          <w:rFonts w:cstheme="minorHAnsi"/>
          <w:shd w:val="clear" w:color="auto" w:fill="FFFFFF"/>
        </w:rPr>
      </w:pPr>
      <w:r w:rsidRPr="00BE2C1D">
        <w:rPr>
          <w:rFonts w:cstheme="minorHAnsi"/>
          <w:shd w:val="clear" w:color="auto" w:fill="FFFFFF"/>
        </w:rPr>
        <w:t xml:space="preserve">Lindley, M. (1997). Coping with restricted growth. Restricted Growth Association, Leicestershire. Available at: </w:t>
      </w:r>
      <w:hyperlink r:id="rId22" w:history="1">
        <w:r w:rsidRPr="00BE2C1D">
          <w:rPr>
            <w:rFonts w:cstheme="minorHAnsi"/>
            <w:color w:val="0563C1" w:themeColor="hyperlink"/>
            <w:u w:val="single"/>
            <w:shd w:val="clear" w:color="auto" w:fill="FFFFFF"/>
          </w:rPr>
          <w:t>http://www.restrictedgrowth.co.uk/Publications.html</w:t>
        </w:r>
      </w:hyperlink>
      <w:r w:rsidRPr="00BE2C1D">
        <w:rPr>
          <w:rFonts w:cstheme="minorHAnsi"/>
          <w:shd w:val="clear" w:color="auto" w:fill="FFFFFF"/>
        </w:rPr>
        <w:t xml:space="preserve"> </w:t>
      </w:r>
    </w:p>
    <w:p w14:paraId="20BA6B15" w14:textId="77777777" w:rsidR="00BE2C1D" w:rsidRPr="00BE2C1D" w:rsidRDefault="00BE2C1D" w:rsidP="00BE2C1D">
      <w:pPr>
        <w:spacing w:line="360" w:lineRule="auto"/>
        <w:jc w:val="both"/>
        <w:rPr>
          <w:rFonts w:cstheme="minorHAnsi"/>
        </w:rPr>
      </w:pPr>
      <w:r w:rsidRPr="00BE2C1D">
        <w:rPr>
          <w:rFonts w:cstheme="minorHAnsi"/>
          <w:shd w:val="clear" w:color="auto" w:fill="FFFFFF"/>
        </w:rPr>
        <w:t>Livingstone, S. (2006) Opportunities and constraints framing children and young people’s internet use. In M. Consalvo et al. (Ed.), </w:t>
      </w:r>
      <w:r w:rsidRPr="00BE2C1D">
        <w:rPr>
          <w:rFonts w:cstheme="minorHAnsi"/>
          <w:i/>
          <w:iCs/>
          <w:shd w:val="clear" w:color="auto" w:fill="FFFFFF"/>
        </w:rPr>
        <w:t>Internet Research Annual, Volume 4</w:t>
      </w:r>
      <w:r w:rsidRPr="00BE2C1D">
        <w:rPr>
          <w:rFonts w:cstheme="minorHAnsi"/>
          <w:shd w:val="clear" w:color="auto" w:fill="FFFFFF"/>
        </w:rPr>
        <w:t> (59-75). New York: Peter Lang.</w:t>
      </w:r>
    </w:p>
    <w:p w14:paraId="2AAABBB4" w14:textId="77777777" w:rsidR="00BE2C1D" w:rsidRPr="00BE2C1D" w:rsidRDefault="00BE2C1D" w:rsidP="00BE2C1D">
      <w:pPr>
        <w:spacing w:line="360" w:lineRule="auto"/>
        <w:rPr>
          <w:rFonts w:cstheme="minorHAnsi"/>
          <w:shd w:val="clear" w:color="auto" w:fill="FFFFFF"/>
        </w:rPr>
      </w:pPr>
      <w:r w:rsidRPr="00BE2C1D">
        <w:rPr>
          <w:rFonts w:cstheme="minorHAnsi"/>
          <w:shd w:val="clear" w:color="auto" w:fill="FFFFFF"/>
        </w:rPr>
        <w:t>Ljuslinder, K., Ellis, K. and Vikström, L., 2020. Cripping Time–Understanding the Life Course through the Lens of Ableism. </w:t>
      </w:r>
      <w:r w:rsidRPr="00BE2C1D">
        <w:rPr>
          <w:rFonts w:cstheme="minorHAnsi"/>
          <w:i/>
          <w:iCs/>
          <w:shd w:val="clear" w:color="auto" w:fill="FFFFFF"/>
        </w:rPr>
        <w:t>Scandinavian Journal of Disability Research</w:t>
      </w:r>
      <w:r w:rsidRPr="00BE2C1D">
        <w:rPr>
          <w:rFonts w:cstheme="minorHAnsi"/>
          <w:shd w:val="clear" w:color="auto" w:fill="FFFFFF"/>
        </w:rPr>
        <w:t>. </w:t>
      </w:r>
      <w:r w:rsidRPr="00BE2C1D">
        <w:rPr>
          <w:rFonts w:cstheme="minorHAnsi"/>
          <w:b/>
          <w:bCs/>
          <w:shd w:val="clear" w:color="auto" w:fill="FFFFFF"/>
        </w:rPr>
        <w:t>22</w:t>
      </w:r>
      <w:r w:rsidRPr="00BE2C1D">
        <w:rPr>
          <w:rFonts w:cstheme="minorHAnsi"/>
          <w:shd w:val="clear" w:color="auto" w:fill="FFFFFF"/>
        </w:rPr>
        <w:t>(1), 35–38.</w:t>
      </w:r>
    </w:p>
    <w:p w14:paraId="72EFAF45" w14:textId="77777777" w:rsidR="00BE2C1D" w:rsidRPr="00BE2C1D" w:rsidRDefault="00BE2C1D" w:rsidP="00BE2C1D">
      <w:pPr>
        <w:spacing w:line="360" w:lineRule="auto"/>
        <w:rPr>
          <w:rFonts w:cstheme="minorHAnsi"/>
          <w:shd w:val="clear" w:color="auto" w:fill="FFFFFF"/>
        </w:rPr>
      </w:pPr>
      <w:r w:rsidRPr="00BE2C1D">
        <w:rPr>
          <w:rFonts w:cstheme="minorHAnsi"/>
          <w:shd w:val="clear" w:color="auto" w:fill="FFFFFF"/>
        </w:rPr>
        <w:t>Lloyd, G. and Stead, J., 2001. ‘The boys and girls not calling me names and the teachers to believe me’. Name calling and the experiences of Travellers in school. </w:t>
      </w:r>
      <w:r w:rsidRPr="00BE2C1D">
        <w:rPr>
          <w:rFonts w:cstheme="minorHAnsi"/>
          <w:i/>
          <w:iCs/>
          <w:shd w:val="clear" w:color="auto" w:fill="FFFFFF"/>
        </w:rPr>
        <w:t>Children &amp; Society</w:t>
      </w:r>
      <w:r w:rsidRPr="00BE2C1D">
        <w:rPr>
          <w:rFonts w:cstheme="minorHAnsi"/>
          <w:shd w:val="clear" w:color="auto" w:fill="FFFFFF"/>
        </w:rPr>
        <w:t>. </w:t>
      </w:r>
      <w:r w:rsidRPr="00BE2C1D">
        <w:rPr>
          <w:rFonts w:cstheme="minorHAnsi"/>
          <w:b/>
          <w:bCs/>
          <w:shd w:val="clear" w:color="auto" w:fill="FFFFFF"/>
        </w:rPr>
        <w:t>15</w:t>
      </w:r>
      <w:r w:rsidRPr="00BE2C1D">
        <w:rPr>
          <w:rFonts w:cstheme="minorHAnsi"/>
          <w:shd w:val="clear" w:color="auto" w:fill="FFFFFF"/>
        </w:rPr>
        <w:t>(5), 361-374.</w:t>
      </w:r>
    </w:p>
    <w:p w14:paraId="7023E3D3" w14:textId="77777777" w:rsidR="00BE2C1D" w:rsidRPr="00BE2C1D" w:rsidRDefault="00BE2C1D" w:rsidP="00BE2C1D">
      <w:pPr>
        <w:spacing w:line="360" w:lineRule="auto"/>
        <w:jc w:val="both"/>
        <w:rPr>
          <w:rFonts w:cstheme="minorHAnsi"/>
          <w:shd w:val="clear" w:color="auto" w:fill="FFFFFF"/>
        </w:rPr>
      </w:pPr>
      <w:r w:rsidRPr="00BE2C1D">
        <w:rPr>
          <w:rFonts w:cstheme="minorHAnsi"/>
          <w:shd w:val="clear" w:color="auto" w:fill="FFFFFF"/>
        </w:rPr>
        <w:t>Lo Iacono, V., Symonds, P. and Brown, D.H., 2016. Skype as a tool for qualitative research interviews. </w:t>
      </w:r>
      <w:r w:rsidRPr="00BE2C1D">
        <w:rPr>
          <w:rFonts w:cstheme="minorHAnsi"/>
          <w:i/>
          <w:iCs/>
          <w:shd w:val="clear" w:color="auto" w:fill="FFFFFF"/>
        </w:rPr>
        <w:t>Sociological Research Online</w:t>
      </w:r>
      <w:r w:rsidRPr="00BE2C1D">
        <w:rPr>
          <w:rFonts w:cstheme="minorHAnsi"/>
          <w:shd w:val="clear" w:color="auto" w:fill="FFFFFF"/>
        </w:rPr>
        <w:t>. </w:t>
      </w:r>
      <w:r w:rsidRPr="00BE2C1D">
        <w:rPr>
          <w:rFonts w:cstheme="minorHAnsi"/>
          <w:b/>
          <w:bCs/>
          <w:shd w:val="clear" w:color="auto" w:fill="FFFFFF"/>
        </w:rPr>
        <w:t>21</w:t>
      </w:r>
      <w:r w:rsidRPr="00BE2C1D">
        <w:rPr>
          <w:rFonts w:cstheme="minorHAnsi"/>
          <w:shd w:val="clear" w:color="auto" w:fill="FFFFFF"/>
        </w:rPr>
        <w:t>(2), 1-15.</w:t>
      </w:r>
    </w:p>
    <w:p w14:paraId="2BE7F5F0" w14:textId="77777777" w:rsidR="00BE2C1D" w:rsidRPr="00BE2C1D" w:rsidRDefault="00BE2C1D" w:rsidP="00BE2C1D">
      <w:pPr>
        <w:spacing w:line="360" w:lineRule="auto"/>
        <w:jc w:val="both"/>
        <w:rPr>
          <w:rFonts w:cstheme="minorHAnsi"/>
          <w:lang w:val="en-US"/>
        </w:rPr>
      </w:pPr>
      <w:r w:rsidRPr="00BE2C1D">
        <w:rPr>
          <w:rFonts w:cstheme="minorHAnsi"/>
          <w:lang w:val="en-US"/>
        </w:rPr>
        <w:lastRenderedPageBreak/>
        <w:t xml:space="preserve">Lubiano, W. (1991). Shuckin’ off the African-American native other: what’s “po-mo” got to do with it? </w:t>
      </w:r>
      <w:r w:rsidRPr="00BE2C1D">
        <w:rPr>
          <w:rFonts w:cstheme="minorHAnsi"/>
          <w:i/>
          <w:lang w:val="en-US"/>
        </w:rPr>
        <w:t xml:space="preserve">Cultural Critique. </w:t>
      </w:r>
      <w:r w:rsidRPr="00BE2C1D">
        <w:rPr>
          <w:rFonts w:cstheme="minorHAnsi"/>
          <w:lang w:val="en-US"/>
        </w:rPr>
        <w:t>20, 149-186.</w:t>
      </w:r>
    </w:p>
    <w:p w14:paraId="7CD2BB65" w14:textId="77777777" w:rsidR="00BE2C1D" w:rsidRPr="00BE2C1D" w:rsidRDefault="00BE2C1D" w:rsidP="00BE2C1D">
      <w:pPr>
        <w:spacing w:line="360" w:lineRule="auto"/>
        <w:rPr>
          <w:rFonts w:cstheme="minorHAnsi"/>
          <w:shd w:val="clear" w:color="auto" w:fill="FFFFFF"/>
        </w:rPr>
      </w:pPr>
      <w:r w:rsidRPr="00BE2C1D">
        <w:rPr>
          <w:rFonts w:cstheme="minorHAnsi"/>
          <w:shd w:val="clear" w:color="auto" w:fill="FFFFFF"/>
        </w:rPr>
        <w:t>Lundblad, B. and Hellström, A.L., 2005. Perceptions of school toilets as a cause for irregular toilet habits among schoolchildren aged 6 to 16 years. </w:t>
      </w:r>
      <w:r w:rsidRPr="00BE2C1D">
        <w:rPr>
          <w:rFonts w:cstheme="minorHAnsi"/>
          <w:i/>
          <w:iCs/>
          <w:shd w:val="clear" w:color="auto" w:fill="FFFFFF"/>
        </w:rPr>
        <w:t>Journal of School Health</w:t>
      </w:r>
      <w:r w:rsidRPr="00BE2C1D">
        <w:rPr>
          <w:rFonts w:cstheme="minorHAnsi"/>
          <w:shd w:val="clear" w:color="auto" w:fill="FFFFFF"/>
        </w:rPr>
        <w:t>. </w:t>
      </w:r>
      <w:r w:rsidRPr="00BE2C1D">
        <w:rPr>
          <w:rFonts w:cstheme="minorHAnsi"/>
          <w:b/>
          <w:bCs/>
          <w:shd w:val="clear" w:color="auto" w:fill="FFFFFF"/>
        </w:rPr>
        <w:t>75</w:t>
      </w:r>
      <w:r w:rsidRPr="00BE2C1D">
        <w:rPr>
          <w:rFonts w:cstheme="minorHAnsi"/>
          <w:shd w:val="clear" w:color="auto" w:fill="FFFFFF"/>
        </w:rPr>
        <w:t>(4), 125-128.</w:t>
      </w:r>
    </w:p>
    <w:p w14:paraId="3B6C0F46" w14:textId="77777777" w:rsidR="00BE2C1D" w:rsidRPr="00BE2C1D" w:rsidRDefault="00BE2C1D" w:rsidP="00BE2C1D">
      <w:pPr>
        <w:spacing w:line="360" w:lineRule="auto"/>
        <w:rPr>
          <w:rFonts w:cstheme="minorHAnsi"/>
          <w:shd w:val="clear" w:color="auto" w:fill="FFFFFF"/>
        </w:rPr>
      </w:pPr>
      <w:r w:rsidRPr="00BE2C1D">
        <w:rPr>
          <w:rFonts w:cstheme="minorHAnsi"/>
          <w:shd w:val="clear" w:color="auto" w:fill="FFFFFF"/>
        </w:rPr>
        <w:t>Lundblad, B., Hellström, A.L. and Berg, M., 2010. Children’s experiences of attitudes and rules for going to the toilet in school. </w:t>
      </w:r>
      <w:r w:rsidRPr="00BE2C1D">
        <w:rPr>
          <w:rFonts w:cstheme="minorHAnsi"/>
          <w:i/>
          <w:iCs/>
          <w:shd w:val="clear" w:color="auto" w:fill="FFFFFF"/>
        </w:rPr>
        <w:t>Scandinavian journal of caring sciences</w:t>
      </w:r>
      <w:r w:rsidRPr="00BE2C1D">
        <w:rPr>
          <w:rFonts w:cstheme="minorHAnsi"/>
          <w:shd w:val="clear" w:color="auto" w:fill="FFFFFF"/>
        </w:rPr>
        <w:t>. </w:t>
      </w:r>
      <w:r w:rsidRPr="00BE2C1D">
        <w:rPr>
          <w:rFonts w:cstheme="minorHAnsi"/>
          <w:b/>
          <w:bCs/>
          <w:shd w:val="clear" w:color="auto" w:fill="FFFFFF"/>
        </w:rPr>
        <w:t>24</w:t>
      </w:r>
      <w:r w:rsidRPr="00BE2C1D">
        <w:rPr>
          <w:rFonts w:cstheme="minorHAnsi"/>
          <w:shd w:val="clear" w:color="auto" w:fill="FFFFFF"/>
        </w:rPr>
        <w:t>(2), 219-223.</w:t>
      </w:r>
    </w:p>
    <w:p w14:paraId="3B92B464" w14:textId="77777777" w:rsidR="00BE2C1D" w:rsidRPr="00BE2C1D" w:rsidRDefault="00BE2C1D" w:rsidP="00BE2C1D">
      <w:pPr>
        <w:spacing w:line="360" w:lineRule="auto"/>
        <w:rPr>
          <w:rFonts w:cstheme="minorHAnsi"/>
          <w:shd w:val="clear" w:color="auto" w:fill="FFFFFF"/>
        </w:rPr>
      </w:pPr>
      <w:r w:rsidRPr="00BE2C1D">
        <w:rPr>
          <w:rFonts w:cstheme="minorHAnsi"/>
          <w:shd w:val="clear" w:color="auto" w:fill="FFFFFF"/>
        </w:rPr>
        <w:t>MacArthur, J.A. and Gaffney, M., 2001. </w:t>
      </w:r>
      <w:r w:rsidRPr="00BE2C1D">
        <w:rPr>
          <w:rFonts w:cstheme="minorHAnsi"/>
          <w:i/>
          <w:iCs/>
          <w:shd w:val="clear" w:color="auto" w:fill="FFFFFF"/>
        </w:rPr>
        <w:t>Bullied and teased or just another kid? The social experiences of students with disabilities at school</w:t>
      </w:r>
      <w:r w:rsidRPr="00BE2C1D">
        <w:rPr>
          <w:rFonts w:cstheme="minorHAnsi"/>
          <w:shd w:val="clear" w:color="auto" w:fill="FFFFFF"/>
        </w:rPr>
        <w:t>. New Zealand Council for Educational Research.</w:t>
      </w:r>
    </w:p>
    <w:p w14:paraId="061F3081" w14:textId="77777777" w:rsidR="00BE2C1D" w:rsidRPr="00BE2C1D" w:rsidRDefault="00BE2C1D" w:rsidP="00BE2C1D">
      <w:pPr>
        <w:spacing w:line="360" w:lineRule="auto"/>
        <w:rPr>
          <w:rFonts w:cstheme="minorHAnsi"/>
          <w:shd w:val="clear" w:color="auto" w:fill="FFFFFF"/>
        </w:rPr>
      </w:pPr>
      <w:r w:rsidRPr="00BE2C1D">
        <w:rPr>
          <w:rFonts w:cstheme="minorHAnsi"/>
          <w:shd w:val="clear" w:color="auto" w:fill="FFFFFF"/>
        </w:rPr>
        <w:t>MacArthur, J., Gaffney, M., Sharp, S. and Kelly, B., 2007. Disabled children negotiating school life: Agency, difference and teaching practice. </w:t>
      </w:r>
      <w:r w:rsidRPr="00BE2C1D">
        <w:rPr>
          <w:rFonts w:cstheme="minorHAnsi"/>
          <w:i/>
          <w:iCs/>
          <w:shd w:val="clear" w:color="auto" w:fill="FFFFFF"/>
        </w:rPr>
        <w:t>The International Journal of Children's Rights</w:t>
      </w:r>
      <w:r w:rsidRPr="00BE2C1D">
        <w:rPr>
          <w:rFonts w:cstheme="minorHAnsi"/>
          <w:shd w:val="clear" w:color="auto" w:fill="FFFFFF"/>
        </w:rPr>
        <w:t>. </w:t>
      </w:r>
      <w:r w:rsidRPr="00BE2C1D">
        <w:rPr>
          <w:rFonts w:cstheme="minorHAnsi"/>
          <w:b/>
          <w:bCs/>
          <w:shd w:val="clear" w:color="auto" w:fill="FFFFFF"/>
        </w:rPr>
        <w:t>15</w:t>
      </w:r>
      <w:r w:rsidRPr="00BE2C1D">
        <w:rPr>
          <w:rFonts w:cstheme="minorHAnsi"/>
          <w:shd w:val="clear" w:color="auto" w:fill="FFFFFF"/>
        </w:rPr>
        <w:t>(1), 99-120.</w:t>
      </w:r>
    </w:p>
    <w:p w14:paraId="759485F9" w14:textId="77777777" w:rsidR="00BE2C1D" w:rsidRPr="00BE2C1D" w:rsidRDefault="00BE2C1D" w:rsidP="00BE2C1D">
      <w:pPr>
        <w:spacing w:line="360" w:lineRule="auto"/>
        <w:rPr>
          <w:rFonts w:cstheme="minorHAnsi"/>
          <w:shd w:val="clear" w:color="auto" w:fill="FFFFFF"/>
        </w:rPr>
      </w:pPr>
      <w:r w:rsidRPr="00BE2C1D">
        <w:rPr>
          <w:rFonts w:cstheme="minorHAnsi"/>
          <w:shd w:val="clear" w:color="auto" w:fill="FFFFFF"/>
        </w:rPr>
        <w:t xml:space="preserve">MacBeath, J., Galton, M., Steward, S., MacBeath, A. and Page, C., (2006). </w:t>
      </w:r>
      <w:r w:rsidRPr="00BE2C1D">
        <w:rPr>
          <w:rFonts w:cstheme="minorHAnsi"/>
          <w:i/>
          <w:iCs/>
          <w:shd w:val="clear" w:color="auto" w:fill="FFFFFF"/>
        </w:rPr>
        <w:t>The costs of inclusion.</w:t>
      </w:r>
      <w:r w:rsidRPr="00BE2C1D">
        <w:rPr>
          <w:rFonts w:cstheme="minorHAnsi"/>
          <w:shd w:val="clear" w:color="auto" w:fill="FFFFFF"/>
        </w:rPr>
        <w:t> London: National Union of Teachers.</w:t>
      </w:r>
    </w:p>
    <w:p w14:paraId="5DE49BBD" w14:textId="77777777" w:rsidR="00BE2C1D" w:rsidRPr="00BE2C1D" w:rsidRDefault="00BE2C1D" w:rsidP="00BE2C1D">
      <w:pPr>
        <w:spacing w:line="360" w:lineRule="auto"/>
        <w:rPr>
          <w:rFonts w:cstheme="minorHAnsi"/>
          <w:shd w:val="clear" w:color="auto" w:fill="FFFFFF"/>
        </w:rPr>
      </w:pPr>
      <w:r w:rsidRPr="00BE2C1D">
        <w:rPr>
          <w:rFonts w:cstheme="minorHAnsi"/>
          <w:shd w:val="clear" w:color="auto" w:fill="FFFFFF"/>
        </w:rPr>
        <w:t>Mackenzie, S., 2011. ‘Yes, but...’: rhetoric, reality and resistance in teaching assistants' experiences of inclusive education. </w:t>
      </w:r>
      <w:r w:rsidRPr="00BE2C1D">
        <w:rPr>
          <w:rFonts w:cstheme="minorHAnsi"/>
          <w:i/>
          <w:iCs/>
          <w:shd w:val="clear" w:color="auto" w:fill="FFFFFF"/>
        </w:rPr>
        <w:t>Support for learning</w:t>
      </w:r>
      <w:r w:rsidRPr="00BE2C1D">
        <w:rPr>
          <w:rFonts w:cstheme="minorHAnsi"/>
          <w:shd w:val="clear" w:color="auto" w:fill="FFFFFF"/>
        </w:rPr>
        <w:t>. </w:t>
      </w:r>
      <w:r w:rsidRPr="00BE2C1D">
        <w:rPr>
          <w:rFonts w:cstheme="minorHAnsi"/>
          <w:b/>
          <w:bCs/>
          <w:shd w:val="clear" w:color="auto" w:fill="FFFFFF"/>
        </w:rPr>
        <w:t>26</w:t>
      </w:r>
      <w:r w:rsidRPr="00BE2C1D">
        <w:rPr>
          <w:rFonts w:cstheme="minorHAnsi"/>
          <w:shd w:val="clear" w:color="auto" w:fill="FFFFFF"/>
        </w:rPr>
        <w:t>(2), 64-71.</w:t>
      </w:r>
    </w:p>
    <w:p w14:paraId="26378C49" w14:textId="77777777" w:rsidR="00BE2C1D" w:rsidRPr="00BE2C1D" w:rsidRDefault="00BE2C1D" w:rsidP="00BE2C1D">
      <w:pPr>
        <w:spacing w:line="360" w:lineRule="auto"/>
        <w:rPr>
          <w:rFonts w:cstheme="minorHAnsi"/>
          <w:shd w:val="clear" w:color="auto" w:fill="FFFFFF"/>
        </w:rPr>
      </w:pPr>
      <w:r w:rsidRPr="00BE2C1D">
        <w:rPr>
          <w:rFonts w:cstheme="minorHAnsi"/>
          <w:shd w:val="clear" w:color="auto" w:fill="FFFFFF"/>
        </w:rPr>
        <w:t>Magnusson, P.K., Rasmussen, F. and Gyllensten, U.B., 2006. Height at age 18 years is a strong predictor of attained education later in life: cohort study of over 950 000 Swedish men. </w:t>
      </w:r>
      <w:r w:rsidRPr="00BE2C1D">
        <w:rPr>
          <w:rFonts w:cstheme="minorHAnsi"/>
          <w:i/>
          <w:iCs/>
          <w:shd w:val="clear" w:color="auto" w:fill="FFFFFF"/>
        </w:rPr>
        <w:t>International Journal of Epidemiology</w:t>
      </w:r>
      <w:r w:rsidRPr="00BE2C1D">
        <w:rPr>
          <w:rFonts w:cstheme="minorHAnsi"/>
          <w:shd w:val="clear" w:color="auto" w:fill="FFFFFF"/>
        </w:rPr>
        <w:t>. </w:t>
      </w:r>
      <w:r w:rsidRPr="00BE2C1D">
        <w:rPr>
          <w:rFonts w:cstheme="minorHAnsi"/>
          <w:b/>
          <w:bCs/>
          <w:shd w:val="clear" w:color="auto" w:fill="FFFFFF"/>
        </w:rPr>
        <w:t>35</w:t>
      </w:r>
      <w:r w:rsidRPr="00BE2C1D">
        <w:rPr>
          <w:rFonts w:cstheme="minorHAnsi"/>
          <w:shd w:val="clear" w:color="auto" w:fill="FFFFFF"/>
        </w:rPr>
        <w:t>(3), 658-663.</w:t>
      </w:r>
    </w:p>
    <w:p w14:paraId="3C0D9234" w14:textId="77777777" w:rsidR="00BE2C1D" w:rsidRPr="00BE2C1D" w:rsidRDefault="00BE2C1D" w:rsidP="00BE2C1D">
      <w:pPr>
        <w:spacing w:line="360" w:lineRule="auto"/>
        <w:rPr>
          <w:rFonts w:cstheme="minorHAnsi"/>
          <w:shd w:val="clear" w:color="auto" w:fill="FFFFFF"/>
        </w:rPr>
      </w:pPr>
      <w:r w:rsidRPr="00BE2C1D">
        <w:rPr>
          <w:rFonts w:cstheme="minorHAnsi"/>
          <w:shd w:val="clear" w:color="auto" w:fill="FFFFFF"/>
        </w:rPr>
        <w:t>Mallett, R. and Runswick-Cole, K., (2014). </w:t>
      </w:r>
      <w:r w:rsidRPr="00BE2C1D">
        <w:rPr>
          <w:rFonts w:cstheme="minorHAnsi"/>
          <w:i/>
          <w:iCs/>
          <w:shd w:val="clear" w:color="auto" w:fill="FFFFFF"/>
        </w:rPr>
        <w:t>Approaching disability: Critical issues and perspectives</w:t>
      </w:r>
      <w:r w:rsidRPr="00BE2C1D">
        <w:rPr>
          <w:rFonts w:cstheme="minorHAnsi"/>
          <w:shd w:val="clear" w:color="auto" w:fill="FFFFFF"/>
        </w:rPr>
        <w:t>. Oxon: Routledge.</w:t>
      </w:r>
    </w:p>
    <w:p w14:paraId="6FAEABE1" w14:textId="77777777" w:rsidR="00BE2C1D" w:rsidRPr="00BE2C1D" w:rsidRDefault="00BE2C1D" w:rsidP="00BE2C1D">
      <w:pPr>
        <w:spacing w:line="360" w:lineRule="auto"/>
        <w:rPr>
          <w:rFonts w:cstheme="minorHAnsi"/>
          <w:shd w:val="clear" w:color="auto" w:fill="FFFFFF"/>
        </w:rPr>
      </w:pPr>
      <w:r w:rsidRPr="00BE2C1D">
        <w:rPr>
          <w:rFonts w:cstheme="minorHAnsi"/>
          <w:shd w:val="clear" w:color="auto" w:fill="FFFFFF"/>
        </w:rPr>
        <w:t xml:space="preserve">Mallett, R. and Runswick-Cole, K., (2016). The “urge to know” normal: Theorising how impairment labels function. In: R. Mallett, C. Ogden, J. Slater, eds. </w:t>
      </w:r>
      <w:r w:rsidRPr="00BE2C1D">
        <w:rPr>
          <w:rFonts w:cstheme="minorHAnsi"/>
          <w:i/>
          <w:iCs/>
          <w:shd w:val="clear" w:color="auto" w:fill="FFFFFF"/>
        </w:rPr>
        <w:t>Theorising normalcy and the mundane: Precarious positions</w:t>
      </w:r>
      <w:r w:rsidRPr="00BE2C1D">
        <w:rPr>
          <w:rFonts w:cstheme="minorHAnsi"/>
          <w:shd w:val="clear" w:color="auto" w:fill="FFFFFF"/>
        </w:rPr>
        <w:t xml:space="preserve">.  Chester: University of Chester Press. pp.95-119.  </w:t>
      </w:r>
    </w:p>
    <w:p w14:paraId="1B04D286" w14:textId="77777777" w:rsidR="00BE2C1D" w:rsidRPr="00BE2C1D" w:rsidRDefault="00BE2C1D" w:rsidP="00BE2C1D">
      <w:pPr>
        <w:spacing w:line="360" w:lineRule="auto"/>
        <w:rPr>
          <w:rFonts w:cstheme="minorHAnsi"/>
          <w:shd w:val="clear" w:color="auto" w:fill="FFFFFF"/>
        </w:rPr>
      </w:pPr>
      <w:r w:rsidRPr="00BE2C1D">
        <w:rPr>
          <w:rFonts w:cstheme="minorHAnsi"/>
          <w:shd w:val="clear" w:color="auto" w:fill="FFFFFF"/>
        </w:rPr>
        <w:t>Mansaray, A.A., 2006. Liminality and in/exclusion: Exploring the work of teaching assistants. </w:t>
      </w:r>
      <w:r w:rsidRPr="00BE2C1D">
        <w:rPr>
          <w:rFonts w:cstheme="minorHAnsi"/>
          <w:i/>
          <w:iCs/>
          <w:shd w:val="clear" w:color="auto" w:fill="FFFFFF"/>
        </w:rPr>
        <w:t>Pedagogy, Culture &amp; Society</w:t>
      </w:r>
      <w:r w:rsidRPr="00BE2C1D">
        <w:rPr>
          <w:rFonts w:cstheme="minorHAnsi"/>
          <w:shd w:val="clear" w:color="auto" w:fill="FFFFFF"/>
        </w:rPr>
        <w:t>. </w:t>
      </w:r>
      <w:r w:rsidRPr="00BE2C1D">
        <w:rPr>
          <w:rFonts w:cstheme="minorHAnsi"/>
          <w:b/>
          <w:bCs/>
          <w:shd w:val="clear" w:color="auto" w:fill="FFFFFF"/>
        </w:rPr>
        <w:t>14</w:t>
      </w:r>
      <w:r w:rsidRPr="00BE2C1D">
        <w:rPr>
          <w:rFonts w:cstheme="minorHAnsi"/>
          <w:shd w:val="clear" w:color="auto" w:fill="FFFFFF"/>
        </w:rPr>
        <w:t>(2),171-187.</w:t>
      </w:r>
    </w:p>
    <w:p w14:paraId="230D14DB" w14:textId="77777777" w:rsidR="00BE2C1D" w:rsidRPr="00BE2C1D" w:rsidRDefault="00BE2C1D" w:rsidP="00BE2C1D">
      <w:pPr>
        <w:spacing w:line="360" w:lineRule="auto"/>
        <w:rPr>
          <w:rFonts w:cstheme="minorHAnsi"/>
          <w:shd w:val="clear" w:color="auto" w:fill="FFFFFF"/>
        </w:rPr>
      </w:pPr>
      <w:r w:rsidRPr="00BE2C1D">
        <w:rPr>
          <w:rFonts w:cstheme="minorHAnsi"/>
          <w:shd w:val="clear" w:color="auto" w:fill="FFFFFF"/>
        </w:rPr>
        <w:t>Martínez-Andrés, M., Bartolomé-Gutiérrez, R., Rodríguez-Martín, B., Pardo-Guijarro, M.J. and Martínez-Vizcaíno, V., 2017. “Football is a boys’ game”: children’s perceptions about barriers for physical activity during recess time. </w:t>
      </w:r>
      <w:r w:rsidRPr="00BE2C1D">
        <w:rPr>
          <w:rFonts w:cstheme="minorHAnsi"/>
          <w:i/>
          <w:iCs/>
          <w:shd w:val="clear" w:color="auto" w:fill="FFFFFF"/>
        </w:rPr>
        <w:t>International journal of qualitative studies on health and well-being</w:t>
      </w:r>
      <w:r w:rsidRPr="00BE2C1D">
        <w:rPr>
          <w:rFonts w:cstheme="minorHAnsi"/>
          <w:shd w:val="clear" w:color="auto" w:fill="FFFFFF"/>
        </w:rPr>
        <w:t>. </w:t>
      </w:r>
      <w:r w:rsidRPr="00BE2C1D">
        <w:rPr>
          <w:rFonts w:cstheme="minorHAnsi"/>
          <w:b/>
          <w:bCs/>
          <w:shd w:val="clear" w:color="auto" w:fill="FFFFFF"/>
        </w:rPr>
        <w:t>12</w:t>
      </w:r>
      <w:r w:rsidRPr="00BE2C1D">
        <w:rPr>
          <w:rFonts w:cstheme="minorHAnsi"/>
          <w:shd w:val="clear" w:color="auto" w:fill="FFFFFF"/>
        </w:rPr>
        <w:t>(1), 1-10.</w:t>
      </w:r>
    </w:p>
    <w:p w14:paraId="47E5D58C" w14:textId="77777777" w:rsidR="00BE2C1D" w:rsidRPr="00BE2C1D" w:rsidRDefault="00BE2C1D" w:rsidP="00BE2C1D">
      <w:pPr>
        <w:spacing w:line="360" w:lineRule="auto"/>
        <w:rPr>
          <w:rFonts w:cstheme="minorHAnsi"/>
          <w:shd w:val="clear" w:color="auto" w:fill="FFFFFF"/>
        </w:rPr>
      </w:pPr>
      <w:r w:rsidRPr="00BE2C1D">
        <w:rPr>
          <w:rFonts w:cstheme="minorHAnsi"/>
          <w:shd w:val="clear" w:color="auto" w:fill="FFFFFF"/>
        </w:rPr>
        <w:lastRenderedPageBreak/>
        <w:t>Mathiesen, T., 1997. The viewer society: Michel Foucault's Panopticon revisited. </w:t>
      </w:r>
      <w:r w:rsidRPr="00BE2C1D">
        <w:rPr>
          <w:rFonts w:cstheme="minorHAnsi"/>
          <w:i/>
          <w:iCs/>
          <w:shd w:val="clear" w:color="auto" w:fill="FFFFFF"/>
        </w:rPr>
        <w:t>Theoretical criminology</w:t>
      </w:r>
      <w:r w:rsidRPr="00BE2C1D">
        <w:rPr>
          <w:rFonts w:cstheme="minorHAnsi"/>
          <w:shd w:val="clear" w:color="auto" w:fill="FFFFFF"/>
        </w:rPr>
        <w:t>. </w:t>
      </w:r>
      <w:r w:rsidRPr="00BE2C1D">
        <w:rPr>
          <w:rFonts w:cstheme="minorHAnsi"/>
          <w:b/>
          <w:bCs/>
          <w:shd w:val="clear" w:color="auto" w:fill="FFFFFF"/>
        </w:rPr>
        <w:t>1</w:t>
      </w:r>
      <w:r w:rsidRPr="00BE2C1D">
        <w:rPr>
          <w:rFonts w:cstheme="minorHAnsi"/>
          <w:shd w:val="clear" w:color="auto" w:fill="FFFFFF"/>
        </w:rPr>
        <w:t>(2), 215-234.</w:t>
      </w:r>
    </w:p>
    <w:p w14:paraId="573E3A58" w14:textId="77777777" w:rsidR="00BE2C1D" w:rsidRPr="00BE2C1D" w:rsidRDefault="00BE2C1D" w:rsidP="00BE2C1D">
      <w:pPr>
        <w:spacing w:line="360" w:lineRule="auto"/>
        <w:rPr>
          <w:rFonts w:cstheme="minorHAnsi"/>
          <w:shd w:val="clear" w:color="auto" w:fill="FFFFFF"/>
        </w:rPr>
      </w:pPr>
      <w:r w:rsidRPr="00BE2C1D">
        <w:rPr>
          <w:rFonts w:cstheme="minorHAnsi"/>
          <w:shd w:val="clear" w:color="auto" w:fill="FFFFFF"/>
        </w:rPr>
        <w:t>Maunder, R. and Tattersall, A.J., 2010. Staff experiences of managing bullying in secondary schools: The importance of internal and external relationships in facilitating intervention. </w:t>
      </w:r>
      <w:r w:rsidRPr="00BE2C1D">
        <w:rPr>
          <w:rFonts w:cstheme="minorHAnsi"/>
          <w:i/>
          <w:iCs/>
          <w:shd w:val="clear" w:color="auto" w:fill="FFFFFF"/>
        </w:rPr>
        <w:t>Educational and Child Psychology</w:t>
      </w:r>
      <w:r w:rsidRPr="00BE2C1D">
        <w:rPr>
          <w:rFonts w:cstheme="minorHAnsi"/>
          <w:shd w:val="clear" w:color="auto" w:fill="FFFFFF"/>
        </w:rPr>
        <w:t>. </w:t>
      </w:r>
      <w:r w:rsidRPr="00BE2C1D">
        <w:rPr>
          <w:rFonts w:cstheme="minorHAnsi"/>
          <w:b/>
          <w:bCs/>
          <w:shd w:val="clear" w:color="auto" w:fill="FFFFFF"/>
        </w:rPr>
        <w:t>27</w:t>
      </w:r>
      <w:r w:rsidRPr="00BE2C1D">
        <w:rPr>
          <w:rFonts w:cstheme="minorHAnsi"/>
          <w:shd w:val="clear" w:color="auto" w:fill="FFFFFF"/>
        </w:rPr>
        <w:t xml:space="preserve">(1), 116-128. </w:t>
      </w:r>
    </w:p>
    <w:p w14:paraId="09511DAF" w14:textId="77777777" w:rsidR="00BE2C1D" w:rsidRPr="00BE2C1D" w:rsidRDefault="00BE2C1D" w:rsidP="00BE2C1D">
      <w:pPr>
        <w:spacing w:line="360" w:lineRule="auto"/>
        <w:rPr>
          <w:rFonts w:cstheme="minorHAnsi"/>
          <w:shd w:val="clear" w:color="auto" w:fill="FFFFFF"/>
        </w:rPr>
      </w:pPr>
      <w:r w:rsidRPr="00BE2C1D">
        <w:rPr>
          <w:rFonts w:cstheme="minorHAnsi"/>
          <w:shd w:val="clear" w:color="auto" w:fill="FFFFFF"/>
        </w:rPr>
        <w:t>Mayeza, E., 2017. ‘Girls don’t play soccer’: Children policing gender on the playground in a township primary school in South Africa. </w:t>
      </w:r>
      <w:r w:rsidRPr="00BE2C1D">
        <w:rPr>
          <w:rFonts w:cstheme="minorHAnsi"/>
          <w:i/>
          <w:iCs/>
          <w:shd w:val="clear" w:color="auto" w:fill="FFFFFF"/>
        </w:rPr>
        <w:t>Gender and education</w:t>
      </w:r>
      <w:r w:rsidRPr="00BE2C1D">
        <w:rPr>
          <w:rFonts w:cstheme="minorHAnsi"/>
          <w:shd w:val="clear" w:color="auto" w:fill="FFFFFF"/>
        </w:rPr>
        <w:t>. </w:t>
      </w:r>
      <w:r w:rsidRPr="00BE2C1D">
        <w:rPr>
          <w:rFonts w:cstheme="minorHAnsi"/>
          <w:b/>
          <w:bCs/>
          <w:shd w:val="clear" w:color="auto" w:fill="FFFFFF"/>
        </w:rPr>
        <w:t>29</w:t>
      </w:r>
      <w:r w:rsidRPr="00BE2C1D">
        <w:rPr>
          <w:rFonts w:cstheme="minorHAnsi"/>
          <w:shd w:val="clear" w:color="auto" w:fill="FFFFFF"/>
        </w:rPr>
        <w:t>(4), 476-494.</w:t>
      </w:r>
    </w:p>
    <w:p w14:paraId="07EC82A4" w14:textId="77777777" w:rsidR="00BE2C1D" w:rsidRPr="00BE2C1D" w:rsidRDefault="00BE2C1D" w:rsidP="00BE2C1D">
      <w:pPr>
        <w:spacing w:line="360" w:lineRule="auto"/>
        <w:rPr>
          <w:rFonts w:cstheme="minorHAnsi"/>
          <w:shd w:val="clear" w:color="auto" w:fill="FFFFFF"/>
        </w:rPr>
      </w:pPr>
      <w:r w:rsidRPr="00BE2C1D">
        <w:rPr>
          <w:rFonts w:cstheme="minorHAnsi"/>
          <w:shd w:val="clear" w:color="auto" w:fill="FFFFFF"/>
        </w:rPr>
        <w:t>McAreavey, R. and Das, C., 2013. A delicate balancing act: Negotiating with gatekeepers for ethical research when researching minority communities. </w:t>
      </w:r>
      <w:r w:rsidRPr="00BE2C1D">
        <w:rPr>
          <w:rFonts w:cstheme="minorHAnsi"/>
          <w:i/>
          <w:iCs/>
          <w:shd w:val="clear" w:color="auto" w:fill="FFFFFF"/>
        </w:rPr>
        <w:t>International Journal of Qualitative Methods</w:t>
      </w:r>
      <w:r w:rsidRPr="00BE2C1D">
        <w:rPr>
          <w:rFonts w:cstheme="minorHAnsi"/>
          <w:shd w:val="clear" w:color="auto" w:fill="FFFFFF"/>
        </w:rPr>
        <w:t>. </w:t>
      </w:r>
      <w:r w:rsidRPr="00BE2C1D">
        <w:rPr>
          <w:rFonts w:cstheme="minorHAnsi"/>
          <w:b/>
          <w:bCs/>
          <w:shd w:val="clear" w:color="auto" w:fill="FFFFFF"/>
        </w:rPr>
        <w:t>12</w:t>
      </w:r>
      <w:r w:rsidRPr="00BE2C1D">
        <w:rPr>
          <w:rFonts w:cstheme="minorHAnsi"/>
          <w:shd w:val="clear" w:color="auto" w:fill="FFFFFF"/>
        </w:rPr>
        <w:t>(1), 113-131.</w:t>
      </w:r>
    </w:p>
    <w:p w14:paraId="175C8CAC" w14:textId="77777777" w:rsidR="00BE2C1D" w:rsidRPr="00BE2C1D" w:rsidRDefault="00BE2C1D" w:rsidP="00BE2C1D">
      <w:pPr>
        <w:spacing w:line="360" w:lineRule="auto"/>
        <w:jc w:val="both"/>
        <w:rPr>
          <w:rFonts w:cstheme="minorHAnsi"/>
          <w:lang w:val="en-US"/>
        </w:rPr>
      </w:pPr>
      <w:r w:rsidRPr="00BE2C1D">
        <w:rPr>
          <w:rFonts w:cstheme="minorHAnsi"/>
          <w:lang w:val="en-US"/>
        </w:rPr>
        <w:t>McCormack, D., (2014). Queer Postcolonial Narratives and the Ethics of Witnessing. New York: Bloomsbury Academic.</w:t>
      </w:r>
    </w:p>
    <w:p w14:paraId="548D53B6" w14:textId="77777777" w:rsidR="00BE2C1D" w:rsidRPr="00BE2C1D" w:rsidRDefault="00BE2C1D" w:rsidP="00BE2C1D">
      <w:pPr>
        <w:spacing w:line="360" w:lineRule="auto"/>
        <w:jc w:val="both"/>
        <w:rPr>
          <w:rFonts w:cstheme="minorHAnsi"/>
        </w:rPr>
      </w:pPr>
      <w:r w:rsidRPr="00BE2C1D">
        <w:rPr>
          <w:rFonts w:cstheme="minorHAnsi"/>
        </w:rPr>
        <w:t xml:space="preserve">McCruer, R., (2006). Crip theory: cultural signs of queerness and disability. Ney York: New York University Press. </w:t>
      </w:r>
    </w:p>
    <w:p w14:paraId="4CD153EB" w14:textId="77777777" w:rsidR="00BE2C1D" w:rsidRPr="00BE2C1D" w:rsidRDefault="00BE2C1D" w:rsidP="00BE2C1D">
      <w:pPr>
        <w:spacing w:line="360" w:lineRule="auto"/>
        <w:rPr>
          <w:rFonts w:cstheme="minorHAnsi"/>
          <w:shd w:val="clear" w:color="auto" w:fill="FFFFFF"/>
        </w:rPr>
      </w:pPr>
      <w:r w:rsidRPr="00BE2C1D">
        <w:rPr>
          <w:rFonts w:cstheme="minorHAnsi"/>
          <w:shd w:val="clear" w:color="auto" w:fill="FFFFFF"/>
        </w:rPr>
        <w:t>McGauley, G.A., 1989. Quality of life assessment before and after growth hormone treatment in adults with growth hormone deficiency. </w:t>
      </w:r>
      <w:r w:rsidRPr="00BE2C1D">
        <w:rPr>
          <w:rFonts w:cstheme="minorHAnsi"/>
          <w:i/>
          <w:iCs/>
          <w:shd w:val="clear" w:color="auto" w:fill="FFFFFF"/>
        </w:rPr>
        <w:t>Acta Pædiatrica.</w:t>
      </w:r>
      <w:r w:rsidRPr="00BE2C1D">
        <w:rPr>
          <w:rFonts w:cstheme="minorHAnsi"/>
          <w:shd w:val="clear" w:color="auto" w:fill="FFFFFF"/>
        </w:rPr>
        <w:t>, </w:t>
      </w:r>
      <w:r w:rsidRPr="00BE2C1D">
        <w:rPr>
          <w:rFonts w:cstheme="minorHAnsi"/>
          <w:b/>
          <w:bCs/>
          <w:shd w:val="clear" w:color="auto" w:fill="FFFFFF"/>
        </w:rPr>
        <w:t>78,</w:t>
      </w:r>
      <w:r w:rsidRPr="00BE2C1D">
        <w:rPr>
          <w:rFonts w:cstheme="minorHAnsi"/>
          <w:shd w:val="clear" w:color="auto" w:fill="FFFFFF"/>
        </w:rPr>
        <w:t xml:space="preserve"> 70-72.</w:t>
      </w:r>
    </w:p>
    <w:p w14:paraId="158D404E" w14:textId="77777777" w:rsidR="00BE2C1D" w:rsidRPr="00BE2C1D" w:rsidRDefault="00BE2C1D" w:rsidP="00BE2C1D">
      <w:pPr>
        <w:spacing w:line="360" w:lineRule="auto"/>
        <w:rPr>
          <w:rFonts w:cstheme="minorHAnsi"/>
          <w:shd w:val="clear" w:color="auto" w:fill="FFFFFF"/>
        </w:rPr>
      </w:pPr>
      <w:r w:rsidRPr="00BE2C1D">
        <w:rPr>
          <w:rFonts w:cstheme="minorHAnsi"/>
          <w:shd w:val="clear" w:color="auto" w:fill="FFFFFF"/>
        </w:rPr>
        <w:t>McGauley, G., Cuneo, R., Salomon, F. and Sönksen, P.H., 1996. Growth hormone deficiency and quality of life. </w:t>
      </w:r>
      <w:r w:rsidRPr="00BE2C1D">
        <w:rPr>
          <w:rFonts w:cstheme="minorHAnsi"/>
          <w:i/>
          <w:iCs/>
          <w:shd w:val="clear" w:color="auto" w:fill="FFFFFF"/>
        </w:rPr>
        <w:t>Hormone Research in Paediatrics</w:t>
      </w:r>
      <w:r w:rsidRPr="00BE2C1D">
        <w:rPr>
          <w:rFonts w:cstheme="minorHAnsi"/>
          <w:shd w:val="clear" w:color="auto" w:fill="FFFFFF"/>
        </w:rPr>
        <w:t>. </w:t>
      </w:r>
      <w:r w:rsidRPr="00BE2C1D">
        <w:rPr>
          <w:rFonts w:cstheme="minorHAnsi"/>
          <w:b/>
          <w:bCs/>
          <w:shd w:val="clear" w:color="auto" w:fill="FFFFFF"/>
        </w:rPr>
        <w:t>45</w:t>
      </w:r>
      <w:r w:rsidRPr="00BE2C1D">
        <w:rPr>
          <w:rFonts w:cstheme="minorHAnsi"/>
          <w:shd w:val="clear" w:color="auto" w:fill="FFFFFF"/>
        </w:rPr>
        <w:t>(1-2), 34-37.</w:t>
      </w:r>
    </w:p>
    <w:p w14:paraId="66E8B352" w14:textId="77777777" w:rsidR="00BE2C1D" w:rsidRPr="00BE2C1D" w:rsidRDefault="00BE2C1D" w:rsidP="00BE2C1D">
      <w:pPr>
        <w:spacing w:line="360" w:lineRule="auto"/>
        <w:rPr>
          <w:rFonts w:cstheme="minorHAnsi"/>
          <w:shd w:val="clear" w:color="auto" w:fill="FFFFFF"/>
        </w:rPr>
      </w:pPr>
      <w:r w:rsidRPr="00BE2C1D">
        <w:rPr>
          <w:rFonts w:cstheme="minorHAnsi"/>
          <w:shd w:val="clear" w:color="auto" w:fill="FFFFFF"/>
        </w:rPr>
        <w:t>McGuire, A., 2010. Disability, Non-disability and the Politics of Mourning: Re-conceiving the 'we'. </w:t>
      </w:r>
      <w:r w:rsidRPr="00BE2C1D">
        <w:rPr>
          <w:rFonts w:cstheme="minorHAnsi"/>
          <w:i/>
          <w:iCs/>
          <w:shd w:val="clear" w:color="auto" w:fill="FFFFFF"/>
        </w:rPr>
        <w:t>Disability Studies Quarterly</w:t>
      </w:r>
      <w:r w:rsidRPr="00BE2C1D">
        <w:rPr>
          <w:rFonts w:cstheme="minorHAnsi"/>
          <w:shd w:val="clear" w:color="auto" w:fill="FFFFFF"/>
        </w:rPr>
        <w:t>. </w:t>
      </w:r>
      <w:r w:rsidRPr="00BE2C1D">
        <w:rPr>
          <w:rFonts w:cstheme="minorHAnsi"/>
          <w:b/>
          <w:bCs/>
          <w:shd w:val="clear" w:color="auto" w:fill="FFFFFF"/>
        </w:rPr>
        <w:t>30</w:t>
      </w:r>
      <w:r w:rsidRPr="00BE2C1D">
        <w:rPr>
          <w:rFonts w:cstheme="minorHAnsi"/>
          <w:shd w:val="clear" w:color="auto" w:fill="FFFFFF"/>
        </w:rPr>
        <w:t>(3/4), n.p.</w:t>
      </w:r>
    </w:p>
    <w:p w14:paraId="08343978" w14:textId="77777777" w:rsidR="00BE2C1D" w:rsidRPr="00BE2C1D" w:rsidRDefault="00BE2C1D" w:rsidP="00BE2C1D">
      <w:pPr>
        <w:spacing w:line="360" w:lineRule="auto"/>
        <w:rPr>
          <w:rFonts w:cstheme="minorHAnsi"/>
          <w:shd w:val="clear" w:color="auto" w:fill="FFFFFF"/>
        </w:rPr>
      </w:pPr>
      <w:r w:rsidRPr="00BE2C1D">
        <w:rPr>
          <w:rFonts w:cstheme="minorHAnsi"/>
          <w:shd w:val="clear" w:color="auto" w:fill="FFFFFF"/>
        </w:rPr>
        <w:t>McKnight, L. and Whitburn, B., 2017. The fetish of the lens: Persistent sexist and ableist metaphor in education research. </w:t>
      </w:r>
      <w:r w:rsidRPr="00BE2C1D">
        <w:rPr>
          <w:rFonts w:cstheme="minorHAnsi"/>
          <w:i/>
          <w:iCs/>
          <w:shd w:val="clear" w:color="auto" w:fill="FFFFFF"/>
        </w:rPr>
        <w:t>International Journal of Qualitative Studies in Education</w:t>
      </w:r>
      <w:r w:rsidRPr="00BE2C1D">
        <w:rPr>
          <w:rFonts w:cstheme="minorHAnsi"/>
          <w:shd w:val="clear" w:color="auto" w:fill="FFFFFF"/>
        </w:rPr>
        <w:t>. </w:t>
      </w:r>
      <w:r w:rsidRPr="00BE2C1D">
        <w:rPr>
          <w:rFonts w:cstheme="minorHAnsi"/>
          <w:b/>
          <w:bCs/>
          <w:shd w:val="clear" w:color="auto" w:fill="FFFFFF"/>
        </w:rPr>
        <w:t>30</w:t>
      </w:r>
      <w:r w:rsidRPr="00BE2C1D">
        <w:rPr>
          <w:rFonts w:cstheme="minorHAnsi"/>
          <w:shd w:val="clear" w:color="auto" w:fill="FFFFFF"/>
        </w:rPr>
        <w:t>(9), 821-831.</w:t>
      </w:r>
    </w:p>
    <w:p w14:paraId="568D5A8D" w14:textId="77777777" w:rsidR="00BE2C1D" w:rsidRPr="00BE2C1D" w:rsidRDefault="00BE2C1D" w:rsidP="00BE2C1D">
      <w:pPr>
        <w:spacing w:line="360" w:lineRule="auto"/>
        <w:jc w:val="both"/>
        <w:rPr>
          <w:rFonts w:cstheme="minorHAnsi"/>
          <w:lang w:val="en-US"/>
        </w:rPr>
      </w:pPr>
      <w:r w:rsidRPr="00BE2C1D">
        <w:rPr>
          <w:rFonts w:cstheme="minorHAnsi"/>
          <w:lang w:val="en-US"/>
        </w:rPr>
        <w:t xml:space="preserve">McLaughlin, J. (1997). An Ethic of Care: A Valuable Political Tool? </w:t>
      </w:r>
      <w:r w:rsidRPr="00BE2C1D">
        <w:rPr>
          <w:rFonts w:cstheme="minorHAnsi"/>
          <w:i/>
          <w:lang w:val="en-US"/>
        </w:rPr>
        <w:t xml:space="preserve">Politics. </w:t>
      </w:r>
      <w:r w:rsidRPr="00BE2C1D">
        <w:rPr>
          <w:rFonts w:cstheme="minorHAnsi"/>
          <w:b/>
          <w:bCs/>
          <w:lang w:val="en-US"/>
        </w:rPr>
        <w:t>17</w:t>
      </w:r>
      <w:r w:rsidRPr="00BE2C1D">
        <w:rPr>
          <w:rFonts w:cstheme="minorHAnsi"/>
          <w:lang w:val="en-US"/>
        </w:rPr>
        <w:t>(1), 17-23.</w:t>
      </w:r>
    </w:p>
    <w:p w14:paraId="07D7C8A4" w14:textId="77777777" w:rsidR="00BE2C1D" w:rsidRPr="00BE2C1D" w:rsidRDefault="00BE2C1D" w:rsidP="00BE2C1D">
      <w:pPr>
        <w:spacing w:line="360" w:lineRule="auto"/>
        <w:rPr>
          <w:rFonts w:cstheme="minorHAnsi"/>
          <w:shd w:val="clear" w:color="auto" w:fill="FFFFFF"/>
        </w:rPr>
      </w:pPr>
      <w:r w:rsidRPr="00BE2C1D">
        <w:rPr>
          <w:rFonts w:cstheme="minorHAnsi"/>
          <w:shd w:val="clear" w:color="auto" w:fill="FFFFFF"/>
        </w:rPr>
        <w:t>McLaughlin, J., 2019. Valuing Care and Support in an Era of Celebrating Independence: Disabled Young People’s Reflections on Their Meaning and Role in Their Lives. </w:t>
      </w:r>
      <w:r w:rsidRPr="00BE2C1D">
        <w:rPr>
          <w:rFonts w:cstheme="minorHAnsi"/>
          <w:i/>
          <w:iCs/>
          <w:shd w:val="clear" w:color="auto" w:fill="FFFFFF"/>
        </w:rPr>
        <w:t>Sociology</w:t>
      </w:r>
      <w:r w:rsidRPr="00BE2C1D">
        <w:rPr>
          <w:rFonts w:cstheme="minorHAnsi"/>
          <w:shd w:val="clear" w:color="auto" w:fill="FFFFFF"/>
        </w:rPr>
        <w:t xml:space="preserve">. 1-17. </w:t>
      </w:r>
    </w:p>
    <w:p w14:paraId="7C38E0E4" w14:textId="77777777" w:rsidR="00BE2C1D" w:rsidRPr="00BE2C1D" w:rsidRDefault="00BE2C1D" w:rsidP="00BE2C1D">
      <w:pPr>
        <w:spacing w:line="360" w:lineRule="auto"/>
        <w:jc w:val="both"/>
        <w:rPr>
          <w:rFonts w:cstheme="minorHAnsi"/>
          <w:shd w:val="clear" w:color="auto" w:fill="FFFFFF"/>
        </w:rPr>
      </w:pPr>
      <w:r w:rsidRPr="00BE2C1D">
        <w:rPr>
          <w:rFonts w:cstheme="minorHAnsi"/>
          <w:shd w:val="clear" w:color="auto" w:fill="FFFFFF"/>
        </w:rPr>
        <w:t>McLaughlin, J. and Coleman-Fountain, E., 2014. The unfinished body: The medical and social reshaping of disabled young bodies. </w:t>
      </w:r>
      <w:r w:rsidRPr="00BE2C1D">
        <w:rPr>
          <w:rFonts w:cstheme="minorHAnsi"/>
          <w:i/>
          <w:iCs/>
          <w:shd w:val="clear" w:color="auto" w:fill="FFFFFF"/>
        </w:rPr>
        <w:t>Social Science &amp; Medicine</w:t>
      </w:r>
      <w:r w:rsidRPr="00BE2C1D">
        <w:rPr>
          <w:rFonts w:cstheme="minorHAnsi"/>
          <w:shd w:val="clear" w:color="auto" w:fill="FFFFFF"/>
        </w:rPr>
        <w:t>. </w:t>
      </w:r>
      <w:r w:rsidRPr="00BE2C1D">
        <w:rPr>
          <w:rFonts w:cstheme="minorHAnsi"/>
          <w:b/>
          <w:bCs/>
          <w:shd w:val="clear" w:color="auto" w:fill="FFFFFF"/>
        </w:rPr>
        <w:t>120</w:t>
      </w:r>
      <w:r w:rsidRPr="00BE2C1D">
        <w:rPr>
          <w:rFonts w:cstheme="minorHAnsi"/>
          <w:shd w:val="clear" w:color="auto" w:fill="FFFFFF"/>
        </w:rPr>
        <w:t>, 76-84.</w:t>
      </w:r>
    </w:p>
    <w:p w14:paraId="2D187634" w14:textId="77777777" w:rsidR="00BE2C1D" w:rsidRPr="00BE2C1D" w:rsidRDefault="00BE2C1D" w:rsidP="00BE2C1D">
      <w:pPr>
        <w:spacing w:line="360" w:lineRule="auto"/>
        <w:rPr>
          <w:rFonts w:cstheme="minorHAnsi"/>
          <w:shd w:val="clear" w:color="auto" w:fill="FFFFFF"/>
        </w:rPr>
      </w:pPr>
      <w:r w:rsidRPr="00BE2C1D">
        <w:rPr>
          <w:rFonts w:cstheme="minorHAnsi"/>
          <w:shd w:val="clear" w:color="auto" w:fill="FFFFFF"/>
        </w:rPr>
        <w:lastRenderedPageBreak/>
        <w:t>McLaughlin, J. and Coleman-Fountain, E., (2018). Pursuit of ordinariness: Dynamics of conforming and resisting in disabled young people’s embodied practices. In: G. Thomas, D. Sakellariou, eds. </w:t>
      </w:r>
      <w:r w:rsidRPr="00BE2C1D">
        <w:rPr>
          <w:rFonts w:cstheme="minorHAnsi"/>
          <w:i/>
          <w:iCs/>
          <w:shd w:val="clear" w:color="auto" w:fill="FFFFFF"/>
        </w:rPr>
        <w:t xml:space="preserve">Disability, Normalcy, and the Everyday. </w:t>
      </w:r>
      <w:r w:rsidRPr="00BE2C1D">
        <w:rPr>
          <w:rFonts w:cstheme="minorHAnsi"/>
          <w:shd w:val="clear" w:color="auto" w:fill="FFFFFF"/>
        </w:rPr>
        <w:t>London: Routledge. pp. 79-99.</w:t>
      </w:r>
    </w:p>
    <w:p w14:paraId="1E7B679C" w14:textId="77777777" w:rsidR="00BE2C1D" w:rsidRPr="00BE2C1D" w:rsidRDefault="00BE2C1D" w:rsidP="00BE2C1D">
      <w:pPr>
        <w:spacing w:line="360" w:lineRule="auto"/>
        <w:rPr>
          <w:rFonts w:cstheme="minorHAnsi"/>
          <w:shd w:val="clear" w:color="auto" w:fill="FFFFFF"/>
        </w:rPr>
      </w:pPr>
      <w:r w:rsidRPr="00BE2C1D">
        <w:rPr>
          <w:rFonts w:cstheme="minorHAnsi"/>
          <w:shd w:val="clear" w:color="auto" w:fill="FFFFFF"/>
        </w:rPr>
        <w:t>McLaughlin, J. and Coleman-Fountain, E., 2019. Visual methods and voice in disabled childhoods research: Troubling narrative authenticity. </w:t>
      </w:r>
      <w:r w:rsidRPr="00BE2C1D">
        <w:rPr>
          <w:rFonts w:cstheme="minorHAnsi"/>
          <w:i/>
          <w:iCs/>
          <w:shd w:val="clear" w:color="auto" w:fill="FFFFFF"/>
        </w:rPr>
        <w:t>Qualitative Research</w:t>
      </w:r>
      <w:r w:rsidRPr="00BE2C1D">
        <w:rPr>
          <w:rFonts w:cstheme="minorHAnsi"/>
          <w:shd w:val="clear" w:color="auto" w:fill="FFFFFF"/>
        </w:rPr>
        <w:t>. </w:t>
      </w:r>
      <w:r w:rsidRPr="00BE2C1D">
        <w:rPr>
          <w:rFonts w:cstheme="minorHAnsi"/>
          <w:b/>
          <w:bCs/>
          <w:shd w:val="clear" w:color="auto" w:fill="FFFFFF"/>
        </w:rPr>
        <w:t>19</w:t>
      </w:r>
      <w:r w:rsidRPr="00BE2C1D">
        <w:rPr>
          <w:rFonts w:cstheme="minorHAnsi"/>
          <w:shd w:val="clear" w:color="auto" w:fill="FFFFFF"/>
        </w:rPr>
        <w:t>(4), 363-381.</w:t>
      </w:r>
    </w:p>
    <w:p w14:paraId="7F42806B" w14:textId="77777777" w:rsidR="00BE2C1D" w:rsidRPr="00BE2C1D" w:rsidRDefault="00BE2C1D" w:rsidP="00BE2C1D">
      <w:pPr>
        <w:spacing w:line="360" w:lineRule="auto"/>
        <w:rPr>
          <w:rFonts w:cstheme="minorHAnsi"/>
          <w:shd w:val="clear" w:color="auto" w:fill="FFFFFF"/>
        </w:rPr>
      </w:pPr>
      <w:r w:rsidRPr="00BE2C1D">
        <w:rPr>
          <w:rFonts w:cstheme="minorHAnsi"/>
          <w:shd w:val="clear" w:color="auto" w:fill="FFFFFF"/>
        </w:rPr>
        <w:t>McMaugh, A., 2011. En/countering disablement in school life in Australia: Children talk about peer relations and living with illness and disability. </w:t>
      </w:r>
      <w:r w:rsidRPr="00BE2C1D">
        <w:rPr>
          <w:rFonts w:cstheme="minorHAnsi"/>
          <w:i/>
          <w:iCs/>
          <w:shd w:val="clear" w:color="auto" w:fill="FFFFFF"/>
        </w:rPr>
        <w:t>Disability &amp; Society</w:t>
      </w:r>
      <w:r w:rsidRPr="00BE2C1D">
        <w:rPr>
          <w:rFonts w:cstheme="minorHAnsi"/>
          <w:shd w:val="clear" w:color="auto" w:fill="FFFFFF"/>
        </w:rPr>
        <w:t>. </w:t>
      </w:r>
      <w:r w:rsidRPr="00BE2C1D">
        <w:rPr>
          <w:rFonts w:cstheme="minorHAnsi"/>
          <w:b/>
          <w:bCs/>
          <w:shd w:val="clear" w:color="auto" w:fill="FFFFFF"/>
        </w:rPr>
        <w:t>26</w:t>
      </w:r>
      <w:r w:rsidRPr="00BE2C1D">
        <w:rPr>
          <w:rFonts w:cstheme="minorHAnsi"/>
          <w:shd w:val="clear" w:color="auto" w:fill="FFFFFF"/>
        </w:rPr>
        <w:t>(7), 853-866.</w:t>
      </w:r>
    </w:p>
    <w:p w14:paraId="35458447" w14:textId="77777777" w:rsidR="00BE2C1D" w:rsidRPr="00BE2C1D" w:rsidRDefault="00BE2C1D" w:rsidP="00BE2C1D">
      <w:pPr>
        <w:spacing w:line="360" w:lineRule="auto"/>
        <w:rPr>
          <w:rFonts w:cstheme="minorHAnsi"/>
          <w:shd w:val="clear" w:color="auto" w:fill="FFFFFF"/>
        </w:rPr>
      </w:pPr>
      <w:r w:rsidRPr="00BE2C1D">
        <w:rPr>
          <w:rFonts w:cstheme="minorHAnsi"/>
          <w:shd w:val="clear" w:color="auto" w:fill="FFFFFF"/>
        </w:rPr>
        <w:t>McVittie, E., 2005. The role of the teaching assistant: an investigative study to discover if teaching assistants are being used effectively to support children with special educational needs in mainstream schools. </w:t>
      </w:r>
      <w:r w:rsidRPr="00BE2C1D">
        <w:rPr>
          <w:rFonts w:cstheme="minorHAnsi"/>
          <w:i/>
          <w:iCs/>
          <w:shd w:val="clear" w:color="auto" w:fill="FFFFFF"/>
        </w:rPr>
        <w:t>Education 3-13</w:t>
      </w:r>
      <w:r w:rsidRPr="00BE2C1D">
        <w:rPr>
          <w:rFonts w:cstheme="minorHAnsi"/>
          <w:shd w:val="clear" w:color="auto" w:fill="FFFFFF"/>
        </w:rPr>
        <w:t>. </w:t>
      </w:r>
      <w:r w:rsidRPr="00BE2C1D">
        <w:rPr>
          <w:rFonts w:cstheme="minorHAnsi"/>
          <w:b/>
          <w:bCs/>
          <w:shd w:val="clear" w:color="auto" w:fill="FFFFFF"/>
        </w:rPr>
        <w:t>33</w:t>
      </w:r>
      <w:r w:rsidRPr="00BE2C1D">
        <w:rPr>
          <w:rFonts w:cstheme="minorHAnsi"/>
          <w:shd w:val="clear" w:color="auto" w:fill="FFFFFF"/>
        </w:rPr>
        <w:t>(3), 26-31.</w:t>
      </w:r>
    </w:p>
    <w:p w14:paraId="46F077ED" w14:textId="77777777" w:rsidR="00BE2C1D" w:rsidRPr="00BE2C1D" w:rsidRDefault="00BE2C1D" w:rsidP="00BE2C1D">
      <w:pPr>
        <w:spacing w:line="360" w:lineRule="auto"/>
        <w:rPr>
          <w:rFonts w:cstheme="minorHAnsi"/>
          <w:shd w:val="clear" w:color="auto" w:fill="FFFFFF"/>
        </w:rPr>
      </w:pPr>
      <w:r w:rsidRPr="00BE2C1D">
        <w:rPr>
          <w:rFonts w:cstheme="minorHAnsi"/>
          <w:shd w:val="clear" w:color="auto" w:fill="FFFFFF"/>
        </w:rPr>
        <w:t>Medeiros, A., (2016). </w:t>
      </w:r>
      <w:r w:rsidRPr="00BE2C1D">
        <w:rPr>
          <w:rFonts w:cstheme="minorHAnsi"/>
          <w:i/>
          <w:iCs/>
          <w:shd w:val="clear" w:color="auto" w:fill="FFFFFF"/>
        </w:rPr>
        <w:t>Heightened expectations: The rise of the human growth hormone industry in America</w:t>
      </w:r>
      <w:r w:rsidRPr="00BE2C1D">
        <w:rPr>
          <w:rFonts w:cstheme="minorHAnsi"/>
          <w:shd w:val="clear" w:color="auto" w:fill="FFFFFF"/>
        </w:rPr>
        <w:t>. Alabama: University of Alabama Press.</w:t>
      </w:r>
    </w:p>
    <w:p w14:paraId="12359AAA" w14:textId="77777777" w:rsidR="00BE2C1D" w:rsidRPr="00BE2C1D" w:rsidRDefault="00BE2C1D" w:rsidP="00BE2C1D">
      <w:pPr>
        <w:spacing w:line="360" w:lineRule="auto"/>
        <w:rPr>
          <w:rFonts w:cstheme="minorHAnsi"/>
          <w:shd w:val="clear" w:color="auto" w:fill="FFFFFF"/>
        </w:rPr>
      </w:pPr>
      <w:r w:rsidRPr="00BE2C1D">
        <w:rPr>
          <w:rFonts w:cstheme="minorHAnsi"/>
          <w:shd w:val="clear" w:color="auto" w:fill="FFFFFF"/>
        </w:rPr>
        <w:t>Meekosha, H. and Shuttleworth, R., 2009. What's so ‘critical’ about critical disability studies?. </w:t>
      </w:r>
      <w:r w:rsidRPr="00BE2C1D">
        <w:rPr>
          <w:rFonts w:cstheme="minorHAnsi"/>
          <w:i/>
          <w:iCs/>
          <w:shd w:val="clear" w:color="auto" w:fill="FFFFFF"/>
        </w:rPr>
        <w:t>Australian Journal of Human Rights</w:t>
      </w:r>
      <w:r w:rsidRPr="00BE2C1D">
        <w:rPr>
          <w:rFonts w:cstheme="minorHAnsi"/>
          <w:shd w:val="clear" w:color="auto" w:fill="FFFFFF"/>
        </w:rPr>
        <w:t>. </w:t>
      </w:r>
      <w:r w:rsidRPr="00BE2C1D">
        <w:rPr>
          <w:rFonts w:cstheme="minorHAnsi"/>
          <w:b/>
          <w:bCs/>
          <w:shd w:val="clear" w:color="auto" w:fill="FFFFFF"/>
        </w:rPr>
        <w:t>15</w:t>
      </w:r>
      <w:r w:rsidRPr="00BE2C1D">
        <w:rPr>
          <w:rFonts w:cstheme="minorHAnsi"/>
          <w:shd w:val="clear" w:color="auto" w:fill="FFFFFF"/>
        </w:rPr>
        <w:t>(1), 47-75.</w:t>
      </w:r>
    </w:p>
    <w:p w14:paraId="2D7B1DE3" w14:textId="77777777" w:rsidR="00BE2C1D" w:rsidRPr="00BE2C1D" w:rsidRDefault="00BE2C1D" w:rsidP="00BE2C1D">
      <w:pPr>
        <w:spacing w:line="360" w:lineRule="auto"/>
        <w:rPr>
          <w:rFonts w:cstheme="minorHAnsi"/>
          <w:shd w:val="clear" w:color="auto" w:fill="FFFFFF"/>
        </w:rPr>
      </w:pPr>
      <w:r w:rsidRPr="00BE2C1D">
        <w:rPr>
          <w:rFonts w:cstheme="minorHAnsi"/>
          <w:shd w:val="clear" w:color="auto" w:fill="FFFFFF"/>
        </w:rPr>
        <w:t>Meissel, K., Meyer, F., Yao, E.S. and Rubie-Davies, C.M., 2017. Subjectivity of teacher judgments: Exploring student characteristics that influence teacher judgments of student ability. </w:t>
      </w:r>
      <w:r w:rsidRPr="00BE2C1D">
        <w:rPr>
          <w:rFonts w:cstheme="minorHAnsi"/>
          <w:i/>
          <w:iCs/>
          <w:shd w:val="clear" w:color="auto" w:fill="FFFFFF"/>
        </w:rPr>
        <w:t>Teaching and Teacher Education</w:t>
      </w:r>
      <w:r w:rsidRPr="00BE2C1D">
        <w:rPr>
          <w:rFonts w:cstheme="minorHAnsi"/>
          <w:shd w:val="clear" w:color="auto" w:fill="FFFFFF"/>
        </w:rPr>
        <w:t>. </w:t>
      </w:r>
      <w:r w:rsidRPr="00BE2C1D">
        <w:rPr>
          <w:rFonts w:cstheme="minorHAnsi"/>
          <w:b/>
          <w:bCs/>
          <w:shd w:val="clear" w:color="auto" w:fill="FFFFFF"/>
        </w:rPr>
        <w:t>65</w:t>
      </w:r>
      <w:r w:rsidRPr="00BE2C1D">
        <w:rPr>
          <w:rFonts w:cstheme="minorHAnsi"/>
          <w:shd w:val="clear" w:color="auto" w:fill="FFFFFF"/>
        </w:rPr>
        <w:t>, 48-60.</w:t>
      </w:r>
    </w:p>
    <w:p w14:paraId="673654CB" w14:textId="77777777" w:rsidR="00BE2C1D" w:rsidRPr="00BE2C1D" w:rsidRDefault="00BE2C1D" w:rsidP="00BE2C1D">
      <w:pPr>
        <w:spacing w:line="360" w:lineRule="auto"/>
        <w:rPr>
          <w:rFonts w:cstheme="minorHAnsi"/>
          <w:shd w:val="clear" w:color="auto" w:fill="FFFFFF"/>
        </w:rPr>
      </w:pPr>
      <w:r w:rsidRPr="00BE2C1D">
        <w:rPr>
          <w:rFonts w:cstheme="minorHAnsi"/>
          <w:shd w:val="clear" w:color="auto" w:fill="FFFFFF"/>
        </w:rPr>
        <w:t>Michalko, R., (2002). </w:t>
      </w:r>
      <w:r w:rsidRPr="00BE2C1D">
        <w:rPr>
          <w:rFonts w:cstheme="minorHAnsi"/>
          <w:i/>
          <w:iCs/>
          <w:shd w:val="clear" w:color="auto" w:fill="FFFFFF"/>
        </w:rPr>
        <w:t>The difference that disability makes</w:t>
      </w:r>
      <w:r w:rsidRPr="00BE2C1D">
        <w:rPr>
          <w:rFonts w:cstheme="minorHAnsi"/>
          <w:shd w:val="clear" w:color="auto" w:fill="FFFFFF"/>
        </w:rPr>
        <w:t>. Place of publication: Temple University Press.</w:t>
      </w:r>
    </w:p>
    <w:p w14:paraId="2A5FECF4" w14:textId="77777777" w:rsidR="00BE2C1D" w:rsidRPr="00BE2C1D" w:rsidRDefault="00BE2C1D" w:rsidP="00BE2C1D">
      <w:pPr>
        <w:spacing w:line="360" w:lineRule="auto"/>
        <w:rPr>
          <w:rFonts w:cstheme="minorHAnsi"/>
          <w:shd w:val="clear" w:color="auto" w:fill="FFFFFF"/>
        </w:rPr>
      </w:pPr>
      <w:r w:rsidRPr="00BE2C1D">
        <w:rPr>
          <w:rFonts w:cstheme="minorHAnsi"/>
          <w:shd w:val="clear" w:color="auto" w:fill="FFFFFF"/>
        </w:rPr>
        <w:t>Michalko, R., 2009. The excessive appearance of disability. </w:t>
      </w:r>
      <w:r w:rsidRPr="00BE2C1D">
        <w:rPr>
          <w:rFonts w:cstheme="minorHAnsi"/>
          <w:i/>
          <w:iCs/>
          <w:shd w:val="clear" w:color="auto" w:fill="FFFFFF"/>
        </w:rPr>
        <w:t>International Journal of Qualitative Studies in Education</w:t>
      </w:r>
      <w:r w:rsidRPr="00BE2C1D">
        <w:rPr>
          <w:rFonts w:cstheme="minorHAnsi"/>
          <w:shd w:val="clear" w:color="auto" w:fill="FFFFFF"/>
        </w:rPr>
        <w:t>. </w:t>
      </w:r>
      <w:r w:rsidRPr="00BE2C1D">
        <w:rPr>
          <w:rFonts w:cstheme="minorHAnsi"/>
          <w:b/>
          <w:bCs/>
          <w:shd w:val="clear" w:color="auto" w:fill="FFFFFF"/>
        </w:rPr>
        <w:t>22</w:t>
      </w:r>
      <w:r w:rsidRPr="00BE2C1D">
        <w:rPr>
          <w:rFonts w:cstheme="minorHAnsi"/>
          <w:shd w:val="clear" w:color="auto" w:fill="FFFFFF"/>
        </w:rPr>
        <w:t>(1), 65-74.</w:t>
      </w:r>
    </w:p>
    <w:p w14:paraId="3D12141F" w14:textId="77777777" w:rsidR="00BE2C1D" w:rsidRPr="00BE2C1D" w:rsidRDefault="00BE2C1D" w:rsidP="00BE2C1D">
      <w:pPr>
        <w:spacing w:line="360" w:lineRule="auto"/>
        <w:rPr>
          <w:rFonts w:cstheme="minorHAnsi"/>
          <w:shd w:val="clear" w:color="auto" w:fill="FFFFFF"/>
        </w:rPr>
      </w:pPr>
      <w:r w:rsidRPr="00BE2C1D">
        <w:rPr>
          <w:rFonts w:cstheme="minorHAnsi"/>
          <w:shd w:val="clear" w:color="auto" w:fill="FFFFFF"/>
        </w:rPr>
        <w:t>Michalko, R., 2010. What’s Cool about Blindness?. </w:t>
      </w:r>
      <w:r w:rsidRPr="00BE2C1D">
        <w:rPr>
          <w:rFonts w:cstheme="minorHAnsi"/>
          <w:i/>
          <w:iCs/>
          <w:shd w:val="clear" w:color="auto" w:fill="FFFFFF"/>
        </w:rPr>
        <w:t>Disability Studies Quarterly</w:t>
      </w:r>
      <w:r w:rsidRPr="00BE2C1D">
        <w:rPr>
          <w:rFonts w:cstheme="minorHAnsi"/>
          <w:shd w:val="clear" w:color="auto" w:fill="FFFFFF"/>
        </w:rPr>
        <w:t>. </w:t>
      </w:r>
      <w:r w:rsidRPr="00BE2C1D">
        <w:rPr>
          <w:rFonts w:cstheme="minorHAnsi"/>
          <w:b/>
          <w:bCs/>
          <w:shd w:val="clear" w:color="auto" w:fill="FFFFFF"/>
        </w:rPr>
        <w:t>30</w:t>
      </w:r>
      <w:r w:rsidRPr="00BE2C1D">
        <w:rPr>
          <w:rFonts w:cstheme="minorHAnsi"/>
          <w:shd w:val="clear" w:color="auto" w:fill="FFFFFF"/>
        </w:rPr>
        <w:t>(3/4), n. p.</w:t>
      </w:r>
    </w:p>
    <w:p w14:paraId="799ACE09" w14:textId="77777777" w:rsidR="00BE2C1D" w:rsidRPr="00BE2C1D" w:rsidRDefault="00BE2C1D" w:rsidP="00BE2C1D">
      <w:pPr>
        <w:spacing w:line="360" w:lineRule="auto"/>
        <w:rPr>
          <w:rFonts w:cstheme="minorHAnsi"/>
          <w:shd w:val="clear" w:color="auto" w:fill="FFFFFF"/>
        </w:rPr>
      </w:pPr>
      <w:r w:rsidRPr="00BE2C1D">
        <w:rPr>
          <w:rFonts w:cstheme="minorHAnsi"/>
          <w:shd w:val="clear" w:color="auto" w:fill="FFFFFF"/>
        </w:rPr>
        <w:t>Migliaccio, T. and Raskauskas, J., (2015). </w:t>
      </w:r>
      <w:r w:rsidRPr="00BE2C1D">
        <w:rPr>
          <w:rFonts w:cstheme="minorHAnsi"/>
          <w:i/>
          <w:iCs/>
          <w:shd w:val="clear" w:color="auto" w:fill="FFFFFF"/>
        </w:rPr>
        <w:t>Bullying as a social experience: Social factors, prevention and intervention</w:t>
      </w:r>
      <w:r w:rsidRPr="00BE2C1D">
        <w:rPr>
          <w:rFonts w:cstheme="minorHAnsi"/>
          <w:shd w:val="clear" w:color="auto" w:fill="FFFFFF"/>
        </w:rPr>
        <w:t>. Ashgate Publishing.</w:t>
      </w:r>
    </w:p>
    <w:p w14:paraId="42DF3B3C" w14:textId="77777777" w:rsidR="00BE2C1D" w:rsidRPr="00BE2C1D" w:rsidRDefault="00BE2C1D" w:rsidP="00BE2C1D">
      <w:pPr>
        <w:spacing w:line="360" w:lineRule="auto"/>
        <w:rPr>
          <w:rFonts w:cstheme="minorHAnsi"/>
          <w:shd w:val="clear" w:color="auto" w:fill="FFFFFF"/>
        </w:rPr>
      </w:pPr>
      <w:r w:rsidRPr="00BE2C1D">
        <w:rPr>
          <w:rFonts w:cstheme="minorHAnsi"/>
          <w:shd w:val="clear" w:color="auto" w:fill="FFFFFF"/>
        </w:rPr>
        <w:t>Milanese, S. and Grimmer, K., 2004. School furniture and the user population: an anthropometric perspective. </w:t>
      </w:r>
      <w:r w:rsidRPr="00BE2C1D">
        <w:rPr>
          <w:rFonts w:cstheme="minorHAnsi"/>
          <w:i/>
          <w:iCs/>
          <w:shd w:val="clear" w:color="auto" w:fill="FFFFFF"/>
        </w:rPr>
        <w:t>Ergonomics</w:t>
      </w:r>
      <w:r w:rsidRPr="00BE2C1D">
        <w:rPr>
          <w:rFonts w:cstheme="minorHAnsi"/>
          <w:shd w:val="clear" w:color="auto" w:fill="FFFFFF"/>
        </w:rPr>
        <w:t>. </w:t>
      </w:r>
      <w:r w:rsidRPr="00BE2C1D">
        <w:rPr>
          <w:rFonts w:cstheme="minorHAnsi"/>
          <w:b/>
          <w:bCs/>
          <w:shd w:val="clear" w:color="auto" w:fill="FFFFFF"/>
        </w:rPr>
        <w:t>47</w:t>
      </w:r>
      <w:r w:rsidRPr="00BE2C1D">
        <w:rPr>
          <w:rFonts w:cstheme="minorHAnsi"/>
          <w:shd w:val="clear" w:color="auto" w:fill="FFFFFF"/>
        </w:rPr>
        <w:t>(4), 416-426.</w:t>
      </w:r>
    </w:p>
    <w:p w14:paraId="08F05254" w14:textId="77777777" w:rsidR="00BE2C1D" w:rsidRPr="00BE2C1D" w:rsidRDefault="00BE2C1D" w:rsidP="00BE2C1D">
      <w:pPr>
        <w:spacing w:line="360" w:lineRule="auto"/>
        <w:rPr>
          <w:rFonts w:cstheme="minorHAnsi"/>
          <w:shd w:val="clear" w:color="auto" w:fill="FFFFFF"/>
        </w:rPr>
      </w:pPr>
      <w:r w:rsidRPr="00BE2C1D">
        <w:rPr>
          <w:rFonts w:cstheme="minorHAnsi"/>
        </w:rPr>
        <w:t>Millei, Z., and Cliff, K., 2013. The Preschool Bathroom: Making ‘Problem Bodies’ and the Limit of the Disciplinary Regime Over Children. </w:t>
      </w:r>
      <w:r w:rsidRPr="00BE2C1D">
        <w:rPr>
          <w:rFonts w:cstheme="minorHAnsi"/>
          <w:i/>
          <w:iCs/>
        </w:rPr>
        <w:t>British Journal of Sociology of Education.</w:t>
      </w:r>
      <w:r w:rsidRPr="00BE2C1D">
        <w:rPr>
          <w:rFonts w:cstheme="minorHAnsi"/>
        </w:rPr>
        <w:t> </w:t>
      </w:r>
      <w:r w:rsidRPr="00BE2C1D">
        <w:rPr>
          <w:rFonts w:cstheme="minorHAnsi"/>
          <w:b/>
          <w:bCs/>
        </w:rPr>
        <w:t>35</w:t>
      </w:r>
      <w:r w:rsidRPr="00BE2C1D">
        <w:rPr>
          <w:rFonts w:cstheme="minorHAnsi"/>
        </w:rPr>
        <w:t>(2), 244–262. </w:t>
      </w:r>
    </w:p>
    <w:p w14:paraId="069318B7" w14:textId="77777777" w:rsidR="00BE2C1D" w:rsidRPr="00BE2C1D" w:rsidRDefault="00BE2C1D" w:rsidP="00BE2C1D">
      <w:pPr>
        <w:spacing w:line="360" w:lineRule="auto"/>
        <w:rPr>
          <w:rFonts w:cstheme="minorHAnsi"/>
          <w:shd w:val="clear" w:color="auto" w:fill="FFFFFF"/>
        </w:rPr>
      </w:pPr>
      <w:r w:rsidRPr="00BE2C1D">
        <w:rPr>
          <w:rFonts w:cstheme="minorHAnsi"/>
          <w:shd w:val="clear" w:color="auto" w:fill="FFFFFF"/>
        </w:rPr>
        <w:lastRenderedPageBreak/>
        <w:t>Mills, C., 2014. Psychotropic childhoods: global mental health and pharmaceutical children. </w:t>
      </w:r>
      <w:r w:rsidRPr="00BE2C1D">
        <w:rPr>
          <w:rFonts w:cstheme="minorHAnsi"/>
          <w:i/>
          <w:iCs/>
          <w:shd w:val="clear" w:color="auto" w:fill="FFFFFF"/>
        </w:rPr>
        <w:t>Children &amp; society</w:t>
      </w:r>
      <w:r w:rsidRPr="00BE2C1D">
        <w:rPr>
          <w:rFonts w:cstheme="minorHAnsi"/>
          <w:shd w:val="clear" w:color="auto" w:fill="FFFFFF"/>
        </w:rPr>
        <w:t>. </w:t>
      </w:r>
      <w:r w:rsidRPr="00BE2C1D">
        <w:rPr>
          <w:rFonts w:cstheme="minorHAnsi"/>
          <w:b/>
          <w:bCs/>
          <w:shd w:val="clear" w:color="auto" w:fill="FFFFFF"/>
        </w:rPr>
        <w:t>28</w:t>
      </w:r>
      <w:r w:rsidRPr="00BE2C1D">
        <w:rPr>
          <w:rFonts w:cstheme="minorHAnsi"/>
          <w:shd w:val="clear" w:color="auto" w:fill="FFFFFF"/>
        </w:rPr>
        <w:t>(3), 194-204.</w:t>
      </w:r>
    </w:p>
    <w:p w14:paraId="5427E0CC" w14:textId="77777777" w:rsidR="00BE2C1D" w:rsidRPr="00BE2C1D" w:rsidRDefault="00BE2C1D" w:rsidP="00BE2C1D">
      <w:pPr>
        <w:spacing w:line="360" w:lineRule="auto"/>
        <w:rPr>
          <w:rFonts w:cstheme="minorHAnsi"/>
          <w:shd w:val="clear" w:color="auto" w:fill="FFFFFF"/>
        </w:rPr>
      </w:pPr>
      <w:r w:rsidRPr="00BE2C1D">
        <w:rPr>
          <w:rFonts w:cstheme="minorHAnsi"/>
          <w:shd w:val="clear" w:color="auto" w:fill="FFFFFF"/>
        </w:rPr>
        <w:t>Mills, C. and Lefrancois, B.A., 2018. Child as metaphor: Colonialism, psy-governance, and epistemicide. </w:t>
      </w:r>
      <w:r w:rsidRPr="00BE2C1D">
        <w:rPr>
          <w:rFonts w:cstheme="minorHAnsi"/>
          <w:i/>
          <w:iCs/>
          <w:shd w:val="clear" w:color="auto" w:fill="FFFFFF"/>
        </w:rPr>
        <w:t>World Futures</w:t>
      </w:r>
      <w:r w:rsidRPr="00BE2C1D">
        <w:rPr>
          <w:rFonts w:cstheme="minorHAnsi"/>
          <w:shd w:val="clear" w:color="auto" w:fill="FFFFFF"/>
        </w:rPr>
        <w:t>. </w:t>
      </w:r>
      <w:r w:rsidRPr="00BE2C1D">
        <w:rPr>
          <w:rFonts w:cstheme="minorHAnsi"/>
          <w:b/>
          <w:bCs/>
          <w:shd w:val="clear" w:color="auto" w:fill="FFFFFF"/>
        </w:rPr>
        <w:t>74</w:t>
      </w:r>
      <w:r w:rsidRPr="00BE2C1D">
        <w:rPr>
          <w:rFonts w:cstheme="minorHAnsi"/>
          <w:shd w:val="clear" w:color="auto" w:fill="FFFFFF"/>
        </w:rPr>
        <w:t>(7-8), 503-524.</w:t>
      </w:r>
    </w:p>
    <w:p w14:paraId="18E7D46B" w14:textId="77777777" w:rsidR="00BE2C1D" w:rsidRPr="00BE2C1D" w:rsidRDefault="00BE2C1D" w:rsidP="00BE2C1D">
      <w:pPr>
        <w:spacing w:line="360" w:lineRule="auto"/>
        <w:rPr>
          <w:rFonts w:cstheme="minorHAnsi"/>
          <w:shd w:val="clear" w:color="auto" w:fill="FFFFFF"/>
        </w:rPr>
      </w:pPr>
      <w:r w:rsidRPr="00BE2C1D">
        <w:rPr>
          <w:rFonts w:cstheme="minorHAnsi"/>
          <w:shd w:val="clear" w:color="auto" w:fill="FFFFFF"/>
        </w:rPr>
        <w:t>Mishna, F., 2004. A qualitative study of bullying from multiple perspectives. </w:t>
      </w:r>
      <w:r w:rsidRPr="00BE2C1D">
        <w:rPr>
          <w:rFonts w:cstheme="minorHAnsi"/>
          <w:i/>
          <w:iCs/>
          <w:shd w:val="clear" w:color="auto" w:fill="FFFFFF"/>
        </w:rPr>
        <w:t>Children &amp; Schools</w:t>
      </w:r>
      <w:r w:rsidRPr="00BE2C1D">
        <w:rPr>
          <w:rFonts w:cstheme="minorHAnsi"/>
          <w:shd w:val="clear" w:color="auto" w:fill="FFFFFF"/>
        </w:rPr>
        <w:t>. </w:t>
      </w:r>
      <w:r w:rsidRPr="00BE2C1D">
        <w:rPr>
          <w:rFonts w:cstheme="minorHAnsi"/>
          <w:b/>
          <w:bCs/>
          <w:shd w:val="clear" w:color="auto" w:fill="FFFFFF"/>
        </w:rPr>
        <w:t>26</w:t>
      </w:r>
      <w:r w:rsidRPr="00BE2C1D">
        <w:rPr>
          <w:rFonts w:cstheme="minorHAnsi"/>
          <w:shd w:val="clear" w:color="auto" w:fill="FFFFFF"/>
        </w:rPr>
        <w:t>(4), 234-247.</w:t>
      </w:r>
    </w:p>
    <w:p w14:paraId="10CCCC57" w14:textId="77777777" w:rsidR="00BE2C1D" w:rsidRPr="00BE2C1D" w:rsidRDefault="00BE2C1D" w:rsidP="00BE2C1D">
      <w:pPr>
        <w:autoSpaceDE w:val="0"/>
        <w:autoSpaceDN w:val="0"/>
        <w:adjustRightInd w:val="0"/>
        <w:spacing w:after="0" w:line="360" w:lineRule="auto"/>
        <w:jc w:val="both"/>
        <w:rPr>
          <w:rFonts w:cstheme="minorHAnsi"/>
          <w:shd w:val="clear" w:color="auto" w:fill="FFFFFF"/>
        </w:rPr>
      </w:pPr>
      <w:r w:rsidRPr="00BE2C1D">
        <w:rPr>
          <w:rFonts w:cstheme="minorHAnsi"/>
          <w:shd w:val="clear" w:color="auto" w:fill="FFFFFF"/>
        </w:rPr>
        <w:t>Moloney, S., 2011. Focus groups as transformative spiritual encounters. </w:t>
      </w:r>
      <w:r w:rsidRPr="00BE2C1D">
        <w:rPr>
          <w:rFonts w:cstheme="minorHAnsi"/>
          <w:i/>
          <w:iCs/>
          <w:shd w:val="clear" w:color="auto" w:fill="FFFFFF"/>
        </w:rPr>
        <w:t>International journal of qualitative methods</w:t>
      </w:r>
      <w:r w:rsidRPr="00BE2C1D">
        <w:rPr>
          <w:rFonts w:cstheme="minorHAnsi"/>
          <w:shd w:val="clear" w:color="auto" w:fill="FFFFFF"/>
        </w:rPr>
        <w:t>. </w:t>
      </w:r>
      <w:r w:rsidRPr="00BE2C1D">
        <w:rPr>
          <w:rFonts w:cstheme="minorHAnsi"/>
          <w:b/>
          <w:bCs/>
          <w:shd w:val="clear" w:color="auto" w:fill="FFFFFF"/>
        </w:rPr>
        <w:t>10</w:t>
      </w:r>
      <w:r w:rsidRPr="00BE2C1D">
        <w:rPr>
          <w:rFonts w:cstheme="minorHAnsi"/>
          <w:shd w:val="clear" w:color="auto" w:fill="FFFFFF"/>
        </w:rPr>
        <w:t>(1), 58-72.</w:t>
      </w:r>
    </w:p>
    <w:p w14:paraId="1BC7D350" w14:textId="77777777" w:rsidR="00BE2C1D" w:rsidRPr="00BE2C1D" w:rsidRDefault="00BE2C1D" w:rsidP="00BE2C1D">
      <w:pPr>
        <w:spacing w:line="360" w:lineRule="auto"/>
        <w:rPr>
          <w:rFonts w:cstheme="minorHAnsi"/>
          <w:shd w:val="clear" w:color="auto" w:fill="FFFFFF"/>
        </w:rPr>
      </w:pPr>
      <w:r w:rsidRPr="00BE2C1D">
        <w:rPr>
          <w:rFonts w:cstheme="minorHAnsi"/>
          <w:shd w:val="clear" w:color="auto" w:fill="FFFFFF"/>
        </w:rPr>
        <w:t>Money, J. and Pollitt, E., 1966. Studies in the psychology of dwarfism: II. Personality maturation and response to growth hormone treatment in hypopituitary dwarfs. </w:t>
      </w:r>
      <w:r w:rsidRPr="00BE2C1D">
        <w:rPr>
          <w:rFonts w:cstheme="minorHAnsi"/>
          <w:i/>
          <w:iCs/>
          <w:shd w:val="clear" w:color="auto" w:fill="FFFFFF"/>
        </w:rPr>
        <w:t>The Journal of paediatrics</w:t>
      </w:r>
      <w:r w:rsidRPr="00BE2C1D">
        <w:rPr>
          <w:rFonts w:cstheme="minorHAnsi"/>
          <w:shd w:val="clear" w:color="auto" w:fill="FFFFFF"/>
        </w:rPr>
        <w:t>. </w:t>
      </w:r>
      <w:r w:rsidRPr="00BE2C1D">
        <w:rPr>
          <w:rFonts w:cstheme="minorHAnsi"/>
          <w:b/>
          <w:bCs/>
          <w:shd w:val="clear" w:color="auto" w:fill="FFFFFF"/>
        </w:rPr>
        <w:t>68</w:t>
      </w:r>
      <w:r w:rsidRPr="00BE2C1D">
        <w:rPr>
          <w:rFonts w:cstheme="minorHAnsi"/>
          <w:shd w:val="clear" w:color="auto" w:fill="FFFFFF"/>
        </w:rPr>
        <w:t>(3), 381-390.</w:t>
      </w:r>
    </w:p>
    <w:p w14:paraId="5C027642" w14:textId="77777777" w:rsidR="00BE2C1D" w:rsidRPr="00BE2C1D" w:rsidRDefault="00BE2C1D" w:rsidP="00BE2C1D">
      <w:pPr>
        <w:spacing w:line="360" w:lineRule="auto"/>
        <w:rPr>
          <w:rFonts w:cstheme="minorHAnsi"/>
          <w:shd w:val="clear" w:color="auto" w:fill="FFFFFF"/>
        </w:rPr>
      </w:pPr>
      <w:r w:rsidRPr="00BE2C1D">
        <w:rPr>
          <w:rFonts w:cstheme="minorHAnsi"/>
          <w:shd w:val="clear" w:color="auto" w:fill="FFFFFF"/>
        </w:rPr>
        <w:t>Morris, J., 1991. 'Us' and 'them'? Feminist research, community care and disability. </w:t>
      </w:r>
      <w:r w:rsidRPr="00BE2C1D">
        <w:rPr>
          <w:rFonts w:cstheme="minorHAnsi"/>
          <w:i/>
          <w:iCs/>
          <w:shd w:val="clear" w:color="auto" w:fill="FFFFFF"/>
        </w:rPr>
        <w:t>Critical Social Policy</w:t>
      </w:r>
      <w:r w:rsidRPr="00BE2C1D">
        <w:rPr>
          <w:rFonts w:cstheme="minorHAnsi"/>
          <w:shd w:val="clear" w:color="auto" w:fill="FFFFFF"/>
        </w:rPr>
        <w:t>. </w:t>
      </w:r>
      <w:r w:rsidRPr="00BE2C1D">
        <w:rPr>
          <w:rFonts w:cstheme="minorHAnsi"/>
          <w:b/>
          <w:bCs/>
          <w:shd w:val="clear" w:color="auto" w:fill="FFFFFF"/>
        </w:rPr>
        <w:t>11</w:t>
      </w:r>
      <w:r w:rsidRPr="00BE2C1D">
        <w:rPr>
          <w:rFonts w:cstheme="minorHAnsi"/>
          <w:shd w:val="clear" w:color="auto" w:fill="FFFFFF"/>
        </w:rPr>
        <w:t>(33), 22-39.</w:t>
      </w:r>
    </w:p>
    <w:p w14:paraId="657FA5C7" w14:textId="77777777" w:rsidR="00BE2C1D" w:rsidRPr="00BE2C1D" w:rsidRDefault="00BE2C1D" w:rsidP="00BE2C1D">
      <w:pPr>
        <w:spacing w:line="360" w:lineRule="auto"/>
        <w:rPr>
          <w:rFonts w:cstheme="minorHAnsi"/>
          <w:shd w:val="clear" w:color="auto" w:fill="FFFFFF"/>
        </w:rPr>
      </w:pPr>
      <w:r w:rsidRPr="00BE2C1D">
        <w:rPr>
          <w:rFonts w:cstheme="minorHAnsi"/>
          <w:shd w:val="clear" w:color="auto" w:fill="FFFFFF"/>
        </w:rPr>
        <w:t>Morris, J., (1998). </w:t>
      </w:r>
      <w:r w:rsidRPr="00BE2C1D">
        <w:rPr>
          <w:rFonts w:cstheme="minorHAnsi"/>
          <w:i/>
          <w:iCs/>
          <w:shd w:val="clear" w:color="auto" w:fill="FFFFFF"/>
        </w:rPr>
        <w:t>Accessing human rights: disabled children and the Children Act</w:t>
      </w:r>
      <w:r w:rsidRPr="00BE2C1D">
        <w:rPr>
          <w:rFonts w:cstheme="minorHAnsi"/>
          <w:shd w:val="clear" w:color="auto" w:fill="FFFFFF"/>
        </w:rPr>
        <w:t>. Barkingside, Essex: Barnardo's.</w:t>
      </w:r>
    </w:p>
    <w:p w14:paraId="6D07C165" w14:textId="77777777" w:rsidR="00BE2C1D" w:rsidRPr="00BE2C1D" w:rsidRDefault="00BE2C1D" w:rsidP="00BE2C1D">
      <w:pPr>
        <w:spacing w:line="360" w:lineRule="auto"/>
        <w:rPr>
          <w:rFonts w:cstheme="minorHAnsi"/>
          <w:shd w:val="clear" w:color="auto" w:fill="FFFFFF"/>
        </w:rPr>
      </w:pPr>
      <w:r w:rsidRPr="00BE2C1D">
        <w:rPr>
          <w:rFonts w:cstheme="minorHAnsi"/>
          <w:shd w:val="clear" w:color="auto" w:fill="FFFFFF"/>
        </w:rPr>
        <w:t>Morris, J., 2003. Including all children: finding out about the experiences of children with communication and/or cognitive impairments. </w:t>
      </w:r>
      <w:r w:rsidRPr="00BE2C1D">
        <w:rPr>
          <w:rFonts w:cstheme="minorHAnsi"/>
          <w:i/>
          <w:iCs/>
          <w:shd w:val="clear" w:color="auto" w:fill="FFFFFF"/>
        </w:rPr>
        <w:t>Children &amp; society</w:t>
      </w:r>
      <w:r w:rsidRPr="00BE2C1D">
        <w:rPr>
          <w:rFonts w:cstheme="minorHAnsi"/>
          <w:shd w:val="clear" w:color="auto" w:fill="FFFFFF"/>
        </w:rPr>
        <w:t>. </w:t>
      </w:r>
      <w:r w:rsidRPr="00BE2C1D">
        <w:rPr>
          <w:rFonts w:cstheme="minorHAnsi"/>
          <w:b/>
          <w:bCs/>
          <w:shd w:val="clear" w:color="auto" w:fill="FFFFFF"/>
        </w:rPr>
        <w:t>17</w:t>
      </w:r>
      <w:r w:rsidRPr="00BE2C1D">
        <w:rPr>
          <w:rFonts w:cstheme="minorHAnsi"/>
          <w:shd w:val="clear" w:color="auto" w:fill="FFFFFF"/>
        </w:rPr>
        <w:t>(5), 337-348.</w:t>
      </w:r>
    </w:p>
    <w:p w14:paraId="5D93346E" w14:textId="77777777" w:rsidR="00BE2C1D" w:rsidRPr="00BE2C1D" w:rsidRDefault="00BE2C1D" w:rsidP="00BE2C1D">
      <w:pPr>
        <w:spacing w:line="360" w:lineRule="auto"/>
        <w:rPr>
          <w:rFonts w:cstheme="minorHAnsi"/>
          <w:shd w:val="clear" w:color="auto" w:fill="FFFFFF"/>
        </w:rPr>
      </w:pPr>
      <w:r w:rsidRPr="00BE2C1D">
        <w:rPr>
          <w:rFonts w:cstheme="minorHAnsi"/>
          <w:shd w:val="clear" w:color="auto" w:fill="FFFFFF"/>
        </w:rPr>
        <w:t xml:space="preserve">Morrison, M., 2015. Growth hormone, enhancement and the pharmaceuticalisation of short stature. </w:t>
      </w:r>
      <w:r w:rsidRPr="00BE2C1D">
        <w:rPr>
          <w:rFonts w:cstheme="minorHAnsi"/>
          <w:i/>
          <w:iCs/>
          <w:shd w:val="clear" w:color="auto" w:fill="FFFFFF"/>
        </w:rPr>
        <w:t xml:space="preserve">Social Science &amp; Medicine. </w:t>
      </w:r>
      <w:r w:rsidRPr="00BE2C1D">
        <w:rPr>
          <w:rFonts w:cstheme="minorHAnsi"/>
          <w:b/>
          <w:bCs/>
          <w:shd w:val="clear" w:color="auto" w:fill="FFFFFF"/>
        </w:rPr>
        <w:t>131,</w:t>
      </w:r>
      <w:r w:rsidRPr="00BE2C1D">
        <w:rPr>
          <w:rFonts w:cstheme="minorHAnsi"/>
          <w:shd w:val="clear" w:color="auto" w:fill="FFFFFF"/>
        </w:rPr>
        <w:t xml:space="preserve"> 305-312.</w:t>
      </w:r>
    </w:p>
    <w:p w14:paraId="734F39CC" w14:textId="77777777" w:rsidR="00BE2C1D" w:rsidRPr="00BE2C1D" w:rsidRDefault="00BE2C1D" w:rsidP="00BE2C1D">
      <w:pPr>
        <w:spacing w:line="360" w:lineRule="auto"/>
        <w:rPr>
          <w:rFonts w:cstheme="minorHAnsi"/>
          <w:shd w:val="clear" w:color="auto" w:fill="FFFFFF"/>
        </w:rPr>
      </w:pPr>
      <w:r w:rsidRPr="00BE2C1D">
        <w:rPr>
          <w:rFonts w:cstheme="minorHAnsi"/>
          <w:shd w:val="clear" w:color="auto" w:fill="FFFFFF"/>
        </w:rPr>
        <w:t>Morrison, M., 2019. Valuing height: diagnosis, valuation and the case of idiopathic short stature. </w:t>
      </w:r>
      <w:r w:rsidRPr="00BE2C1D">
        <w:rPr>
          <w:rFonts w:cstheme="minorHAnsi"/>
          <w:i/>
          <w:iCs/>
          <w:shd w:val="clear" w:color="auto" w:fill="FFFFFF"/>
        </w:rPr>
        <w:t>Sociology of health &amp; illness</w:t>
      </w:r>
      <w:r w:rsidRPr="00BE2C1D">
        <w:rPr>
          <w:rFonts w:cstheme="minorHAnsi"/>
          <w:shd w:val="clear" w:color="auto" w:fill="FFFFFF"/>
        </w:rPr>
        <w:t>. </w:t>
      </w:r>
      <w:r w:rsidRPr="00BE2C1D">
        <w:rPr>
          <w:rFonts w:cstheme="minorHAnsi"/>
          <w:b/>
          <w:bCs/>
          <w:shd w:val="clear" w:color="auto" w:fill="FFFFFF"/>
        </w:rPr>
        <w:t>41</w:t>
      </w:r>
      <w:r w:rsidRPr="00BE2C1D">
        <w:rPr>
          <w:rFonts w:cstheme="minorHAnsi"/>
          <w:shd w:val="clear" w:color="auto" w:fill="FFFFFF"/>
        </w:rPr>
        <w:t>(3), 502-516.</w:t>
      </w:r>
    </w:p>
    <w:p w14:paraId="41693F25" w14:textId="77777777" w:rsidR="00BE2C1D" w:rsidRPr="00BE2C1D" w:rsidRDefault="00BE2C1D" w:rsidP="00BE2C1D">
      <w:pPr>
        <w:spacing w:line="360" w:lineRule="auto"/>
        <w:rPr>
          <w:rFonts w:cstheme="minorHAnsi"/>
          <w:shd w:val="clear" w:color="auto" w:fill="FFFFFF"/>
        </w:rPr>
      </w:pPr>
      <w:r w:rsidRPr="00BE2C1D">
        <w:rPr>
          <w:rFonts w:cstheme="minorHAnsi"/>
          <w:shd w:val="clear" w:color="auto" w:fill="FFFFFF"/>
        </w:rPr>
        <w:t>Mortier, K., Desimpel, L., De Schauwer, E. and Van Hove, G., 2011. ‘I want support, not comments’: children's perspectives on supports in their life. </w:t>
      </w:r>
      <w:r w:rsidRPr="00BE2C1D">
        <w:rPr>
          <w:rFonts w:cstheme="minorHAnsi"/>
          <w:i/>
          <w:iCs/>
          <w:shd w:val="clear" w:color="auto" w:fill="FFFFFF"/>
        </w:rPr>
        <w:t>Disability &amp; Society</w:t>
      </w:r>
      <w:r w:rsidRPr="00BE2C1D">
        <w:rPr>
          <w:rFonts w:cstheme="minorHAnsi"/>
          <w:shd w:val="clear" w:color="auto" w:fill="FFFFFF"/>
        </w:rPr>
        <w:t>. </w:t>
      </w:r>
      <w:r w:rsidRPr="00BE2C1D">
        <w:rPr>
          <w:rFonts w:cstheme="minorHAnsi"/>
          <w:b/>
          <w:bCs/>
          <w:shd w:val="clear" w:color="auto" w:fill="FFFFFF"/>
        </w:rPr>
        <w:t>26</w:t>
      </w:r>
      <w:r w:rsidRPr="00BE2C1D">
        <w:rPr>
          <w:rFonts w:cstheme="minorHAnsi"/>
          <w:shd w:val="clear" w:color="auto" w:fill="FFFFFF"/>
        </w:rPr>
        <w:t>(2), 207-221.</w:t>
      </w:r>
    </w:p>
    <w:p w14:paraId="7DA847FA" w14:textId="77777777" w:rsidR="00BE2C1D" w:rsidRPr="00BE2C1D" w:rsidRDefault="00BE2C1D" w:rsidP="00BE2C1D">
      <w:pPr>
        <w:spacing w:line="360" w:lineRule="auto"/>
        <w:rPr>
          <w:rFonts w:cstheme="minorHAnsi"/>
          <w:shd w:val="clear" w:color="auto" w:fill="FFFFFF"/>
        </w:rPr>
      </w:pPr>
      <w:r w:rsidRPr="00BE2C1D">
        <w:rPr>
          <w:rFonts w:cstheme="minorHAnsi"/>
          <w:shd w:val="clear" w:color="auto" w:fill="FFFFFF"/>
        </w:rPr>
        <w:t>Mortier, K., Van Hove, G. and De Schauwer, E., 2010. Supports for children with disabilities in regular education classrooms: an account of different perspectives in Flanders. </w:t>
      </w:r>
      <w:r w:rsidRPr="00BE2C1D">
        <w:rPr>
          <w:rFonts w:cstheme="minorHAnsi"/>
          <w:i/>
          <w:iCs/>
          <w:shd w:val="clear" w:color="auto" w:fill="FFFFFF"/>
        </w:rPr>
        <w:t>International Journal of Inclusive Education</w:t>
      </w:r>
      <w:r w:rsidRPr="00BE2C1D">
        <w:rPr>
          <w:rFonts w:cstheme="minorHAnsi"/>
          <w:shd w:val="clear" w:color="auto" w:fill="FFFFFF"/>
        </w:rPr>
        <w:t>. </w:t>
      </w:r>
      <w:r w:rsidRPr="00BE2C1D">
        <w:rPr>
          <w:rFonts w:cstheme="minorHAnsi"/>
          <w:b/>
          <w:bCs/>
          <w:shd w:val="clear" w:color="auto" w:fill="FFFFFF"/>
        </w:rPr>
        <w:t>14</w:t>
      </w:r>
      <w:r w:rsidRPr="00BE2C1D">
        <w:rPr>
          <w:rFonts w:cstheme="minorHAnsi"/>
          <w:shd w:val="clear" w:color="auto" w:fill="FFFFFF"/>
        </w:rPr>
        <w:t>(6), 543-561.</w:t>
      </w:r>
    </w:p>
    <w:p w14:paraId="3BDE4459" w14:textId="77777777" w:rsidR="00BE2C1D" w:rsidRPr="00BE2C1D" w:rsidRDefault="00BE2C1D" w:rsidP="00BE2C1D">
      <w:pPr>
        <w:spacing w:line="360" w:lineRule="auto"/>
        <w:rPr>
          <w:rFonts w:cstheme="minorHAnsi"/>
          <w:shd w:val="clear" w:color="auto" w:fill="FFFFFF"/>
        </w:rPr>
      </w:pPr>
      <w:r w:rsidRPr="00BE2C1D">
        <w:rPr>
          <w:rFonts w:cstheme="minorHAnsi"/>
          <w:shd w:val="clear" w:color="auto" w:fill="FFFFFF"/>
        </w:rPr>
        <w:t>Moyles, J. and Suschitzky, W., 1997. The employment and deployment of classroom support staff: head teachers’ perspectives. </w:t>
      </w:r>
      <w:r w:rsidRPr="00BE2C1D">
        <w:rPr>
          <w:rFonts w:cstheme="minorHAnsi"/>
          <w:i/>
          <w:iCs/>
          <w:shd w:val="clear" w:color="auto" w:fill="FFFFFF"/>
        </w:rPr>
        <w:t>Research in Education</w:t>
      </w:r>
      <w:r w:rsidRPr="00BE2C1D">
        <w:rPr>
          <w:rFonts w:cstheme="minorHAnsi"/>
          <w:shd w:val="clear" w:color="auto" w:fill="FFFFFF"/>
        </w:rPr>
        <w:t>. </w:t>
      </w:r>
      <w:r w:rsidRPr="00BE2C1D">
        <w:rPr>
          <w:rFonts w:cstheme="minorHAnsi"/>
          <w:b/>
          <w:bCs/>
          <w:shd w:val="clear" w:color="auto" w:fill="FFFFFF"/>
        </w:rPr>
        <w:t>58</w:t>
      </w:r>
      <w:r w:rsidRPr="00BE2C1D">
        <w:rPr>
          <w:rFonts w:cstheme="minorHAnsi"/>
          <w:shd w:val="clear" w:color="auto" w:fill="FFFFFF"/>
        </w:rPr>
        <w:t>(1), 21-34.</w:t>
      </w:r>
    </w:p>
    <w:p w14:paraId="58F0CDFE" w14:textId="77777777" w:rsidR="00BE2C1D" w:rsidRPr="00BE2C1D" w:rsidRDefault="00BE2C1D" w:rsidP="00BE2C1D">
      <w:pPr>
        <w:spacing w:line="360" w:lineRule="auto"/>
        <w:jc w:val="both"/>
        <w:rPr>
          <w:rFonts w:cstheme="minorHAnsi"/>
          <w:lang w:eastAsia="en-GB"/>
        </w:rPr>
      </w:pPr>
      <w:r w:rsidRPr="00BE2C1D">
        <w:rPr>
          <w:rFonts w:cstheme="minorHAnsi"/>
          <w:lang w:eastAsia="en-GB"/>
        </w:rPr>
        <w:t xml:space="preserve">Mullings, B. 1999. Insider or outsider, both or neither: Some dilemmas of interviewing in a cross-cultural setting. Geoforum. </w:t>
      </w:r>
      <w:r w:rsidRPr="00BE2C1D">
        <w:rPr>
          <w:rFonts w:cstheme="minorHAnsi"/>
          <w:b/>
          <w:bCs/>
          <w:lang w:eastAsia="en-GB"/>
        </w:rPr>
        <w:t>30</w:t>
      </w:r>
      <w:r w:rsidRPr="00BE2C1D">
        <w:rPr>
          <w:rFonts w:cstheme="minorHAnsi"/>
          <w:lang w:eastAsia="en-GB"/>
        </w:rPr>
        <w:t>, 337–350.</w:t>
      </w:r>
    </w:p>
    <w:p w14:paraId="291B63F0" w14:textId="77777777" w:rsidR="00BE2C1D" w:rsidRPr="00BE2C1D" w:rsidRDefault="00BE2C1D" w:rsidP="00BE2C1D">
      <w:pPr>
        <w:spacing w:line="360" w:lineRule="auto"/>
        <w:rPr>
          <w:rFonts w:cstheme="minorHAnsi"/>
          <w:shd w:val="clear" w:color="auto" w:fill="FFFFFF"/>
        </w:rPr>
      </w:pPr>
      <w:r w:rsidRPr="00BE2C1D">
        <w:rPr>
          <w:rFonts w:cstheme="minorHAnsi"/>
          <w:shd w:val="clear" w:color="auto" w:fill="FFFFFF"/>
        </w:rPr>
        <w:lastRenderedPageBreak/>
        <w:t>Murray, S., 2012. Marked as ‘pathological’: ‘Fat ’bodies as virtual confessors. In: J. Wright, V. Harwood, eds. </w:t>
      </w:r>
      <w:r w:rsidRPr="00BE2C1D">
        <w:rPr>
          <w:rFonts w:cstheme="minorHAnsi"/>
          <w:i/>
          <w:iCs/>
          <w:shd w:val="clear" w:color="auto" w:fill="FFFFFF"/>
        </w:rPr>
        <w:t>Biopolitics and the 'Obesity Epidemic'</w:t>
      </w:r>
      <w:r w:rsidRPr="00BE2C1D">
        <w:rPr>
          <w:rFonts w:cstheme="minorHAnsi"/>
          <w:shd w:val="clear" w:color="auto" w:fill="FFFFFF"/>
        </w:rPr>
        <w:t>. London: Routledge. pp.86-98.</w:t>
      </w:r>
    </w:p>
    <w:p w14:paraId="1AD5BFC9" w14:textId="77777777" w:rsidR="00BE2C1D" w:rsidRPr="00BE2C1D" w:rsidRDefault="00BE2C1D" w:rsidP="00BE2C1D">
      <w:pPr>
        <w:spacing w:line="360" w:lineRule="auto"/>
        <w:rPr>
          <w:rFonts w:cstheme="minorHAnsi"/>
          <w:shd w:val="clear" w:color="auto" w:fill="FFFFFF"/>
        </w:rPr>
      </w:pPr>
      <w:r w:rsidRPr="00BE2C1D">
        <w:rPr>
          <w:rFonts w:cstheme="minorHAnsi"/>
          <w:shd w:val="clear" w:color="auto" w:fill="FFFFFF"/>
        </w:rPr>
        <w:t xml:space="preserve">Myers, D. and Mulholland, C., (2014). </w:t>
      </w:r>
      <w:r w:rsidRPr="00BE2C1D">
        <w:rPr>
          <w:rFonts w:cstheme="minorHAnsi"/>
          <w:i/>
          <w:iCs/>
          <w:shd w:val="clear" w:color="auto" w:fill="FFFFFF"/>
        </w:rPr>
        <w:t xml:space="preserve">Disabled children and young people’s experiences of using school toilets Survey of Parents and Carers Summary Report for Scotland’s Commissioner for Children and Young People. </w:t>
      </w:r>
      <w:r w:rsidRPr="00BE2C1D">
        <w:rPr>
          <w:rFonts w:cstheme="minorHAnsi"/>
          <w:shd w:val="clear" w:color="auto" w:fill="FFFFFF"/>
        </w:rPr>
        <w:t xml:space="preserve">Scotland: Ipsos Mori, </w:t>
      </w:r>
    </w:p>
    <w:p w14:paraId="152B5472" w14:textId="77777777" w:rsidR="00BE2C1D" w:rsidRPr="00BE2C1D" w:rsidRDefault="00BE2C1D" w:rsidP="00BE2C1D">
      <w:pPr>
        <w:spacing w:line="360" w:lineRule="auto"/>
        <w:rPr>
          <w:rFonts w:cstheme="minorHAnsi"/>
          <w:shd w:val="clear" w:color="auto" w:fill="FFFFFF"/>
        </w:rPr>
      </w:pPr>
      <w:r w:rsidRPr="00BE2C1D">
        <w:rPr>
          <w:rFonts w:cstheme="minorHAnsi"/>
          <w:shd w:val="clear" w:color="auto" w:fill="FFFFFF"/>
        </w:rPr>
        <w:t xml:space="preserve">Myers, D. (2015) </w:t>
      </w:r>
      <w:r w:rsidRPr="00BE2C1D">
        <w:rPr>
          <w:rFonts w:cstheme="minorHAnsi"/>
          <w:i/>
          <w:iCs/>
          <w:shd w:val="clear" w:color="auto" w:fill="FFFFFF"/>
        </w:rPr>
        <w:t xml:space="preserve">School toilets and the experiences of children and young people with a disability the views of parents and carers. </w:t>
      </w:r>
      <w:r w:rsidRPr="00BE2C1D">
        <w:rPr>
          <w:rFonts w:cstheme="minorHAnsi"/>
          <w:shd w:val="clear" w:color="auto" w:fill="FFFFFF"/>
        </w:rPr>
        <w:t>Scotland: Ipsos Morri. Available from: https://www.cypcs.org.uk/ufiles/Flushed-with-success-the-views-of-parents-and-carers.pdf</w:t>
      </w:r>
    </w:p>
    <w:p w14:paraId="3A534566" w14:textId="77777777" w:rsidR="00BE2C1D" w:rsidRPr="00BE2C1D" w:rsidRDefault="00BE2C1D" w:rsidP="00BE2C1D">
      <w:pPr>
        <w:spacing w:line="360" w:lineRule="auto"/>
        <w:rPr>
          <w:rFonts w:cstheme="minorHAnsi"/>
          <w:shd w:val="clear" w:color="auto" w:fill="FFFFFF"/>
        </w:rPr>
      </w:pPr>
      <w:r w:rsidRPr="00BE2C1D">
        <w:rPr>
          <w:rFonts w:cstheme="minorHAnsi"/>
          <w:shd w:val="clear" w:color="auto" w:fill="FFFFFF"/>
        </w:rPr>
        <w:t>Naylor, P., Cowie, H., Cossin, F., de Bettencourt, R. and Lemme, F., 2006. Teachers' and pupils' definitions of bullying. </w:t>
      </w:r>
      <w:r w:rsidRPr="00BE2C1D">
        <w:rPr>
          <w:rFonts w:cstheme="minorHAnsi"/>
          <w:i/>
          <w:iCs/>
          <w:shd w:val="clear" w:color="auto" w:fill="FFFFFF"/>
        </w:rPr>
        <w:t>British journal of educational psychology</w:t>
      </w:r>
      <w:r w:rsidRPr="00BE2C1D">
        <w:rPr>
          <w:rFonts w:cstheme="minorHAnsi"/>
          <w:shd w:val="clear" w:color="auto" w:fill="FFFFFF"/>
        </w:rPr>
        <w:t>. </w:t>
      </w:r>
      <w:r w:rsidRPr="00BE2C1D">
        <w:rPr>
          <w:rFonts w:cstheme="minorHAnsi"/>
          <w:b/>
          <w:bCs/>
          <w:shd w:val="clear" w:color="auto" w:fill="FFFFFF"/>
        </w:rPr>
        <w:t>76</w:t>
      </w:r>
      <w:r w:rsidRPr="00BE2C1D">
        <w:rPr>
          <w:rFonts w:cstheme="minorHAnsi"/>
          <w:shd w:val="clear" w:color="auto" w:fill="FFFFFF"/>
        </w:rPr>
        <w:t>(3), 553-576.</w:t>
      </w:r>
    </w:p>
    <w:p w14:paraId="279A256F" w14:textId="77777777" w:rsidR="00BE2C1D" w:rsidRPr="00BE2C1D" w:rsidRDefault="00BE2C1D" w:rsidP="00BE2C1D">
      <w:pPr>
        <w:spacing w:line="360" w:lineRule="auto"/>
        <w:rPr>
          <w:rFonts w:cstheme="minorHAnsi"/>
          <w:shd w:val="clear" w:color="auto" w:fill="FFFFFF"/>
        </w:rPr>
      </w:pPr>
      <w:r w:rsidRPr="00BE2C1D">
        <w:rPr>
          <w:rFonts w:cstheme="minorHAnsi"/>
          <w:shd w:val="clear" w:color="auto" w:fill="FFFFFF"/>
        </w:rPr>
        <w:t>Newman‐Carlson, D. and Horne, A.M., 2004. Bully busters: A psychoeducational intervention for reducing bullying behavior in middle school students. </w:t>
      </w:r>
      <w:r w:rsidRPr="00BE2C1D">
        <w:rPr>
          <w:rFonts w:cstheme="minorHAnsi"/>
          <w:i/>
          <w:iCs/>
          <w:shd w:val="clear" w:color="auto" w:fill="FFFFFF"/>
        </w:rPr>
        <w:t>Journal of Counseling &amp; Development</w:t>
      </w:r>
      <w:r w:rsidRPr="00BE2C1D">
        <w:rPr>
          <w:rFonts w:cstheme="minorHAnsi"/>
          <w:shd w:val="clear" w:color="auto" w:fill="FFFFFF"/>
        </w:rPr>
        <w:t>. </w:t>
      </w:r>
      <w:r w:rsidRPr="00BE2C1D">
        <w:rPr>
          <w:rFonts w:cstheme="minorHAnsi"/>
          <w:b/>
          <w:bCs/>
          <w:shd w:val="clear" w:color="auto" w:fill="FFFFFF"/>
        </w:rPr>
        <w:t>82</w:t>
      </w:r>
      <w:r w:rsidRPr="00BE2C1D">
        <w:rPr>
          <w:rFonts w:cstheme="minorHAnsi"/>
          <w:shd w:val="clear" w:color="auto" w:fill="FFFFFF"/>
        </w:rPr>
        <w:t>(3), 259-267.</w:t>
      </w:r>
    </w:p>
    <w:p w14:paraId="5F9AE2D2" w14:textId="77777777" w:rsidR="00BE2C1D" w:rsidRPr="00BE2C1D" w:rsidRDefault="00BE2C1D" w:rsidP="00BE2C1D">
      <w:pPr>
        <w:spacing w:line="360" w:lineRule="auto"/>
        <w:jc w:val="both"/>
        <w:rPr>
          <w:rFonts w:cstheme="minorHAnsi"/>
        </w:rPr>
      </w:pPr>
      <w:r w:rsidRPr="00BE2C1D">
        <w:rPr>
          <w:rFonts w:cstheme="minorHAnsi"/>
          <w:lang w:val="en-US"/>
        </w:rPr>
        <w:t xml:space="preserve">Norris, M. (2015). The complexities of ‘otherness’: reflections on embodiment of a young White British woman engaged in cross-generation research involving older people in Indonesia. Ageing &amp; Society. </w:t>
      </w:r>
      <w:r w:rsidRPr="00BE2C1D">
        <w:rPr>
          <w:rFonts w:cstheme="minorHAnsi"/>
          <w:b/>
          <w:bCs/>
          <w:lang w:val="en-US"/>
        </w:rPr>
        <w:t>35</w:t>
      </w:r>
      <w:r w:rsidRPr="00BE2C1D">
        <w:rPr>
          <w:rFonts w:cstheme="minorHAnsi"/>
          <w:lang w:val="en-US"/>
        </w:rPr>
        <w:t xml:space="preserve">, 986-1010.  </w:t>
      </w:r>
    </w:p>
    <w:p w14:paraId="53FC87C7" w14:textId="77777777" w:rsidR="00BE2C1D" w:rsidRPr="00BE2C1D" w:rsidRDefault="00BE2C1D" w:rsidP="00BE2C1D">
      <w:pPr>
        <w:spacing w:line="360" w:lineRule="auto"/>
        <w:rPr>
          <w:rFonts w:cstheme="minorHAnsi"/>
          <w:shd w:val="clear" w:color="auto" w:fill="FFFFFF"/>
        </w:rPr>
      </w:pPr>
      <w:r w:rsidRPr="00BE2C1D">
        <w:rPr>
          <w:rFonts w:cstheme="minorHAnsi"/>
          <w:shd w:val="clear" w:color="auto" w:fill="FFFFFF"/>
        </w:rPr>
        <w:t>Novick, R.M. and Isaacs, J., 2010. Telling is compelling: The impact of student reports of bullying on teacher intervention. </w:t>
      </w:r>
      <w:r w:rsidRPr="00BE2C1D">
        <w:rPr>
          <w:rFonts w:cstheme="minorHAnsi"/>
          <w:i/>
          <w:iCs/>
          <w:shd w:val="clear" w:color="auto" w:fill="FFFFFF"/>
        </w:rPr>
        <w:t>Educational Psychology</w:t>
      </w:r>
      <w:r w:rsidRPr="00BE2C1D">
        <w:rPr>
          <w:rFonts w:cstheme="minorHAnsi"/>
          <w:shd w:val="clear" w:color="auto" w:fill="FFFFFF"/>
        </w:rPr>
        <w:t>. </w:t>
      </w:r>
      <w:r w:rsidRPr="00BE2C1D">
        <w:rPr>
          <w:rFonts w:cstheme="minorHAnsi"/>
          <w:b/>
          <w:bCs/>
          <w:shd w:val="clear" w:color="auto" w:fill="FFFFFF"/>
        </w:rPr>
        <w:t>30</w:t>
      </w:r>
      <w:r w:rsidRPr="00BE2C1D">
        <w:rPr>
          <w:rFonts w:cstheme="minorHAnsi"/>
          <w:shd w:val="clear" w:color="auto" w:fill="FFFFFF"/>
        </w:rPr>
        <w:t>(3), 283-296.</w:t>
      </w:r>
    </w:p>
    <w:p w14:paraId="19F1AFF1" w14:textId="77777777" w:rsidR="00BE2C1D" w:rsidRPr="00BE2C1D" w:rsidRDefault="00BE2C1D" w:rsidP="00BE2C1D">
      <w:pPr>
        <w:spacing w:line="360" w:lineRule="auto"/>
        <w:rPr>
          <w:rFonts w:cstheme="minorHAnsi"/>
          <w:shd w:val="clear" w:color="auto" w:fill="FFFFFF"/>
        </w:rPr>
      </w:pPr>
      <w:r w:rsidRPr="00BE2C1D">
        <w:rPr>
          <w:rFonts w:cstheme="minorHAnsi"/>
          <w:shd w:val="clear" w:color="auto" w:fill="FFFFFF"/>
        </w:rPr>
        <w:t>O’Moore, A.M. and Hillery, B., 1989. Bullying in Dublin schools. </w:t>
      </w:r>
      <w:r w:rsidRPr="00BE2C1D">
        <w:rPr>
          <w:rFonts w:cstheme="minorHAnsi"/>
          <w:i/>
          <w:iCs/>
          <w:shd w:val="clear" w:color="auto" w:fill="FFFFFF"/>
        </w:rPr>
        <w:t>The Irish Journal of Psychology</w:t>
      </w:r>
      <w:r w:rsidRPr="00BE2C1D">
        <w:rPr>
          <w:rFonts w:cstheme="minorHAnsi"/>
          <w:shd w:val="clear" w:color="auto" w:fill="FFFFFF"/>
        </w:rPr>
        <w:t>. </w:t>
      </w:r>
      <w:r w:rsidRPr="00BE2C1D">
        <w:rPr>
          <w:rFonts w:cstheme="minorHAnsi"/>
          <w:b/>
          <w:bCs/>
          <w:shd w:val="clear" w:color="auto" w:fill="FFFFFF"/>
        </w:rPr>
        <w:t>10</w:t>
      </w:r>
      <w:r w:rsidRPr="00BE2C1D">
        <w:rPr>
          <w:rFonts w:cstheme="minorHAnsi"/>
          <w:shd w:val="clear" w:color="auto" w:fill="FFFFFF"/>
        </w:rPr>
        <w:t>(3), 426-441.</w:t>
      </w:r>
    </w:p>
    <w:p w14:paraId="67F77170" w14:textId="77777777" w:rsidR="00BE2C1D" w:rsidRPr="00BE2C1D" w:rsidRDefault="00BE2C1D" w:rsidP="00BE2C1D">
      <w:pPr>
        <w:spacing w:line="360" w:lineRule="auto"/>
        <w:rPr>
          <w:rFonts w:cstheme="minorHAnsi"/>
          <w:shd w:val="clear" w:color="auto" w:fill="FFFFFF"/>
        </w:rPr>
      </w:pPr>
      <w:r w:rsidRPr="00BE2C1D">
        <w:rPr>
          <w:rFonts w:cstheme="minorHAnsi"/>
          <w:shd w:val="clear" w:color="auto" w:fill="FFFFFF"/>
        </w:rPr>
        <w:t>O’Neill, C., 2019. Unwanted appearances and self-objectification: The phenomenology of alterity for women in leadership. </w:t>
      </w:r>
      <w:r w:rsidRPr="00BE2C1D">
        <w:rPr>
          <w:rFonts w:cstheme="minorHAnsi"/>
          <w:i/>
          <w:iCs/>
          <w:shd w:val="clear" w:color="auto" w:fill="FFFFFF"/>
        </w:rPr>
        <w:t>Leadership</w:t>
      </w:r>
      <w:r w:rsidRPr="00BE2C1D">
        <w:rPr>
          <w:rFonts w:cstheme="minorHAnsi"/>
          <w:shd w:val="clear" w:color="auto" w:fill="FFFFFF"/>
        </w:rPr>
        <w:t>. </w:t>
      </w:r>
      <w:r w:rsidRPr="00BE2C1D">
        <w:rPr>
          <w:rFonts w:cstheme="minorHAnsi"/>
          <w:b/>
          <w:bCs/>
          <w:shd w:val="clear" w:color="auto" w:fill="FFFFFF"/>
        </w:rPr>
        <w:t>15</w:t>
      </w:r>
      <w:r w:rsidRPr="00BE2C1D">
        <w:rPr>
          <w:rFonts w:cstheme="minorHAnsi"/>
          <w:shd w:val="clear" w:color="auto" w:fill="FFFFFF"/>
        </w:rPr>
        <w:t>(3), 296-318.</w:t>
      </w:r>
    </w:p>
    <w:p w14:paraId="1AC7BB11" w14:textId="77777777" w:rsidR="00BE2C1D" w:rsidRPr="00BE2C1D" w:rsidRDefault="00BE2C1D" w:rsidP="00BE2C1D">
      <w:pPr>
        <w:spacing w:line="360" w:lineRule="auto"/>
        <w:jc w:val="both"/>
        <w:rPr>
          <w:rFonts w:cstheme="minorHAnsi"/>
          <w:shd w:val="clear" w:color="auto" w:fill="FFFFFF"/>
        </w:rPr>
      </w:pPr>
      <w:r w:rsidRPr="00BE2C1D">
        <w:rPr>
          <w:rFonts w:cstheme="minorHAnsi"/>
        </w:rPr>
        <w:t xml:space="preserve">Oakley, A., (1981) Interviewing women: A contradiction in terms? In: H. Roberts, ed. </w:t>
      </w:r>
      <w:r w:rsidRPr="00BE2C1D">
        <w:rPr>
          <w:rFonts w:cstheme="minorHAnsi"/>
          <w:i/>
          <w:iCs/>
        </w:rPr>
        <w:t>Doing Feminist Research.</w:t>
      </w:r>
      <w:r w:rsidRPr="00BE2C1D">
        <w:rPr>
          <w:rFonts w:cstheme="minorHAnsi"/>
        </w:rPr>
        <w:t xml:space="preserve"> London: Routledge and Kegan Paul. pp. 30–61.</w:t>
      </w:r>
    </w:p>
    <w:p w14:paraId="7B604BCC" w14:textId="77777777" w:rsidR="00BE2C1D" w:rsidRPr="00BE2C1D" w:rsidRDefault="00BE2C1D" w:rsidP="00BE2C1D">
      <w:pPr>
        <w:spacing w:line="360" w:lineRule="auto"/>
        <w:rPr>
          <w:rFonts w:cstheme="minorHAnsi"/>
        </w:rPr>
      </w:pPr>
      <w:r w:rsidRPr="00BE2C1D">
        <w:rPr>
          <w:rFonts w:cstheme="minorHAnsi"/>
        </w:rPr>
        <w:t xml:space="preserve">Oakley, A., (2007). </w:t>
      </w:r>
      <w:r w:rsidRPr="00BE2C1D">
        <w:rPr>
          <w:rFonts w:cstheme="minorHAnsi"/>
          <w:i/>
          <w:iCs/>
        </w:rPr>
        <w:t>Fracture: Adventures of a Broken Body</w:t>
      </w:r>
      <w:r w:rsidRPr="00BE2C1D">
        <w:rPr>
          <w:rFonts w:cstheme="minorHAnsi"/>
        </w:rPr>
        <w:t>. Bristol: Policy</w:t>
      </w:r>
    </w:p>
    <w:p w14:paraId="3848BC08" w14:textId="77777777" w:rsidR="00BE2C1D" w:rsidRPr="00BE2C1D" w:rsidRDefault="00BE2C1D" w:rsidP="00BE2C1D">
      <w:pPr>
        <w:spacing w:line="360" w:lineRule="auto"/>
        <w:jc w:val="both"/>
        <w:rPr>
          <w:rFonts w:cstheme="minorHAnsi"/>
          <w:lang w:eastAsia="en-GB"/>
        </w:rPr>
      </w:pPr>
      <w:r w:rsidRPr="00BE2C1D">
        <w:rPr>
          <w:rFonts w:cstheme="minorHAnsi"/>
          <w:shd w:val="clear" w:color="auto" w:fill="FFFFFF"/>
        </w:rPr>
        <w:t>Oakley, A., 2016. Interviewing women again: Power, time and the gift. </w:t>
      </w:r>
      <w:r w:rsidRPr="00BE2C1D">
        <w:rPr>
          <w:rFonts w:cstheme="minorHAnsi"/>
          <w:i/>
          <w:iCs/>
          <w:shd w:val="clear" w:color="auto" w:fill="FFFFFF"/>
        </w:rPr>
        <w:t>Sociology</w:t>
      </w:r>
      <w:r w:rsidRPr="00BE2C1D">
        <w:rPr>
          <w:rFonts w:cstheme="minorHAnsi"/>
          <w:shd w:val="clear" w:color="auto" w:fill="FFFFFF"/>
        </w:rPr>
        <w:t>. </w:t>
      </w:r>
      <w:r w:rsidRPr="00BE2C1D">
        <w:rPr>
          <w:rFonts w:cstheme="minorHAnsi"/>
          <w:b/>
          <w:bCs/>
          <w:shd w:val="clear" w:color="auto" w:fill="FFFFFF"/>
        </w:rPr>
        <w:t>50</w:t>
      </w:r>
      <w:r w:rsidRPr="00BE2C1D">
        <w:rPr>
          <w:rFonts w:cstheme="minorHAnsi"/>
          <w:shd w:val="clear" w:color="auto" w:fill="FFFFFF"/>
        </w:rPr>
        <w:t>(1), 195-213.</w:t>
      </w:r>
    </w:p>
    <w:p w14:paraId="59626089" w14:textId="77777777" w:rsidR="00BE2C1D" w:rsidRPr="00BE2C1D" w:rsidRDefault="00BE2C1D" w:rsidP="00BE2C1D">
      <w:pPr>
        <w:spacing w:line="360" w:lineRule="auto"/>
        <w:rPr>
          <w:rFonts w:cstheme="minorHAnsi"/>
          <w:shd w:val="clear" w:color="auto" w:fill="FFFFFF"/>
        </w:rPr>
      </w:pPr>
      <w:r w:rsidRPr="00BE2C1D">
        <w:rPr>
          <w:rFonts w:cstheme="minorHAnsi"/>
          <w:shd w:val="clear" w:color="auto" w:fill="FFFFFF"/>
        </w:rPr>
        <w:t>Oliver, C. and Candappa, M., 2007. Bullying and the politics of ‘telling’. </w:t>
      </w:r>
      <w:r w:rsidRPr="00BE2C1D">
        <w:rPr>
          <w:rFonts w:cstheme="minorHAnsi"/>
          <w:i/>
          <w:iCs/>
          <w:shd w:val="clear" w:color="auto" w:fill="FFFFFF"/>
        </w:rPr>
        <w:t>Oxford Review of Education</w:t>
      </w:r>
      <w:r w:rsidRPr="00BE2C1D">
        <w:rPr>
          <w:rFonts w:cstheme="minorHAnsi"/>
          <w:shd w:val="clear" w:color="auto" w:fill="FFFFFF"/>
        </w:rPr>
        <w:t>. </w:t>
      </w:r>
      <w:r w:rsidRPr="00BE2C1D">
        <w:rPr>
          <w:rFonts w:cstheme="minorHAnsi"/>
          <w:b/>
          <w:bCs/>
          <w:shd w:val="clear" w:color="auto" w:fill="FFFFFF"/>
        </w:rPr>
        <w:t>33</w:t>
      </w:r>
      <w:r w:rsidRPr="00BE2C1D">
        <w:rPr>
          <w:rFonts w:cstheme="minorHAnsi"/>
          <w:shd w:val="clear" w:color="auto" w:fill="FFFFFF"/>
        </w:rPr>
        <w:t>(1), 71-86.</w:t>
      </w:r>
    </w:p>
    <w:p w14:paraId="2E1E5B9C" w14:textId="77777777" w:rsidR="00BE2C1D" w:rsidRPr="00BE2C1D" w:rsidRDefault="00BE2C1D" w:rsidP="00BE2C1D">
      <w:pPr>
        <w:spacing w:line="360" w:lineRule="auto"/>
        <w:rPr>
          <w:rFonts w:cstheme="minorHAnsi"/>
          <w:shd w:val="clear" w:color="auto" w:fill="FFFFFF"/>
        </w:rPr>
      </w:pPr>
      <w:r w:rsidRPr="00BE2C1D">
        <w:rPr>
          <w:rFonts w:cstheme="minorHAnsi"/>
        </w:rPr>
        <w:t xml:space="preserve">Oliver, M., (1983). </w:t>
      </w:r>
      <w:r w:rsidRPr="00BE2C1D">
        <w:rPr>
          <w:rFonts w:cstheme="minorHAnsi"/>
          <w:i/>
          <w:iCs/>
        </w:rPr>
        <w:t xml:space="preserve">Social Work with Disabled People. </w:t>
      </w:r>
      <w:r w:rsidRPr="00BE2C1D">
        <w:rPr>
          <w:rFonts w:cstheme="minorHAnsi"/>
        </w:rPr>
        <w:t xml:space="preserve">Basingstoke: Macmillan. </w:t>
      </w:r>
    </w:p>
    <w:p w14:paraId="5DAD4277" w14:textId="77777777" w:rsidR="00BE2C1D" w:rsidRPr="00BE2C1D" w:rsidRDefault="00BE2C1D" w:rsidP="00BE2C1D">
      <w:pPr>
        <w:spacing w:line="360" w:lineRule="auto"/>
        <w:rPr>
          <w:rFonts w:cstheme="minorHAnsi"/>
          <w:shd w:val="clear" w:color="auto" w:fill="FFFFFF"/>
        </w:rPr>
      </w:pPr>
      <w:r w:rsidRPr="00BE2C1D">
        <w:rPr>
          <w:rFonts w:cstheme="minorHAnsi"/>
          <w:shd w:val="clear" w:color="auto" w:fill="FFFFFF"/>
        </w:rPr>
        <w:lastRenderedPageBreak/>
        <w:t>Oliver, M., (1990). </w:t>
      </w:r>
      <w:r w:rsidRPr="00BE2C1D">
        <w:rPr>
          <w:rFonts w:cstheme="minorHAnsi"/>
          <w:i/>
          <w:iCs/>
          <w:shd w:val="clear" w:color="auto" w:fill="FFFFFF"/>
        </w:rPr>
        <w:t>Politics of disablement</w:t>
      </w:r>
      <w:r w:rsidRPr="00BE2C1D">
        <w:rPr>
          <w:rFonts w:cstheme="minorHAnsi"/>
          <w:shd w:val="clear" w:color="auto" w:fill="FFFFFF"/>
        </w:rPr>
        <w:t xml:space="preserve">. Basingstoke: Macmillan. </w:t>
      </w:r>
    </w:p>
    <w:p w14:paraId="5ADBC46B" w14:textId="77777777" w:rsidR="00BE2C1D" w:rsidRPr="00BE2C1D" w:rsidRDefault="00BE2C1D" w:rsidP="00BE2C1D">
      <w:pPr>
        <w:autoSpaceDE w:val="0"/>
        <w:autoSpaceDN w:val="0"/>
        <w:adjustRightInd w:val="0"/>
        <w:spacing w:after="0" w:line="360" w:lineRule="auto"/>
        <w:rPr>
          <w:rFonts w:cstheme="minorHAnsi"/>
        </w:rPr>
      </w:pPr>
      <w:r w:rsidRPr="00BE2C1D">
        <w:rPr>
          <w:rFonts w:cstheme="minorHAnsi"/>
        </w:rPr>
        <w:t xml:space="preserve">Oliver, M. (1996) A sociology of disability or a disability sociology. In: L. Barton, ed. </w:t>
      </w:r>
      <w:r w:rsidRPr="00BE2C1D">
        <w:rPr>
          <w:rFonts w:cstheme="minorHAnsi"/>
          <w:i/>
          <w:iCs/>
        </w:rPr>
        <w:t xml:space="preserve">Disability &amp; Society: emerging issues and insights </w:t>
      </w:r>
      <w:r w:rsidRPr="00BE2C1D">
        <w:rPr>
          <w:rFonts w:cstheme="minorHAnsi"/>
        </w:rPr>
        <w:t>(Harlow, Longman).</w:t>
      </w:r>
    </w:p>
    <w:p w14:paraId="3C0B1A02" w14:textId="77777777" w:rsidR="00BE2C1D" w:rsidRPr="00BE2C1D" w:rsidRDefault="00BE2C1D" w:rsidP="00BE2C1D">
      <w:pPr>
        <w:spacing w:line="360" w:lineRule="auto"/>
        <w:rPr>
          <w:rFonts w:cstheme="minorHAnsi"/>
        </w:rPr>
      </w:pPr>
      <w:r w:rsidRPr="00BE2C1D">
        <w:rPr>
          <w:rFonts w:cstheme="minorHAnsi"/>
          <w:shd w:val="clear" w:color="auto" w:fill="FFFFFF"/>
        </w:rPr>
        <w:t>Oliver, M., 2013. The social model of disability: Thirty years on. </w:t>
      </w:r>
      <w:r w:rsidRPr="00BE2C1D">
        <w:rPr>
          <w:rFonts w:cstheme="minorHAnsi"/>
          <w:i/>
          <w:iCs/>
          <w:shd w:val="clear" w:color="auto" w:fill="FFFFFF"/>
        </w:rPr>
        <w:t>Disability &amp; society</w:t>
      </w:r>
      <w:r w:rsidRPr="00BE2C1D">
        <w:rPr>
          <w:rFonts w:cstheme="minorHAnsi"/>
          <w:shd w:val="clear" w:color="auto" w:fill="FFFFFF"/>
        </w:rPr>
        <w:t xml:space="preserve">. </w:t>
      </w:r>
      <w:r w:rsidRPr="00BE2C1D">
        <w:rPr>
          <w:rFonts w:cstheme="minorHAnsi"/>
          <w:b/>
          <w:bCs/>
          <w:shd w:val="clear" w:color="auto" w:fill="FFFFFF"/>
        </w:rPr>
        <w:t>28</w:t>
      </w:r>
      <w:r w:rsidRPr="00BE2C1D">
        <w:rPr>
          <w:rFonts w:cstheme="minorHAnsi"/>
          <w:shd w:val="clear" w:color="auto" w:fill="FFFFFF"/>
        </w:rPr>
        <w:t>(7), 1024-1026.</w:t>
      </w:r>
    </w:p>
    <w:p w14:paraId="10F1901A" w14:textId="77777777" w:rsidR="00BE2C1D" w:rsidRPr="00BE2C1D" w:rsidRDefault="00BE2C1D" w:rsidP="00BE2C1D">
      <w:pPr>
        <w:spacing w:line="360" w:lineRule="auto"/>
        <w:jc w:val="both"/>
        <w:rPr>
          <w:rFonts w:cstheme="minorHAnsi"/>
          <w:shd w:val="clear" w:color="auto" w:fill="FFFFFF"/>
        </w:rPr>
      </w:pPr>
      <w:r w:rsidRPr="00BE2C1D">
        <w:rPr>
          <w:rFonts w:cstheme="minorHAnsi"/>
          <w:shd w:val="clear" w:color="auto" w:fill="FFFFFF"/>
        </w:rPr>
        <w:t xml:space="preserve">Olweus, D., (1993). </w:t>
      </w:r>
      <w:r w:rsidRPr="00BE2C1D">
        <w:rPr>
          <w:rFonts w:cstheme="minorHAnsi"/>
          <w:i/>
          <w:iCs/>
          <w:shd w:val="clear" w:color="auto" w:fill="FFFFFF"/>
        </w:rPr>
        <w:t>Bullying at school: what we know and what we can do.</w:t>
      </w:r>
      <w:r w:rsidRPr="00BE2C1D">
        <w:rPr>
          <w:rFonts w:cstheme="minorHAnsi"/>
          <w:shd w:val="clear" w:color="auto" w:fill="FFFFFF"/>
        </w:rPr>
        <w:t> Cambridge, MA: Blackwell. </w:t>
      </w:r>
    </w:p>
    <w:p w14:paraId="1E31F2F7" w14:textId="77777777" w:rsidR="00BE2C1D" w:rsidRPr="00BE2C1D" w:rsidRDefault="00BE2C1D" w:rsidP="00BE2C1D">
      <w:pPr>
        <w:spacing w:line="360" w:lineRule="auto"/>
        <w:jc w:val="both"/>
        <w:rPr>
          <w:rFonts w:cstheme="minorHAnsi"/>
          <w:shd w:val="clear" w:color="auto" w:fill="FCFCFC"/>
        </w:rPr>
      </w:pPr>
      <w:r w:rsidRPr="00BE2C1D">
        <w:rPr>
          <w:rFonts w:cstheme="minorHAnsi"/>
          <w:shd w:val="clear" w:color="auto" w:fill="FCFCFC"/>
        </w:rPr>
        <w:t>Osensky, T.S., 2017. Shortchanged: Height Discrimination and Strategies for Social Change. University Press of New England.</w:t>
      </w:r>
    </w:p>
    <w:p w14:paraId="7D42A613" w14:textId="77777777" w:rsidR="00BE2C1D" w:rsidRPr="00BE2C1D" w:rsidRDefault="00BE2C1D" w:rsidP="00BE2C1D">
      <w:pPr>
        <w:spacing w:line="360" w:lineRule="auto"/>
        <w:jc w:val="both"/>
        <w:rPr>
          <w:rFonts w:cstheme="minorHAnsi"/>
        </w:rPr>
      </w:pPr>
      <w:r w:rsidRPr="00BE2C1D">
        <w:rPr>
          <w:rFonts w:cstheme="minorHAnsi"/>
          <w:shd w:val="clear" w:color="auto" w:fill="FCFCFC"/>
        </w:rPr>
        <w:t>Overboe, J., 2007. Disability and Genetics: Affirming the Bare Life (the State of Exception). </w:t>
      </w:r>
      <w:r w:rsidRPr="00BE2C1D">
        <w:rPr>
          <w:rFonts w:cstheme="minorHAnsi"/>
          <w:i/>
          <w:iCs/>
          <w:spacing w:val="2"/>
          <w:shd w:val="clear" w:color="auto" w:fill="FCFCFC"/>
        </w:rPr>
        <w:t>Canadian Review of Sociology,</w:t>
      </w:r>
      <w:r w:rsidRPr="00BE2C1D">
        <w:rPr>
          <w:rFonts w:cstheme="minorHAnsi"/>
          <w:shd w:val="clear" w:color="auto" w:fill="FCFCFC"/>
        </w:rPr>
        <w:t> </w:t>
      </w:r>
      <w:r w:rsidRPr="00BE2C1D">
        <w:rPr>
          <w:rFonts w:cstheme="minorHAnsi"/>
          <w:b/>
          <w:bCs/>
          <w:shd w:val="clear" w:color="auto" w:fill="FCFCFC"/>
        </w:rPr>
        <w:t xml:space="preserve">44 </w:t>
      </w:r>
      <w:r w:rsidRPr="00BE2C1D">
        <w:rPr>
          <w:rFonts w:cstheme="minorHAnsi"/>
          <w:shd w:val="clear" w:color="auto" w:fill="FCFCFC"/>
        </w:rPr>
        <w:t>(2), 219–235.</w:t>
      </w:r>
    </w:p>
    <w:p w14:paraId="00EA1786" w14:textId="77777777" w:rsidR="00BE2C1D" w:rsidRPr="00BE2C1D" w:rsidRDefault="00BE2C1D" w:rsidP="00BE2C1D">
      <w:pPr>
        <w:spacing w:line="360" w:lineRule="auto"/>
        <w:rPr>
          <w:rFonts w:cstheme="minorHAnsi"/>
          <w:shd w:val="clear" w:color="auto" w:fill="FFFFFF"/>
        </w:rPr>
      </w:pPr>
      <w:r w:rsidRPr="00BE2C1D">
        <w:rPr>
          <w:rFonts w:cstheme="minorHAnsi"/>
          <w:shd w:val="clear" w:color="auto" w:fill="FFFFFF"/>
        </w:rPr>
        <w:t>Paechter, C., 2011. Gender, visible bodies and schooling: cultural pathologies of childhood. </w:t>
      </w:r>
      <w:r w:rsidRPr="00BE2C1D">
        <w:rPr>
          <w:rFonts w:cstheme="minorHAnsi"/>
          <w:i/>
          <w:iCs/>
          <w:shd w:val="clear" w:color="auto" w:fill="FFFFFF"/>
        </w:rPr>
        <w:t>Sport, Education and Society</w:t>
      </w:r>
      <w:r w:rsidRPr="00BE2C1D">
        <w:rPr>
          <w:rFonts w:cstheme="minorHAnsi"/>
          <w:shd w:val="clear" w:color="auto" w:fill="FFFFFF"/>
        </w:rPr>
        <w:t>. </w:t>
      </w:r>
      <w:r w:rsidRPr="00BE2C1D">
        <w:rPr>
          <w:rFonts w:cstheme="minorHAnsi"/>
          <w:i/>
          <w:iCs/>
          <w:shd w:val="clear" w:color="auto" w:fill="FFFFFF"/>
        </w:rPr>
        <w:t>16</w:t>
      </w:r>
      <w:r w:rsidRPr="00BE2C1D">
        <w:rPr>
          <w:rFonts w:cstheme="minorHAnsi"/>
          <w:shd w:val="clear" w:color="auto" w:fill="FFFFFF"/>
        </w:rPr>
        <w:t>(3), 309-322.</w:t>
      </w:r>
    </w:p>
    <w:p w14:paraId="2F952375" w14:textId="77777777" w:rsidR="00BE2C1D" w:rsidRPr="00BE2C1D" w:rsidRDefault="00BE2C1D" w:rsidP="00BE2C1D">
      <w:pPr>
        <w:spacing w:line="360" w:lineRule="auto"/>
        <w:rPr>
          <w:rFonts w:cstheme="minorHAnsi"/>
          <w:shd w:val="clear" w:color="auto" w:fill="FFFFFF"/>
        </w:rPr>
      </w:pPr>
      <w:r w:rsidRPr="00BE2C1D">
        <w:rPr>
          <w:rFonts w:cstheme="minorHAnsi"/>
          <w:shd w:val="clear" w:color="auto" w:fill="FFFFFF"/>
        </w:rPr>
        <w:t>Paechter, C. and Clark, S., 2007. Learning gender in primary school playgrounds: findings from the Tomboy Identities Study. </w:t>
      </w:r>
      <w:r w:rsidRPr="00BE2C1D">
        <w:rPr>
          <w:rFonts w:cstheme="minorHAnsi"/>
          <w:i/>
          <w:iCs/>
          <w:shd w:val="clear" w:color="auto" w:fill="FFFFFF"/>
        </w:rPr>
        <w:t>Pedagogy, Culture &amp; Society</w:t>
      </w:r>
      <w:r w:rsidRPr="00BE2C1D">
        <w:rPr>
          <w:rFonts w:cstheme="minorHAnsi"/>
          <w:shd w:val="clear" w:color="auto" w:fill="FFFFFF"/>
        </w:rPr>
        <w:t>. </w:t>
      </w:r>
      <w:r w:rsidRPr="00BE2C1D">
        <w:rPr>
          <w:rFonts w:cstheme="minorHAnsi"/>
          <w:b/>
          <w:bCs/>
          <w:shd w:val="clear" w:color="auto" w:fill="FFFFFF"/>
        </w:rPr>
        <w:t>15</w:t>
      </w:r>
      <w:r w:rsidRPr="00BE2C1D">
        <w:rPr>
          <w:rFonts w:cstheme="minorHAnsi"/>
          <w:shd w:val="clear" w:color="auto" w:fill="FFFFFF"/>
        </w:rPr>
        <w:t>(3), 317-331.</w:t>
      </w:r>
    </w:p>
    <w:p w14:paraId="077E06B1" w14:textId="77777777" w:rsidR="00BE2C1D" w:rsidRPr="00BE2C1D" w:rsidRDefault="00BE2C1D" w:rsidP="00BE2C1D">
      <w:pPr>
        <w:spacing w:line="360" w:lineRule="auto"/>
        <w:rPr>
          <w:rFonts w:cstheme="minorHAnsi"/>
          <w:shd w:val="clear" w:color="auto" w:fill="FFFFFF"/>
        </w:rPr>
      </w:pPr>
      <w:r w:rsidRPr="00BE2C1D">
        <w:rPr>
          <w:rFonts w:cstheme="minorHAnsi"/>
          <w:shd w:val="clear" w:color="auto" w:fill="FFFFFF"/>
        </w:rPr>
        <w:t>Parker, A., 1996. The Construction of Masculinity within Boys’ Physical Education [1]. </w:t>
      </w:r>
      <w:r w:rsidRPr="00BE2C1D">
        <w:rPr>
          <w:rFonts w:cstheme="minorHAnsi"/>
          <w:i/>
          <w:iCs/>
          <w:shd w:val="clear" w:color="auto" w:fill="FFFFFF"/>
        </w:rPr>
        <w:t>Gender and education</w:t>
      </w:r>
      <w:r w:rsidRPr="00BE2C1D">
        <w:rPr>
          <w:rFonts w:cstheme="minorHAnsi"/>
          <w:shd w:val="clear" w:color="auto" w:fill="FFFFFF"/>
        </w:rPr>
        <w:t>. </w:t>
      </w:r>
      <w:r w:rsidRPr="00BE2C1D">
        <w:rPr>
          <w:rFonts w:cstheme="minorHAnsi"/>
          <w:i/>
          <w:iCs/>
          <w:shd w:val="clear" w:color="auto" w:fill="FFFFFF"/>
        </w:rPr>
        <w:t>8</w:t>
      </w:r>
      <w:r w:rsidRPr="00BE2C1D">
        <w:rPr>
          <w:rFonts w:cstheme="minorHAnsi"/>
          <w:shd w:val="clear" w:color="auto" w:fill="FFFFFF"/>
        </w:rPr>
        <w:t>(2), 141-158.</w:t>
      </w:r>
    </w:p>
    <w:p w14:paraId="08D36259" w14:textId="77777777" w:rsidR="00BE2C1D" w:rsidRPr="00BE2C1D" w:rsidRDefault="00BE2C1D" w:rsidP="00BE2C1D">
      <w:pPr>
        <w:spacing w:line="360" w:lineRule="auto"/>
        <w:rPr>
          <w:rFonts w:cstheme="minorHAnsi"/>
          <w:shd w:val="clear" w:color="auto" w:fill="FFFFFF"/>
        </w:rPr>
      </w:pPr>
      <w:r w:rsidRPr="00BE2C1D">
        <w:rPr>
          <w:rFonts w:cstheme="minorHAnsi"/>
          <w:shd w:val="clear" w:color="auto" w:fill="FFFFFF"/>
        </w:rPr>
        <w:t>Paterson, K., (2001). Disability Studies and Phenomenology: Finding a Space for both the Carnal and the Political. In: S. Cunningham-Burley, K. Backett-Milburn, eds. </w:t>
      </w:r>
      <w:r w:rsidRPr="00BE2C1D">
        <w:rPr>
          <w:rFonts w:cstheme="minorHAnsi"/>
          <w:i/>
          <w:iCs/>
          <w:shd w:val="clear" w:color="auto" w:fill="FFFFFF"/>
        </w:rPr>
        <w:t>Exploring the body.</w:t>
      </w:r>
      <w:r w:rsidRPr="00BE2C1D">
        <w:rPr>
          <w:rFonts w:cstheme="minorHAnsi"/>
          <w:shd w:val="clear" w:color="auto" w:fill="FFFFFF"/>
        </w:rPr>
        <w:t xml:space="preserve"> London: Palgrave Macmillan. pp. 81-97.</w:t>
      </w:r>
    </w:p>
    <w:p w14:paraId="3070A858" w14:textId="77777777" w:rsidR="00BE2C1D" w:rsidRPr="00BE2C1D" w:rsidRDefault="00BE2C1D" w:rsidP="00BE2C1D">
      <w:pPr>
        <w:spacing w:line="360" w:lineRule="auto"/>
        <w:rPr>
          <w:rFonts w:cstheme="minorHAnsi"/>
          <w:shd w:val="clear" w:color="auto" w:fill="FFFFFF"/>
        </w:rPr>
      </w:pPr>
      <w:r w:rsidRPr="00BE2C1D">
        <w:rPr>
          <w:rFonts w:cstheme="minorHAnsi"/>
          <w:shd w:val="clear" w:color="auto" w:fill="FFFFFF"/>
        </w:rPr>
        <w:t>Paterson, K. and Hughes, B., 1999. Disability studies and phenomenology: The carnal politics of everyday life. </w:t>
      </w:r>
      <w:r w:rsidRPr="00BE2C1D">
        <w:rPr>
          <w:rFonts w:cstheme="minorHAnsi"/>
          <w:i/>
          <w:iCs/>
          <w:shd w:val="clear" w:color="auto" w:fill="FFFFFF"/>
        </w:rPr>
        <w:t>Disability &amp; Society</w:t>
      </w:r>
      <w:r w:rsidRPr="00BE2C1D">
        <w:rPr>
          <w:rFonts w:cstheme="minorHAnsi"/>
          <w:shd w:val="clear" w:color="auto" w:fill="FFFFFF"/>
        </w:rPr>
        <w:t>. </w:t>
      </w:r>
      <w:r w:rsidRPr="00BE2C1D">
        <w:rPr>
          <w:rFonts w:cstheme="minorHAnsi"/>
          <w:b/>
          <w:bCs/>
          <w:shd w:val="clear" w:color="auto" w:fill="FFFFFF"/>
        </w:rPr>
        <w:t>14</w:t>
      </w:r>
      <w:r w:rsidRPr="00BE2C1D">
        <w:rPr>
          <w:rFonts w:cstheme="minorHAnsi"/>
          <w:shd w:val="clear" w:color="auto" w:fill="FFFFFF"/>
        </w:rPr>
        <w:t>(5), 597-610.</w:t>
      </w:r>
    </w:p>
    <w:p w14:paraId="6CF6F60B" w14:textId="77777777" w:rsidR="00BE2C1D" w:rsidRPr="00BE2C1D" w:rsidRDefault="0046350E" w:rsidP="00BE2C1D">
      <w:pPr>
        <w:spacing w:line="360" w:lineRule="auto"/>
        <w:rPr>
          <w:rFonts w:cstheme="minorHAnsi"/>
        </w:rPr>
      </w:pPr>
      <w:hyperlink r:id="rId23" w:history="1">
        <w:r w:rsidR="00BE2C1D" w:rsidRPr="00BE2C1D">
          <w:rPr>
            <w:rFonts w:cstheme="minorHAnsi"/>
          </w:rPr>
          <w:t>Paterson, K.</w:t>
        </w:r>
      </w:hyperlink>
      <w:r w:rsidR="00BE2C1D" w:rsidRPr="00BE2C1D">
        <w:rPr>
          <w:rFonts w:cstheme="minorHAnsi"/>
          <w:shd w:val="clear" w:color="auto" w:fill="FFFFFF"/>
        </w:rPr>
        <w:t> and Hughes, B. (2000) Disabled bodies. In: P. Hancock, B. Hughes, E. Jagger, K. Paterson, R. Russell, E. Tulle-Winton and M. Tyler, eds. </w:t>
      </w:r>
      <w:r w:rsidR="00BE2C1D" w:rsidRPr="00BE2C1D">
        <w:rPr>
          <w:rFonts w:cstheme="minorHAnsi"/>
          <w:i/>
          <w:iCs/>
          <w:bdr w:val="none" w:sz="0" w:space="0" w:color="auto" w:frame="1"/>
          <w:shd w:val="clear" w:color="auto" w:fill="FFFFFF"/>
        </w:rPr>
        <w:t>The Body, Culture, and Society: An Introduction.</w:t>
      </w:r>
      <w:r w:rsidR="00BE2C1D" w:rsidRPr="00BE2C1D">
        <w:rPr>
          <w:rFonts w:cstheme="minorHAnsi"/>
          <w:shd w:val="clear" w:color="auto" w:fill="FFFFFF"/>
        </w:rPr>
        <w:t> Buckingham: Open University Press. pp. 29-44.</w:t>
      </w:r>
    </w:p>
    <w:p w14:paraId="594A03C9" w14:textId="77777777" w:rsidR="00BE2C1D" w:rsidRPr="00BE2C1D" w:rsidRDefault="00BE2C1D" w:rsidP="00BE2C1D">
      <w:pPr>
        <w:spacing w:line="360" w:lineRule="auto"/>
        <w:rPr>
          <w:rFonts w:cstheme="minorHAnsi"/>
          <w:shd w:val="clear" w:color="auto" w:fill="FFFFFF"/>
        </w:rPr>
      </w:pPr>
      <w:r w:rsidRPr="00BE2C1D">
        <w:rPr>
          <w:rFonts w:cstheme="minorHAnsi"/>
          <w:shd w:val="clear" w:color="auto" w:fill="FFFFFF"/>
        </w:rPr>
        <w:t>Perryman, J., Maguire, M., Braun, A. and Ball, S., 2018. Surveillance, governmentality and moving the goalposts: The influence of Ofsted on the work of schools in a post-panoptic era. </w:t>
      </w:r>
      <w:r w:rsidRPr="00BE2C1D">
        <w:rPr>
          <w:rFonts w:cstheme="minorHAnsi"/>
          <w:i/>
          <w:iCs/>
          <w:shd w:val="clear" w:color="auto" w:fill="FFFFFF"/>
        </w:rPr>
        <w:t>British journal of educational studies</w:t>
      </w:r>
      <w:r w:rsidRPr="00BE2C1D">
        <w:rPr>
          <w:rFonts w:cstheme="minorHAnsi"/>
          <w:shd w:val="clear" w:color="auto" w:fill="FFFFFF"/>
        </w:rPr>
        <w:t>. </w:t>
      </w:r>
      <w:r w:rsidRPr="00BE2C1D">
        <w:rPr>
          <w:rFonts w:cstheme="minorHAnsi"/>
          <w:b/>
          <w:bCs/>
          <w:shd w:val="clear" w:color="auto" w:fill="FFFFFF"/>
        </w:rPr>
        <w:t>66</w:t>
      </w:r>
      <w:r w:rsidRPr="00BE2C1D">
        <w:rPr>
          <w:rFonts w:cstheme="minorHAnsi"/>
          <w:shd w:val="clear" w:color="auto" w:fill="FFFFFF"/>
        </w:rPr>
        <w:t>(2), 145-163.</w:t>
      </w:r>
    </w:p>
    <w:p w14:paraId="07801AF4" w14:textId="77777777" w:rsidR="00BE2C1D" w:rsidRPr="00BE2C1D" w:rsidRDefault="00BE2C1D" w:rsidP="00BE2C1D">
      <w:pPr>
        <w:spacing w:line="360" w:lineRule="auto"/>
        <w:rPr>
          <w:rFonts w:cstheme="minorHAnsi"/>
          <w:shd w:val="clear" w:color="auto" w:fill="FFFFFF"/>
        </w:rPr>
      </w:pPr>
      <w:r w:rsidRPr="00BE2C1D">
        <w:rPr>
          <w:rFonts w:cstheme="minorHAnsi"/>
          <w:shd w:val="clear" w:color="auto" w:fill="FFFFFF"/>
        </w:rPr>
        <w:t>Persico, N., Postlewaite, A. and Silverman, D., 2004. The effect of adolescent experience on labor market outcomes: The case of height. </w:t>
      </w:r>
      <w:r w:rsidRPr="00BE2C1D">
        <w:rPr>
          <w:rFonts w:cstheme="minorHAnsi"/>
          <w:i/>
          <w:iCs/>
          <w:shd w:val="clear" w:color="auto" w:fill="FFFFFF"/>
        </w:rPr>
        <w:t>Journal of Political Economy</w:t>
      </w:r>
      <w:r w:rsidRPr="00BE2C1D">
        <w:rPr>
          <w:rFonts w:cstheme="minorHAnsi"/>
          <w:shd w:val="clear" w:color="auto" w:fill="FFFFFF"/>
        </w:rPr>
        <w:t>. </w:t>
      </w:r>
      <w:r w:rsidRPr="00BE2C1D">
        <w:rPr>
          <w:rFonts w:cstheme="minorHAnsi"/>
          <w:b/>
          <w:bCs/>
          <w:shd w:val="clear" w:color="auto" w:fill="FFFFFF"/>
        </w:rPr>
        <w:t>112</w:t>
      </w:r>
      <w:r w:rsidRPr="00BE2C1D">
        <w:rPr>
          <w:rFonts w:cstheme="minorHAnsi"/>
          <w:shd w:val="clear" w:color="auto" w:fill="FFFFFF"/>
        </w:rPr>
        <w:t>(5), 1019-1053.</w:t>
      </w:r>
    </w:p>
    <w:p w14:paraId="5896A974" w14:textId="77777777" w:rsidR="00BE2C1D" w:rsidRPr="00BE2C1D" w:rsidRDefault="00BE2C1D" w:rsidP="00BE2C1D">
      <w:pPr>
        <w:spacing w:line="360" w:lineRule="auto"/>
        <w:rPr>
          <w:rFonts w:cstheme="minorHAnsi"/>
          <w:shd w:val="clear" w:color="auto" w:fill="FFFFFF"/>
        </w:rPr>
      </w:pPr>
      <w:r w:rsidRPr="00BE2C1D">
        <w:rPr>
          <w:rFonts w:cstheme="minorHAnsi"/>
          <w:shd w:val="clear" w:color="auto" w:fill="FFFFFF"/>
        </w:rPr>
        <w:lastRenderedPageBreak/>
        <w:t>Petherick, L., 2013. Producing the young biocitizen: secondary school students' negotiation of learning in physical education. </w:t>
      </w:r>
      <w:r w:rsidRPr="00BE2C1D">
        <w:rPr>
          <w:rFonts w:cstheme="minorHAnsi"/>
          <w:i/>
          <w:iCs/>
          <w:shd w:val="clear" w:color="auto" w:fill="FFFFFF"/>
        </w:rPr>
        <w:t>Sport, Education and Society</w:t>
      </w:r>
      <w:r w:rsidRPr="00BE2C1D">
        <w:rPr>
          <w:rFonts w:cstheme="minorHAnsi"/>
          <w:shd w:val="clear" w:color="auto" w:fill="FFFFFF"/>
        </w:rPr>
        <w:t>. </w:t>
      </w:r>
      <w:r w:rsidRPr="00BE2C1D">
        <w:rPr>
          <w:rFonts w:cstheme="minorHAnsi"/>
          <w:b/>
          <w:bCs/>
          <w:shd w:val="clear" w:color="auto" w:fill="FFFFFF"/>
        </w:rPr>
        <w:t>18</w:t>
      </w:r>
      <w:r w:rsidRPr="00BE2C1D">
        <w:rPr>
          <w:rFonts w:cstheme="minorHAnsi"/>
          <w:shd w:val="clear" w:color="auto" w:fill="FFFFFF"/>
        </w:rPr>
        <w:t>(6), 711-730.</w:t>
      </w:r>
    </w:p>
    <w:p w14:paraId="26EFA46E" w14:textId="77777777" w:rsidR="00BE2C1D" w:rsidRPr="00BE2C1D" w:rsidRDefault="00BE2C1D" w:rsidP="00BE2C1D">
      <w:pPr>
        <w:spacing w:line="360" w:lineRule="auto"/>
        <w:rPr>
          <w:rFonts w:cstheme="minorHAnsi"/>
          <w:shd w:val="clear" w:color="auto" w:fill="FFFFFF"/>
        </w:rPr>
      </w:pPr>
      <w:r w:rsidRPr="00BE2C1D">
        <w:rPr>
          <w:rFonts w:cstheme="minorHAnsi"/>
          <w:shd w:val="clear" w:color="auto" w:fill="FFFFFF"/>
        </w:rPr>
        <w:t>Petherick, L., 2018. Race and culture in the secondary school health and physical education curriculum in Ontario, Canada. </w:t>
      </w:r>
      <w:r w:rsidRPr="00BE2C1D">
        <w:rPr>
          <w:rFonts w:cstheme="minorHAnsi"/>
          <w:i/>
          <w:iCs/>
          <w:shd w:val="clear" w:color="auto" w:fill="FFFFFF"/>
        </w:rPr>
        <w:t>Health Education</w:t>
      </w:r>
      <w:r w:rsidRPr="00BE2C1D">
        <w:rPr>
          <w:rFonts w:cstheme="minorHAnsi"/>
          <w:shd w:val="clear" w:color="auto" w:fill="FFFFFF"/>
        </w:rPr>
        <w:t>.</w:t>
      </w:r>
      <w:r w:rsidRPr="00BE2C1D">
        <w:rPr>
          <w:rFonts w:cstheme="minorHAnsi"/>
          <w:i/>
          <w:iCs/>
          <w:shd w:val="clear" w:color="auto" w:fill="FFFFFF"/>
        </w:rPr>
        <w:t xml:space="preserve"> </w:t>
      </w:r>
      <w:r w:rsidRPr="00BE2C1D">
        <w:rPr>
          <w:rFonts w:cstheme="minorHAnsi"/>
          <w:b/>
          <w:bCs/>
          <w:shd w:val="clear" w:color="auto" w:fill="FFFFFF"/>
        </w:rPr>
        <w:t>118</w:t>
      </w:r>
      <w:r w:rsidRPr="00BE2C1D">
        <w:rPr>
          <w:rFonts w:cstheme="minorHAnsi"/>
          <w:shd w:val="clear" w:color="auto" w:fill="FFFFFF"/>
        </w:rPr>
        <w:t>(2), 144-158.</w:t>
      </w:r>
    </w:p>
    <w:p w14:paraId="5283C8E8" w14:textId="77777777" w:rsidR="00BE2C1D" w:rsidRPr="00BE2C1D" w:rsidRDefault="00BE2C1D" w:rsidP="00BE2C1D">
      <w:pPr>
        <w:spacing w:line="360" w:lineRule="auto"/>
        <w:rPr>
          <w:rFonts w:cstheme="minorHAnsi"/>
          <w:shd w:val="clear" w:color="auto" w:fill="FFFFFF"/>
        </w:rPr>
      </w:pPr>
      <w:r w:rsidRPr="00BE2C1D">
        <w:rPr>
          <w:rFonts w:cstheme="minorHAnsi"/>
          <w:shd w:val="clear" w:color="auto" w:fill="FFFFFF"/>
        </w:rPr>
        <w:t>Pickering, L., 2010. Toilets, bodies, selves: Enacting composting as counterculture in Hawai’i. </w:t>
      </w:r>
      <w:r w:rsidRPr="00BE2C1D">
        <w:rPr>
          <w:rFonts w:cstheme="minorHAnsi"/>
          <w:i/>
          <w:iCs/>
          <w:shd w:val="clear" w:color="auto" w:fill="FFFFFF"/>
        </w:rPr>
        <w:t>Body &amp; Society</w:t>
      </w:r>
      <w:r w:rsidRPr="00BE2C1D">
        <w:rPr>
          <w:rFonts w:cstheme="minorHAnsi"/>
          <w:shd w:val="clear" w:color="auto" w:fill="FFFFFF"/>
        </w:rPr>
        <w:t>. </w:t>
      </w:r>
      <w:r w:rsidRPr="00BE2C1D">
        <w:rPr>
          <w:rFonts w:cstheme="minorHAnsi"/>
          <w:b/>
          <w:bCs/>
          <w:shd w:val="clear" w:color="auto" w:fill="FFFFFF"/>
        </w:rPr>
        <w:t>16</w:t>
      </w:r>
      <w:r w:rsidRPr="00BE2C1D">
        <w:rPr>
          <w:rFonts w:cstheme="minorHAnsi"/>
          <w:shd w:val="clear" w:color="auto" w:fill="FFFFFF"/>
        </w:rPr>
        <w:t>(4), 33-55.</w:t>
      </w:r>
    </w:p>
    <w:p w14:paraId="24BF47EC" w14:textId="77777777" w:rsidR="00BE2C1D" w:rsidRPr="00BE2C1D" w:rsidRDefault="00BE2C1D" w:rsidP="00BE2C1D">
      <w:pPr>
        <w:spacing w:line="360" w:lineRule="auto"/>
        <w:rPr>
          <w:rFonts w:cstheme="minorHAnsi"/>
          <w:shd w:val="clear" w:color="auto" w:fill="FFFFFF"/>
        </w:rPr>
      </w:pPr>
      <w:r w:rsidRPr="00BE2C1D">
        <w:rPr>
          <w:rFonts w:cstheme="minorHAnsi"/>
          <w:shd w:val="clear" w:color="auto" w:fill="FFFFFF"/>
        </w:rPr>
        <w:t>Pike, J., 2008. Foucault, space and primary school dining rooms. </w:t>
      </w:r>
      <w:r w:rsidRPr="00BE2C1D">
        <w:rPr>
          <w:rFonts w:cstheme="minorHAnsi"/>
          <w:i/>
          <w:iCs/>
          <w:shd w:val="clear" w:color="auto" w:fill="FFFFFF"/>
        </w:rPr>
        <w:t>Children's Geographies</w:t>
      </w:r>
      <w:r w:rsidRPr="00BE2C1D">
        <w:rPr>
          <w:rFonts w:cstheme="minorHAnsi"/>
          <w:shd w:val="clear" w:color="auto" w:fill="FFFFFF"/>
        </w:rPr>
        <w:t>. </w:t>
      </w:r>
      <w:r w:rsidRPr="00BE2C1D">
        <w:rPr>
          <w:rFonts w:cstheme="minorHAnsi"/>
          <w:b/>
          <w:bCs/>
          <w:shd w:val="clear" w:color="auto" w:fill="FFFFFF"/>
        </w:rPr>
        <w:t>6</w:t>
      </w:r>
      <w:r w:rsidRPr="00BE2C1D">
        <w:rPr>
          <w:rFonts w:cstheme="minorHAnsi"/>
          <w:shd w:val="clear" w:color="auto" w:fill="FFFFFF"/>
        </w:rPr>
        <w:t>(4), 413-422.</w:t>
      </w:r>
    </w:p>
    <w:p w14:paraId="5936E1D4" w14:textId="77777777" w:rsidR="00BE2C1D" w:rsidRPr="00BE2C1D" w:rsidRDefault="00BE2C1D" w:rsidP="00BE2C1D">
      <w:pPr>
        <w:spacing w:line="360" w:lineRule="auto"/>
        <w:rPr>
          <w:rFonts w:cstheme="minorHAnsi"/>
          <w:shd w:val="clear" w:color="auto" w:fill="FFFFFF"/>
        </w:rPr>
      </w:pPr>
      <w:r w:rsidRPr="00BE2C1D">
        <w:rPr>
          <w:rFonts w:cstheme="minorHAnsi"/>
          <w:shd w:val="clear" w:color="auto" w:fill="FFFFFF"/>
        </w:rPr>
        <w:t>Pillow, W., 2003. Confession, catharsis, or cure? Rethinking the uses of reflexivity as methodological power in qualitative research. </w:t>
      </w:r>
      <w:r w:rsidRPr="00BE2C1D">
        <w:rPr>
          <w:rFonts w:cstheme="minorHAnsi"/>
          <w:i/>
          <w:iCs/>
          <w:shd w:val="clear" w:color="auto" w:fill="FFFFFF"/>
        </w:rPr>
        <w:t>International journal of qualitative studies in education</w:t>
      </w:r>
      <w:r w:rsidRPr="00BE2C1D">
        <w:rPr>
          <w:rFonts w:cstheme="minorHAnsi"/>
          <w:shd w:val="clear" w:color="auto" w:fill="FFFFFF"/>
        </w:rPr>
        <w:t>, </w:t>
      </w:r>
      <w:r w:rsidRPr="00BE2C1D">
        <w:rPr>
          <w:rFonts w:cstheme="minorHAnsi"/>
          <w:b/>
          <w:bCs/>
          <w:shd w:val="clear" w:color="auto" w:fill="FFFFFF"/>
        </w:rPr>
        <w:t>16</w:t>
      </w:r>
      <w:r w:rsidRPr="00BE2C1D">
        <w:rPr>
          <w:rFonts w:cstheme="minorHAnsi"/>
          <w:shd w:val="clear" w:color="auto" w:fill="FFFFFF"/>
        </w:rPr>
        <w:t>(2), 175-196.</w:t>
      </w:r>
    </w:p>
    <w:p w14:paraId="29826B97" w14:textId="77777777" w:rsidR="00BE2C1D" w:rsidRPr="00BE2C1D" w:rsidRDefault="00BE2C1D" w:rsidP="00BE2C1D">
      <w:pPr>
        <w:spacing w:line="360" w:lineRule="auto"/>
        <w:rPr>
          <w:rFonts w:cstheme="minorHAnsi"/>
          <w:shd w:val="clear" w:color="auto" w:fill="FFFFFF"/>
        </w:rPr>
      </w:pPr>
      <w:r w:rsidRPr="00BE2C1D">
        <w:rPr>
          <w:rFonts w:cstheme="minorHAnsi"/>
          <w:shd w:val="clear" w:color="auto" w:fill="FFFFFF"/>
        </w:rPr>
        <w:t>Pollitt, E. and Money, J., 1964. Studies in the psychology of dwarfism. I. Intelligence quotient and school achievement. </w:t>
      </w:r>
      <w:r w:rsidRPr="00BE2C1D">
        <w:rPr>
          <w:rFonts w:cstheme="minorHAnsi"/>
          <w:i/>
          <w:iCs/>
          <w:shd w:val="clear" w:color="auto" w:fill="FFFFFF"/>
        </w:rPr>
        <w:t>The Journal of paediatrics</w:t>
      </w:r>
      <w:r w:rsidRPr="00BE2C1D">
        <w:rPr>
          <w:rFonts w:cstheme="minorHAnsi"/>
          <w:shd w:val="clear" w:color="auto" w:fill="FFFFFF"/>
        </w:rPr>
        <w:t>. </w:t>
      </w:r>
      <w:r w:rsidRPr="00BE2C1D">
        <w:rPr>
          <w:rFonts w:cstheme="minorHAnsi"/>
          <w:b/>
          <w:bCs/>
          <w:shd w:val="clear" w:color="auto" w:fill="FFFFFF"/>
        </w:rPr>
        <w:t>64</w:t>
      </w:r>
      <w:r w:rsidRPr="00BE2C1D">
        <w:rPr>
          <w:rFonts w:cstheme="minorHAnsi"/>
          <w:shd w:val="clear" w:color="auto" w:fill="FFFFFF"/>
        </w:rPr>
        <w:t>(3), 415-421.</w:t>
      </w:r>
    </w:p>
    <w:p w14:paraId="0B665713" w14:textId="77777777" w:rsidR="00BE2C1D" w:rsidRPr="00BE2C1D" w:rsidRDefault="00BE2C1D" w:rsidP="00BE2C1D">
      <w:pPr>
        <w:spacing w:line="360" w:lineRule="auto"/>
        <w:jc w:val="both"/>
        <w:rPr>
          <w:rFonts w:cstheme="minorHAnsi"/>
          <w:shd w:val="clear" w:color="auto" w:fill="FFFFFF"/>
        </w:rPr>
      </w:pPr>
      <w:r w:rsidRPr="00BE2C1D">
        <w:rPr>
          <w:rFonts w:cstheme="minorHAnsi"/>
          <w:shd w:val="clear" w:color="auto" w:fill="FFFFFF"/>
        </w:rPr>
        <w:t>Powell, M. A., McArthur, M., Chalmers, J., Graham, A., Moore, T., Spriggs, M., &amp; Taplin, S., 2018. Sensitive topics in social research involving children. </w:t>
      </w:r>
      <w:r w:rsidRPr="00BE2C1D">
        <w:rPr>
          <w:rFonts w:cstheme="minorHAnsi"/>
          <w:i/>
          <w:iCs/>
          <w:shd w:val="clear" w:color="auto" w:fill="FFFFFF"/>
        </w:rPr>
        <w:t>International Journal of Social Research Methodology</w:t>
      </w:r>
      <w:r w:rsidRPr="00BE2C1D">
        <w:rPr>
          <w:rFonts w:cstheme="minorHAnsi"/>
          <w:shd w:val="clear" w:color="auto" w:fill="FFFFFF"/>
        </w:rPr>
        <w:t>. </w:t>
      </w:r>
      <w:r w:rsidRPr="00BE2C1D">
        <w:rPr>
          <w:rFonts w:cstheme="minorHAnsi"/>
          <w:b/>
          <w:bCs/>
          <w:shd w:val="clear" w:color="auto" w:fill="FFFFFF"/>
        </w:rPr>
        <w:t>21</w:t>
      </w:r>
      <w:r w:rsidRPr="00BE2C1D">
        <w:rPr>
          <w:rFonts w:cstheme="minorHAnsi"/>
          <w:shd w:val="clear" w:color="auto" w:fill="FFFFFF"/>
        </w:rPr>
        <w:t>(6), 647-660.</w:t>
      </w:r>
    </w:p>
    <w:p w14:paraId="702737DC" w14:textId="77777777" w:rsidR="00BE2C1D" w:rsidRPr="00BE2C1D" w:rsidRDefault="00BE2C1D" w:rsidP="00BE2C1D">
      <w:pPr>
        <w:spacing w:line="360" w:lineRule="auto"/>
        <w:rPr>
          <w:rFonts w:cstheme="minorHAnsi"/>
          <w:shd w:val="clear" w:color="auto" w:fill="FFFFFF"/>
        </w:rPr>
      </w:pPr>
      <w:r w:rsidRPr="00BE2C1D">
        <w:rPr>
          <w:rFonts w:cstheme="minorHAnsi"/>
          <w:shd w:val="clear" w:color="auto" w:fill="FFFFFF"/>
        </w:rPr>
        <w:t>Prellwitz, M., Tamm, M. and Lindqvist, R., 2001. Are playgrounds in Norrland (northern Sweden) accessible to children with restricted mobility?. </w:t>
      </w:r>
      <w:r w:rsidRPr="00BE2C1D">
        <w:rPr>
          <w:rFonts w:cstheme="minorHAnsi"/>
          <w:i/>
          <w:iCs/>
          <w:shd w:val="clear" w:color="auto" w:fill="FFFFFF"/>
        </w:rPr>
        <w:t>Scandinavian Journal of Disability Research</w:t>
      </w:r>
      <w:r w:rsidRPr="00BE2C1D">
        <w:rPr>
          <w:rFonts w:cstheme="minorHAnsi"/>
          <w:shd w:val="clear" w:color="auto" w:fill="FFFFFF"/>
        </w:rPr>
        <w:t>, </w:t>
      </w:r>
      <w:r w:rsidRPr="00BE2C1D">
        <w:rPr>
          <w:rFonts w:cstheme="minorHAnsi"/>
          <w:b/>
          <w:bCs/>
          <w:shd w:val="clear" w:color="auto" w:fill="FFFFFF"/>
        </w:rPr>
        <w:t>3</w:t>
      </w:r>
      <w:r w:rsidRPr="00BE2C1D">
        <w:rPr>
          <w:rFonts w:cstheme="minorHAnsi"/>
          <w:shd w:val="clear" w:color="auto" w:fill="FFFFFF"/>
        </w:rPr>
        <w:t>(1), 56-68.</w:t>
      </w:r>
    </w:p>
    <w:p w14:paraId="2B96E976" w14:textId="77777777" w:rsidR="00BE2C1D" w:rsidRPr="00BE2C1D" w:rsidRDefault="00BE2C1D" w:rsidP="00BE2C1D">
      <w:pPr>
        <w:spacing w:line="360" w:lineRule="auto"/>
        <w:jc w:val="both"/>
        <w:rPr>
          <w:rFonts w:cstheme="minorHAnsi"/>
        </w:rPr>
      </w:pPr>
      <w:r w:rsidRPr="00BE2C1D">
        <w:rPr>
          <w:rFonts w:cstheme="minorHAnsi"/>
        </w:rPr>
        <w:t xml:space="preserve">Prensky, M. (2001). Digital Natives, Digital Immigrants, Part 1, On The Horizon.  </w:t>
      </w:r>
      <w:r w:rsidRPr="00BE2C1D">
        <w:rPr>
          <w:rFonts w:cstheme="minorHAnsi"/>
          <w:b/>
          <w:bCs/>
        </w:rPr>
        <w:t>9</w:t>
      </w:r>
      <w:r w:rsidRPr="00BE2C1D">
        <w:rPr>
          <w:rFonts w:cstheme="minorHAnsi"/>
        </w:rPr>
        <w:t>(5), 3-6.</w:t>
      </w:r>
    </w:p>
    <w:p w14:paraId="57871521" w14:textId="77777777" w:rsidR="00BE2C1D" w:rsidRPr="00BE2C1D" w:rsidRDefault="00BE2C1D" w:rsidP="00BE2C1D">
      <w:pPr>
        <w:spacing w:line="360" w:lineRule="auto"/>
        <w:rPr>
          <w:rFonts w:cstheme="minorHAnsi"/>
          <w:shd w:val="clear" w:color="auto" w:fill="FFFFFF"/>
        </w:rPr>
      </w:pPr>
      <w:r w:rsidRPr="00BE2C1D">
        <w:rPr>
          <w:rFonts w:cstheme="minorHAnsi"/>
          <w:shd w:val="clear" w:color="auto" w:fill="FFFFFF"/>
        </w:rPr>
        <w:t>Price, M., (2011). </w:t>
      </w:r>
      <w:r w:rsidRPr="00BE2C1D">
        <w:rPr>
          <w:rFonts w:cstheme="minorHAnsi"/>
          <w:i/>
          <w:iCs/>
          <w:shd w:val="clear" w:color="auto" w:fill="FFFFFF"/>
        </w:rPr>
        <w:t>Mad at school: Rhetorics of mental disability and academic life</w:t>
      </w:r>
      <w:r w:rsidRPr="00BE2C1D">
        <w:rPr>
          <w:rFonts w:cstheme="minorHAnsi"/>
          <w:shd w:val="clear" w:color="auto" w:fill="FFFFFF"/>
        </w:rPr>
        <w:t>. USA: University of Michigan Press.</w:t>
      </w:r>
    </w:p>
    <w:p w14:paraId="744274D7" w14:textId="77777777" w:rsidR="00BE2C1D" w:rsidRPr="00BE2C1D" w:rsidRDefault="00BE2C1D" w:rsidP="00BE2C1D">
      <w:pPr>
        <w:spacing w:line="360" w:lineRule="auto"/>
        <w:rPr>
          <w:rFonts w:cstheme="minorHAnsi"/>
          <w:shd w:val="clear" w:color="auto" w:fill="FFFFFF"/>
        </w:rPr>
      </w:pPr>
      <w:r w:rsidRPr="00BE2C1D">
        <w:rPr>
          <w:rFonts w:cstheme="minorHAnsi"/>
          <w:shd w:val="clear" w:color="auto" w:fill="FFFFFF"/>
        </w:rPr>
        <w:t>Priestley, M., 1998. Childhood disability and disabled childhoods: Agendas for research. </w:t>
      </w:r>
      <w:r w:rsidRPr="00BE2C1D">
        <w:rPr>
          <w:rFonts w:cstheme="minorHAnsi"/>
          <w:i/>
          <w:iCs/>
          <w:shd w:val="clear" w:color="auto" w:fill="FFFFFF"/>
        </w:rPr>
        <w:t>Childhood</w:t>
      </w:r>
      <w:r w:rsidRPr="00BE2C1D">
        <w:rPr>
          <w:rFonts w:cstheme="minorHAnsi"/>
          <w:shd w:val="clear" w:color="auto" w:fill="FFFFFF"/>
        </w:rPr>
        <w:t>. </w:t>
      </w:r>
      <w:r w:rsidRPr="00BE2C1D">
        <w:rPr>
          <w:rFonts w:cstheme="minorHAnsi"/>
          <w:b/>
          <w:bCs/>
          <w:shd w:val="clear" w:color="auto" w:fill="FFFFFF"/>
        </w:rPr>
        <w:t>5</w:t>
      </w:r>
      <w:r w:rsidRPr="00BE2C1D">
        <w:rPr>
          <w:rFonts w:cstheme="minorHAnsi"/>
          <w:shd w:val="clear" w:color="auto" w:fill="FFFFFF"/>
        </w:rPr>
        <w:t>(2), 207-223.</w:t>
      </w:r>
    </w:p>
    <w:p w14:paraId="348964DA" w14:textId="77777777" w:rsidR="00BE2C1D" w:rsidRPr="00BE2C1D" w:rsidRDefault="00BE2C1D" w:rsidP="00BE2C1D">
      <w:pPr>
        <w:spacing w:line="360" w:lineRule="auto"/>
        <w:rPr>
          <w:rFonts w:cstheme="minorHAnsi"/>
          <w:shd w:val="clear" w:color="auto" w:fill="FFFFFF"/>
        </w:rPr>
      </w:pPr>
      <w:r w:rsidRPr="00BE2C1D">
        <w:rPr>
          <w:rFonts w:cstheme="minorHAnsi"/>
          <w:shd w:val="clear" w:color="auto" w:fill="FFFFFF"/>
        </w:rPr>
        <w:t xml:space="preserve">Priestley, M., Corker, M. and Watson, N., 1999. Unfinished business: Disabled children and disability identity. </w:t>
      </w:r>
      <w:r w:rsidRPr="00BE2C1D">
        <w:rPr>
          <w:rFonts w:cstheme="minorHAnsi"/>
          <w:i/>
          <w:iCs/>
          <w:shd w:val="clear" w:color="auto" w:fill="FFFFFF"/>
        </w:rPr>
        <w:t xml:space="preserve">Disability Studies Quarterly. </w:t>
      </w:r>
      <w:r w:rsidRPr="00BE2C1D">
        <w:rPr>
          <w:rFonts w:cstheme="minorHAnsi"/>
          <w:shd w:val="clear" w:color="auto" w:fill="FFFFFF"/>
        </w:rPr>
        <w:t>19(2), 87-98.</w:t>
      </w:r>
    </w:p>
    <w:p w14:paraId="15EEC5B5" w14:textId="77777777" w:rsidR="00BE2C1D" w:rsidRPr="00BE2C1D" w:rsidRDefault="00BE2C1D" w:rsidP="00BE2C1D">
      <w:pPr>
        <w:spacing w:line="360" w:lineRule="auto"/>
        <w:rPr>
          <w:rFonts w:cstheme="minorHAnsi"/>
          <w:shd w:val="clear" w:color="auto" w:fill="FFFFFF"/>
        </w:rPr>
      </w:pPr>
      <w:r w:rsidRPr="00BE2C1D">
        <w:rPr>
          <w:rFonts w:cstheme="minorHAnsi"/>
          <w:shd w:val="clear" w:color="auto" w:fill="FFFFFF"/>
        </w:rPr>
        <w:t>Pringle, R., 2008. ‘No rugby—no fear’: collective stories, masculinities and transformative possibilities in schools. </w:t>
      </w:r>
      <w:r w:rsidRPr="00BE2C1D">
        <w:rPr>
          <w:rFonts w:cstheme="minorHAnsi"/>
          <w:i/>
          <w:iCs/>
          <w:shd w:val="clear" w:color="auto" w:fill="FFFFFF"/>
        </w:rPr>
        <w:t>Sport, Education and Society</w:t>
      </w:r>
      <w:r w:rsidRPr="00BE2C1D">
        <w:rPr>
          <w:rFonts w:cstheme="minorHAnsi"/>
          <w:shd w:val="clear" w:color="auto" w:fill="FFFFFF"/>
        </w:rPr>
        <w:t>. </w:t>
      </w:r>
      <w:r w:rsidRPr="00BE2C1D">
        <w:rPr>
          <w:rFonts w:cstheme="minorHAnsi"/>
          <w:b/>
          <w:bCs/>
          <w:shd w:val="clear" w:color="auto" w:fill="FFFFFF"/>
        </w:rPr>
        <w:t>13</w:t>
      </w:r>
      <w:r w:rsidRPr="00BE2C1D">
        <w:rPr>
          <w:rFonts w:cstheme="minorHAnsi"/>
          <w:shd w:val="clear" w:color="auto" w:fill="FFFFFF"/>
        </w:rPr>
        <w:t>(2), 215-237.</w:t>
      </w:r>
    </w:p>
    <w:p w14:paraId="04236150" w14:textId="77777777" w:rsidR="00BE2C1D" w:rsidRPr="00BE2C1D" w:rsidRDefault="00BE2C1D" w:rsidP="00BE2C1D">
      <w:pPr>
        <w:spacing w:line="360" w:lineRule="auto"/>
        <w:rPr>
          <w:rFonts w:cstheme="minorHAnsi"/>
          <w:shd w:val="clear" w:color="auto" w:fill="FFFFFF"/>
        </w:rPr>
      </w:pPr>
      <w:r w:rsidRPr="00BE2C1D">
        <w:rPr>
          <w:rFonts w:cstheme="minorHAnsi"/>
          <w:shd w:val="clear" w:color="auto" w:fill="FFFFFF"/>
        </w:rPr>
        <w:lastRenderedPageBreak/>
        <w:t>Pritchard, E., 2014. </w:t>
      </w:r>
      <w:r w:rsidRPr="00BE2C1D">
        <w:rPr>
          <w:rFonts w:cstheme="minorHAnsi"/>
          <w:i/>
          <w:iCs/>
          <w:shd w:val="clear" w:color="auto" w:fill="FFFFFF"/>
        </w:rPr>
        <w:t>The social and spatial experiences of dwarfs within public spaces.</w:t>
      </w:r>
      <w:r w:rsidRPr="00BE2C1D">
        <w:rPr>
          <w:rFonts w:cstheme="minorHAnsi"/>
          <w:shd w:val="clear" w:color="auto" w:fill="FFFFFF"/>
        </w:rPr>
        <w:t xml:space="preserve"> Ph.D. thesis, University of Newcastle Upon Tyne [Viewed 14 October 2018]. Available from: </w:t>
      </w:r>
      <w:hyperlink r:id="rId24" w:history="1">
        <w:r w:rsidRPr="00BE2C1D">
          <w:rPr>
            <w:rFonts w:cstheme="minorHAnsi"/>
            <w:u w:val="single"/>
          </w:rPr>
          <w:t>https://ethos.bl.uk/OrderDetails.do?uin=uk.bl.ethos.654905</w:t>
        </w:r>
      </w:hyperlink>
    </w:p>
    <w:p w14:paraId="5C58E226" w14:textId="77777777" w:rsidR="00BE2C1D" w:rsidRPr="00BE2C1D" w:rsidRDefault="00BE2C1D" w:rsidP="00BE2C1D">
      <w:pPr>
        <w:spacing w:line="360" w:lineRule="auto"/>
        <w:rPr>
          <w:rFonts w:cstheme="minorHAnsi"/>
          <w:shd w:val="clear" w:color="auto" w:fill="FFFFFF"/>
        </w:rPr>
      </w:pPr>
      <w:r w:rsidRPr="00BE2C1D">
        <w:rPr>
          <w:rFonts w:cstheme="minorHAnsi"/>
          <w:shd w:val="clear" w:color="auto" w:fill="FFFFFF"/>
        </w:rPr>
        <w:t>Pritchard, E., 2016. The spatial experiences of dwarfs within public spaces. </w:t>
      </w:r>
      <w:r w:rsidRPr="00BE2C1D">
        <w:rPr>
          <w:rFonts w:cstheme="minorHAnsi"/>
          <w:i/>
          <w:iCs/>
          <w:shd w:val="clear" w:color="auto" w:fill="FFFFFF"/>
        </w:rPr>
        <w:t>Scandinavian Journal of Disability Research</w:t>
      </w:r>
      <w:r w:rsidRPr="00BE2C1D">
        <w:rPr>
          <w:rFonts w:cstheme="minorHAnsi"/>
          <w:shd w:val="clear" w:color="auto" w:fill="FFFFFF"/>
        </w:rPr>
        <w:t>. </w:t>
      </w:r>
      <w:r w:rsidRPr="00BE2C1D">
        <w:rPr>
          <w:rFonts w:cstheme="minorHAnsi"/>
          <w:b/>
          <w:bCs/>
          <w:shd w:val="clear" w:color="auto" w:fill="FFFFFF"/>
        </w:rPr>
        <w:t>18</w:t>
      </w:r>
      <w:r w:rsidRPr="00BE2C1D">
        <w:rPr>
          <w:rFonts w:cstheme="minorHAnsi"/>
          <w:shd w:val="clear" w:color="auto" w:fill="FFFFFF"/>
        </w:rPr>
        <w:t>(3), 191-199.</w:t>
      </w:r>
    </w:p>
    <w:p w14:paraId="58E8AC76" w14:textId="77777777" w:rsidR="00BE2C1D" w:rsidRPr="00BE2C1D" w:rsidRDefault="00BE2C1D" w:rsidP="00BE2C1D">
      <w:pPr>
        <w:spacing w:line="360" w:lineRule="auto"/>
        <w:rPr>
          <w:rFonts w:cstheme="minorHAnsi"/>
          <w:shd w:val="clear" w:color="auto" w:fill="FFFFFF"/>
        </w:rPr>
      </w:pPr>
      <w:r w:rsidRPr="00BE2C1D">
        <w:rPr>
          <w:rFonts w:cstheme="minorHAnsi"/>
          <w:shd w:val="clear" w:color="auto" w:fill="FFFFFF"/>
        </w:rPr>
        <w:t>Pritchard, E., 2017. Cultural Representations of dwarfs and their disabling affects on dwarfs in society. </w:t>
      </w:r>
      <w:r w:rsidRPr="00BE2C1D">
        <w:rPr>
          <w:rFonts w:cstheme="minorHAnsi"/>
          <w:i/>
          <w:iCs/>
          <w:shd w:val="clear" w:color="auto" w:fill="FFFFFF"/>
        </w:rPr>
        <w:t>Considering Disability Journal</w:t>
      </w:r>
      <w:r w:rsidRPr="00BE2C1D">
        <w:rPr>
          <w:rFonts w:cstheme="minorHAnsi"/>
          <w:shd w:val="clear" w:color="auto" w:fill="FFFFFF"/>
        </w:rPr>
        <w:t xml:space="preserve">. </w:t>
      </w:r>
      <w:r w:rsidRPr="00BE2C1D">
        <w:rPr>
          <w:rFonts w:cstheme="minorHAnsi"/>
          <w:b/>
          <w:bCs/>
          <w:shd w:val="clear" w:color="auto" w:fill="FFFFFF"/>
        </w:rPr>
        <w:t xml:space="preserve">1, </w:t>
      </w:r>
      <w:r w:rsidRPr="00BE2C1D">
        <w:rPr>
          <w:rFonts w:cstheme="minorHAnsi"/>
          <w:shd w:val="clear" w:color="auto" w:fill="FFFFFF"/>
        </w:rPr>
        <w:t xml:space="preserve">1-31. </w:t>
      </w:r>
    </w:p>
    <w:p w14:paraId="712D10D8" w14:textId="77777777" w:rsidR="00BE2C1D" w:rsidRPr="00BE2C1D" w:rsidRDefault="00BE2C1D" w:rsidP="00BE2C1D">
      <w:pPr>
        <w:spacing w:line="360" w:lineRule="auto"/>
        <w:rPr>
          <w:rFonts w:cstheme="minorHAnsi"/>
          <w:shd w:val="clear" w:color="auto" w:fill="FFFFFF"/>
        </w:rPr>
      </w:pPr>
      <w:r w:rsidRPr="00BE2C1D">
        <w:rPr>
          <w:rFonts w:cstheme="minorHAnsi"/>
          <w:shd w:val="clear" w:color="auto" w:fill="FFFFFF"/>
        </w:rPr>
        <w:t>Pritchard, E., (2019). Hate speech and dwarfism: The influence of cultural representations. In: M. Sherry, T. Olsen, J. S. Vedeler, J. Eriksen, eds.  </w:t>
      </w:r>
      <w:r w:rsidRPr="00BE2C1D">
        <w:rPr>
          <w:rFonts w:cstheme="minorHAnsi"/>
          <w:i/>
          <w:iCs/>
          <w:shd w:val="clear" w:color="auto" w:fill="FFFFFF"/>
        </w:rPr>
        <w:t xml:space="preserve">Disability Hate Speech Social, cultural and political contexts. </w:t>
      </w:r>
      <w:r w:rsidRPr="00BE2C1D">
        <w:rPr>
          <w:rFonts w:cstheme="minorHAnsi"/>
          <w:shd w:val="clear" w:color="auto" w:fill="FFFFFF"/>
        </w:rPr>
        <w:t> London: Routledge. pp. 116-128</w:t>
      </w:r>
    </w:p>
    <w:p w14:paraId="68EC1079" w14:textId="77777777" w:rsidR="00BE2C1D" w:rsidRPr="00BE2C1D" w:rsidRDefault="00BE2C1D" w:rsidP="00BE2C1D">
      <w:pPr>
        <w:spacing w:line="360" w:lineRule="auto"/>
        <w:jc w:val="both"/>
        <w:rPr>
          <w:rFonts w:cstheme="minorHAnsi"/>
          <w:shd w:val="clear" w:color="auto" w:fill="FFFFFF"/>
        </w:rPr>
      </w:pPr>
      <w:r w:rsidRPr="00BE2C1D">
        <w:rPr>
          <w:rFonts w:cstheme="minorHAnsi"/>
          <w:shd w:val="clear" w:color="auto" w:fill="FFFFFF"/>
        </w:rPr>
        <w:t xml:space="preserve">Pritchard, E. 2020. Incongruous encounters: the problem of accessing accessible spaces for people with dwarfism, </w:t>
      </w:r>
      <w:r w:rsidRPr="00BE2C1D">
        <w:rPr>
          <w:rFonts w:cstheme="minorHAnsi"/>
          <w:i/>
          <w:iCs/>
          <w:shd w:val="clear" w:color="auto" w:fill="FFFFFF"/>
        </w:rPr>
        <w:t>Disability &amp; Society</w:t>
      </w:r>
      <w:r w:rsidRPr="00BE2C1D">
        <w:rPr>
          <w:rFonts w:cstheme="minorHAnsi"/>
          <w:shd w:val="clear" w:color="auto" w:fill="FFFFFF"/>
        </w:rPr>
        <w:t>. 1-20.</w:t>
      </w:r>
    </w:p>
    <w:p w14:paraId="4340E246" w14:textId="77777777" w:rsidR="00BE2C1D" w:rsidRPr="00BE2C1D" w:rsidRDefault="00BE2C1D" w:rsidP="00BE2C1D">
      <w:pPr>
        <w:spacing w:line="360" w:lineRule="auto"/>
        <w:jc w:val="both"/>
        <w:rPr>
          <w:rFonts w:cstheme="minorHAnsi"/>
          <w:lang w:eastAsia="en-GB"/>
        </w:rPr>
      </w:pPr>
      <w:r w:rsidRPr="00BE2C1D">
        <w:rPr>
          <w:rFonts w:cstheme="minorHAnsi"/>
          <w:shd w:val="clear" w:color="auto" w:fill="FFFFFF"/>
        </w:rPr>
        <w:t>Pultz, S., 2018. </w:t>
      </w:r>
      <w:r w:rsidRPr="00BE2C1D">
        <w:rPr>
          <w:rFonts w:cstheme="minorHAnsi"/>
          <w:i/>
          <w:iCs/>
          <w:shd w:val="clear" w:color="auto" w:fill="FFFFFF"/>
        </w:rPr>
        <w:t>Flexibility in Research Design: How Unexpected Events Can Improve Learning and Research</w:t>
      </w:r>
      <w:r w:rsidRPr="00BE2C1D">
        <w:rPr>
          <w:rFonts w:cstheme="minorHAnsi"/>
          <w:shd w:val="clear" w:color="auto" w:fill="FFFFFF"/>
        </w:rPr>
        <w:t xml:space="preserve">. London: Sage. </w:t>
      </w:r>
    </w:p>
    <w:p w14:paraId="2B357BFC" w14:textId="77777777" w:rsidR="00BE2C1D" w:rsidRPr="00BE2C1D" w:rsidRDefault="00BE2C1D" w:rsidP="00BE2C1D">
      <w:pPr>
        <w:spacing w:line="360" w:lineRule="auto"/>
        <w:rPr>
          <w:rFonts w:cstheme="minorHAnsi"/>
          <w:shd w:val="clear" w:color="auto" w:fill="FFFFFF"/>
        </w:rPr>
      </w:pPr>
      <w:r w:rsidRPr="00BE2C1D">
        <w:rPr>
          <w:rFonts w:cstheme="minorHAnsi"/>
          <w:shd w:val="clear" w:color="auto" w:fill="FFFFFF"/>
        </w:rPr>
        <w:t>Pyer, M., Horton, J., Tucker, F., Ryan, S. and Kraftl, P., 2010. Children, young people and ‘disability’: challenging children's geographies?.</w:t>
      </w:r>
      <w:r w:rsidRPr="00BE2C1D">
        <w:rPr>
          <w:rFonts w:cstheme="minorHAnsi"/>
          <w:i/>
          <w:iCs/>
          <w:shd w:val="clear" w:color="auto" w:fill="FFFFFF"/>
        </w:rPr>
        <w:t xml:space="preserve">Children’s Geographies. </w:t>
      </w:r>
      <w:r w:rsidRPr="00BE2C1D">
        <w:rPr>
          <w:rFonts w:cstheme="minorHAnsi"/>
          <w:b/>
          <w:bCs/>
          <w:shd w:val="clear" w:color="auto" w:fill="FFFFFF"/>
        </w:rPr>
        <w:t>8</w:t>
      </w:r>
      <w:r w:rsidRPr="00BE2C1D">
        <w:rPr>
          <w:rFonts w:cstheme="minorHAnsi"/>
          <w:shd w:val="clear" w:color="auto" w:fill="FFFFFF"/>
        </w:rPr>
        <w:t>(1), 1-8.</w:t>
      </w:r>
    </w:p>
    <w:p w14:paraId="3DE2433F" w14:textId="77777777" w:rsidR="00BE2C1D" w:rsidRPr="00BE2C1D" w:rsidRDefault="00BE2C1D" w:rsidP="00BE2C1D">
      <w:pPr>
        <w:spacing w:line="360" w:lineRule="auto"/>
        <w:rPr>
          <w:rFonts w:cstheme="minorHAnsi"/>
          <w:i/>
          <w:iCs/>
          <w:shd w:val="clear" w:color="auto" w:fill="FFFFFF"/>
        </w:rPr>
      </w:pPr>
      <w:r w:rsidRPr="00BE2C1D">
        <w:rPr>
          <w:rFonts w:cstheme="minorHAnsi"/>
          <w:shd w:val="clear" w:color="auto" w:fill="FFFFFF"/>
        </w:rPr>
        <w:t xml:space="preserve">Quitmann, J., Bloemeke, J., Silva N., Bullinger, M., Witt, S., Akkurt, I., Dunstheimer, D., Vogel, C., Böttcher, V., Krahl, U. K., Bettendorf, M., Schönau, E., Fricke-Otto, S., Keller, A., Mohnike, K. and  Dörr H-G., 2019. Quality of Life of Short-Statured Children Born Small for Gestational Age or Idiopathic Growth Hormone Deficiency Within 1 Year of Growth Hormone Treatment. </w:t>
      </w:r>
      <w:r w:rsidRPr="00BE2C1D">
        <w:rPr>
          <w:rFonts w:cstheme="minorHAnsi"/>
          <w:i/>
          <w:iCs/>
          <w:shd w:val="clear" w:color="auto" w:fill="FFFFFF"/>
        </w:rPr>
        <w:t xml:space="preserve">Frontiers in Pediatrics. </w:t>
      </w:r>
      <w:r w:rsidRPr="00BE2C1D">
        <w:rPr>
          <w:rFonts w:cstheme="minorHAnsi"/>
          <w:b/>
          <w:bCs/>
          <w:shd w:val="clear" w:color="auto" w:fill="FFFFFF"/>
        </w:rPr>
        <w:t>7</w:t>
      </w:r>
      <w:r w:rsidRPr="00BE2C1D">
        <w:rPr>
          <w:rFonts w:cstheme="minorHAnsi"/>
          <w:shd w:val="clear" w:color="auto" w:fill="FFFFFF"/>
        </w:rPr>
        <w:t xml:space="preserve">, 1-11. </w:t>
      </w:r>
      <w:r w:rsidRPr="00BE2C1D">
        <w:rPr>
          <w:rFonts w:cstheme="minorHAnsi"/>
          <w:i/>
          <w:iCs/>
          <w:shd w:val="clear" w:color="auto" w:fill="FFFFFF"/>
        </w:rPr>
        <w:t xml:space="preserve"> </w:t>
      </w:r>
    </w:p>
    <w:p w14:paraId="2C3A936A" w14:textId="77777777" w:rsidR="00BE2C1D" w:rsidRPr="00BE2C1D" w:rsidRDefault="00BE2C1D" w:rsidP="00BE2C1D">
      <w:pPr>
        <w:spacing w:line="360" w:lineRule="auto"/>
        <w:rPr>
          <w:rFonts w:cstheme="minorHAnsi"/>
          <w:shd w:val="clear" w:color="auto" w:fill="FFFFFF"/>
        </w:rPr>
      </w:pPr>
      <w:r w:rsidRPr="00BE2C1D">
        <w:rPr>
          <w:rFonts w:cstheme="minorHAnsi"/>
          <w:shd w:val="clear" w:color="auto" w:fill="FFFFFF"/>
        </w:rPr>
        <w:t>Rabiee P, Sloper P, Beresford B. 2005. Doing research with children and young people who do not use speech for communication</w:t>
      </w:r>
      <w:r w:rsidRPr="00BE2C1D">
        <w:rPr>
          <w:rFonts w:cstheme="minorHAnsi"/>
          <w:i/>
          <w:iCs/>
          <w:shd w:val="clear" w:color="auto" w:fill="FFFFFF"/>
        </w:rPr>
        <w:t xml:space="preserve">. Children &amp; Society. </w:t>
      </w:r>
      <w:r w:rsidRPr="00BE2C1D">
        <w:rPr>
          <w:rFonts w:cstheme="minorHAnsi"/>
          <w:b/>
          <w:bCs/>
          <w:i/>
          <w:iCs/>
          <w:shd w:val="clear" w:color="auto" w:fill="FFFFFF"/>
        </w:rPr>
        <w:t>19</w:t>
      </w:r>
      <w:r w:rsidRPr="00BE2C1D">
        <w:rPr>
          <w:rFonts w:cstheme="minorHAnsi"/>
          <w:b/>
          <w:bCs/>
          <w:shd w:val="clear" w:color="auto" w:fill="FFFFFF"/>
        </w:rPr>
        <w:t>,</w:t>
      </w:r>
      <w:r w:rsidRPr="00BE2C1D">
        <w:rPr>
          <w:rFonts w:cstheme="minorHAnsi"/>
          <w:shd w:val="clear" w:color="auto" w:fill="FFFFFF"/>
        </w:rPr>
        <w:t xml:space="preserve"> 385–396</w:t>
      </w:r>
    </w:p>
    <w:p w14:paraId="5E3626F1" w14:textId="77777777" w:rsidR="00BE2C1D" w:rsidRPr="00BE2C1D" w:rsidRDefault="00BE2C1D" w:rsidP="00BE2C1D">
      <w:pPr>
        <w:spacing w:line="360" w:lineRule="auto"/>
        <w:rPr>
          <w:rFonts w:cstheme="minorHAnsi"/>
          <w:shd w:val="clear" w:color="auto" w:fill="FFFFFF"/>
        </w:rPr>
      </w:pPr>
      <w:r w:rsidRPr="00BE2C1D">
        <w:rPr>
          <w:rFonts w:cstheme="minorHAnsi"/>
          <w:shd w:val="clear" w:color="auto" w:fill="FFFFFF"/>
        </w:rPr>
        <w:t>Radford, J., Bosanquet, P., Webster, R. and Blatchford, P., 2015. Scaffolding learning for independence: Clarifying teacher and teaching assistant roles for children with special educational needs. </w:t>
      </w:r>
      <w:r w:rsidRPr="00BE2C1D">
        <w:rPr>
          <w:rFonts w:cstheme="minorHAnsi"/>
          <w:i/>
          <w:iCs/>
          <w:shd w:val="clear" w:color="auto" w:fill="FFFFFF"/>
        </w:rPr>
        <w:t>Learning and Instruction</w:t>
      </w:r>
      <w:r w:rsidRPr="00BE2C1D">
        <w:rPr>
          <w:rFonts w:cstheme="minorHAnsi"/>
          <w:shd w:val="clear" w:color="auto" w:fill="FFFFFF"/>
        </w:rPr>
        <w:t>. </w:t>
      </w:r>
      <w:r w:rsidRPr="00BE2C1D">
        <w:rPr>
          <w:rFonts w:cstheme="minorHAnsi"/>
          <w:b/>
          <w:bCs/>
          <w:shd w:val="clear" w:color="auto" w:fill="FFFFFF"/>
        </w:rPr>
        <w:t>36</w:t>
      </w:r>
      <w:r w:rsidRPr="00BE2C1D">
        <w:rPr>
          <w:rFonts w:cstheme="minorHAnsi"/>
          <w:shd w:val="clear" w:color="auto" w:fill="FFFFFF"/>
        </w:rPr>
        <w:t>, 1-10.</w:t>
      </w:r>
    </w:p>
    <w:p w14:paraId="5E80D8CB" w14:textId="77777777" w:rsidR="00BE2C1D" w:rsidRPr="00BE2C1D" w:rsidRDefault="00BE2C1D" w:rsidP="00BE2C1D">
      <w:pPr>
        <w:spacing w:line="360" w:lineRule="auto"/>
        <w:rPr>
          <w:rFonts w:cstheme="minorHAnsi"/>
          <w:shd w:val="clear" w:color="auto" w:fill="FFFFFF"/>
        </w:rPr>
      </w:pPr>
      <w:r w:rsidRPr="00BE2C1D">
        <w:rPr>
          <w:rFonts w:cstheme="minorHAnsi"/>
          <w:shd w:val="clear" w:color="auto" w:fill="FFFFFF"/>
        </w:rPr>
        <w:t>Rail, G., 2012. The birth of the obesity clinic: Confessions of the flesh, biopedagogies and physical culture. </w:t>
      </w:r>
      <w:r w:rsidRPr="00BE2C1D">
        <w:rPr>
          <w:rFonts w:cstheme="minorHAnsi"/>
          <w:i/>
          <w:iCs/>
          <w:shd w:val="clear" w:color="auto" w:fill="FFFFFF"/>
        </w:rPr>
        <w:t>Sociology of Sport Journal</w:t>
      </w:r>
      <w:r w:rsidRPr="00BE2C1D">
        <w:rPr>
          <w:rFonts w:cstheme="minorHAnsi"/>
          <w:shd w:val="clear" w:color="auto" w:fill="FFFFFF"/>
        </w:rPr>
        <w:t>. </w:t>
      </w:r>
      <w:r w:rsidRPr="00BE2C1D">
        <w:rPr>
          <w:rFonts w:cstheme="minorHAnsi"/>
          <w:b/>
          <w:bCs/>
          <w:shd w:val="clear" w:color="auto" w:fill="FFFFFF"/>
        </w:rPr>
        <w:t>29</w:t>
      </w:r>
      <w:r w:rsidRPr="00BE2C1D">
        <w:rPr>
          <w:rFonts w:cstheme="minorHAnsi"/>
          <w:shd w:val="clear" w:color="auto" w:fill="FFFFFF"/>
        </w:rPr>
        <w:t>(2), 227-253.</w:t>
      </w:r>
    </w:p>
    <w:p w14:paraId="1009DD82" w14:textId="77777777" w:rsidR="00BE2C1D" w:rsidRPr="00BE2C1D" w:rsidRDefault="00BE2C1D" w:rsidP="00BE2C1D">
      <w:pPr>
        <w:spacing w:line="360" w:lineRule="auto"/>
        <w:rPr>
          <w:rFonts w:cstheme="minorHAnsi"/>
          <w:shd w:val="clear" w:color="auto" w:fill="FFFFFF"/>
        </w:rPr>
      </w:pPr>
      <w:r w:rsidRPr="00BE2C1D">
        <w:rPr>
          <w:rFonts w:cstheme="minorHAnsi"/>
          <w:shd w:val="clear" w:color="auto" w:fill="FFFFFF"/>
        </w:rPr>
        <w:t>Rail, G. and Lafrance, M., 2009. Confessions of the flesh and biopedagogies: discursive constructions of obesity on Nip/Tuck. </w:t>
      </w:r>
      <w:r w:rsidRPr="00BE2C1D">
        <w:rPr>
          <w:rFonts w:cstheme="minorHAnsi"/>
          <w:i/>
          <w:iCs/>
          <w:shd w:val="clear" w:color="auto" w:fill="FFFFFF"/>
        </w:rPr>
        <w:t>Medical Humanities</w:t>
      </w:r>
      <w:r w:rsidRPr="00BE2C1D">
        <w:rPr>
          <w:rFonts w:cstheme="minorHAnsi"/>
          <w:shd w:val="clear" w:color="auto" w:fill="FFFFFF"/>
        </w:rPr>
        <w:t>. </w:t>
      </w:r>
      <w:r w:rsidRPr="00BE2C1D">
        <w:rPr>
          <w:rFonts w:cstheme="minorHAnsi"/>
          <w:b/>
          <w:bCs/>
          <w:shd w:val="clear" w:color="auto" w:fill="FFFFFF"/>
        </w:rPr>
        <w:t>35</w:t>
      </w:r>
      <w:r w:rsidRPr="00BE2C1D">
        <w:rPr>
          <w:rFonts w:cstheme="minorHAnsi"/>
          <w:shd w:val="clear" w:color="auto" w:fill="FFFFFF"/>
        </w:rPr>
        <w:t>(2), 76-79.</w:t>
      </w:r>
    </w:p>
    <w:p w14:paraId="65837E12" w14:textId="77777777" w:rsidR="00BE2C1D" w:rsidRPr="00BE2C1D" w:rsidRDefault="00BE2C1D" w:rsidP="00BE2C1D">
      <w:pPr>
        <w:spacing w:line="360" w:lineRule="auto"/>
        <w:rPr>
          <w:rFonts w:cstheme="minorHAnsi"/>
          <w:shd w:val="clear" w:color="auto" w:fill="FFFFFF"/>
        </w:rPr>
      </w:pPr>
      <w:r w:rsidRPr="00BE2C1D">
        <w:rPr>
          <w:rFonts w:cstheme="minorHAnsi"/>
          <w:shd w:val="clear" w:color="auto" w:fill="FFFFFF"/>
        </w:rPr>
        <w:lastRenderedPageBreak/>
        <w:t>Ramadan, M.Z., 2011. Does Saudi school furniture meet ergonomics requirements?. </w:t>
      </w:r>
      <w:r w:rsidRPr="00BE2C1D">
        <w:rPr>
          <w:rFonts w:cstheme="minorHAnsi"/>
          <w:i/>
          <w:iCs/>
          <w:shd w:val="clear" w:color="auto" w:fill="FFFFFF"/>
        </w:rPr>
        <w:t>Work</w:t>
      </w:r>
      <w:r w:rsidRPr="00BE2C1D">
        <w:rPr>
          <w:rFonts w:cstheme="minorHAnsi"/>
          <w:shd w:val="clear" w:color="auto" w:fill="FFFFFF"/>
        </w:rPr>
        <w:t>, </w:t>
      </w:r>
      <w:r w:rsidRPr="00BE2C1D">
        <w:rPr>
          <w:rFonts w:cstheme="minorHAnsi"/>
          <w:b/>
          <w:bCs/>
          <w:shd w:val="clear" w:color="auto" w:fill="FFFFFF"/>
        </w:rPr>
        <w:t>38</w:t>
      </w:r>
      <w:r w:rsidRPr="00BE2C1D">
        <w:rPr>
          <w:rFonts w:cstheme="minorHAnsi"/>
          <w:shd w:val="clear" w:color="auto" w:fill="FFFFFF"/>
        </w:rPr>
        <w:t>(2), 93-101.</w:t>
      </w:r>
    </w:p>
    <w:p w14:paraId="00885B13" w14:textId="77777777" w:rsidR="00BE2C1D" w:rsidRPr="00BE2C1D" w:rsidRDefault="00BE2C1D" w:rsidP="00BE2C1D">
      <w:pPr>
        <w:spacing w:line="360" w:lineRule="auto"/>
        <w:rPr>
          <w:rFonts w:cstheme="minorHAnsi"/>
          <w:shd w:val="clear" w:color="auto" w:fill="FFFFFF"/>
        </w:rPr>
      </w:pPr>
      <w:r w:rsidRPr="00BE2C1D">
        <w:rPr>
          <w:rFonts w:cstheme="minorHAnsi"/>
          <w:shd w:val="clear" w:color="auto" w:fill="FFFFFF"/>
        </w:rPr>
        <w:t>Raskauskas, J.L., Gregory, J., Harvey, S.T., Rifshana, F. and Evans, I.M., 2010. Bullying among primary school children in New Zealand: Relationships with prosocial behaviour and classroom climate. </w:t>
      </w:r>
      <w:r w:rsidRPr="00BE2C1D">
        <w:rPr>
          <w:rFonts w:cstheme="minorHAnsi"/>
          <w:i/>
          <w:iCs/>
          <w:shd w:val="clear" w:color="auto" w:fill="FFFFFF"/>
        </w:rPr>
        <w:t>Educational Research</w:t>
      </w:r>
      <w:r w:rsidRPr="00BE2C1D">
        <w:rPr>
          <w:rFonts w:cstheme="minorHAnsi"/>
          <w:shd w:val="clear" w:color="auto" w:fill="FFFFFF"/>
        </w:rPr>
        <w:t>. </w:t>
      </w:r>
      <w:r w:rsidRPr="00BE2C1D">
        <w:rPr>
          <w:rFonts w:cstheme="minorHAnsi"/>
          <w:b/>
          <w:bCs/>
          <w:shd w:val="clear" w:color="auto" w:fill="FFFFFF"/>
        </w:rPr>
        <w:t>52</w:t>
      </w:r>
      <w:r w:rsidRPr="00BE2C1D">
        <w:rPr>
          <w:rFonts w:cstheme="minorHAnsi"/>
          <w:shd w:val="clear" w:color="auto" w:fill="FFFFFF"/>
        </w:rPr>
        <w:t>(1), 1-13.</w:t>
      </w:r>
    </w:p>
    <w:p w14:paraId="0A1A95E9" w14:textId="77777777" w:rsidR="00BE2C1D" w:rsidRPr="00BE2C1D" w:rsidRDefault="00BE2C1D" w:rsidP="00BE2C1D">
      <w:pPr>
        <w:spacing w:line="360" w:lineRule="auto"/>
        <w:rPr>
          <w:rFonts w:cstheme="minorHAnsi"/>
          <w:shd w:val="clear" w:color="auto" w:fill="FFFFFF"/>
        </w:rPr>
      </w:pPr>
      <w:r w:rsidRPr="00BE2C1D">
        <w:rPr>
          <w:rFonts w:cstheme="minorHAnsi"/>
          <w:shd w:val="clear" w:color="auto" w:fill="FFFFFF"/>
        </w:rPr>
        <w:t xml:space="preserve">Rasmussen, M.L., 2009. Beyond gender identity?. </w:t>
      </w:r>
      <w:r w:rsidRPr="00BE2C1D">
        <w:rPr>
          <w:rFonts w:cstheme="minorHAnsi"/>
          <w:i/>
          <w:iCs/>
          <w:shd w:val="clear" w:color="auto" w:fill="FFFFFF"/>
        </w:rPr>
        <w:t>Gender and Education</w:t>
      </w:r>
      <w:r w:rsidRPr="00BE2C1D">
        <w:rPr>
          <w:rFonts w:cstheme="minorHAnsi"/>
          <w:shd w:val="clear" w:color="auto" w:fill="FFFFFF"/>
        </w:rPr>
        <w:t>. </w:t>
      </w:r>
      <w:r w:rsidRPr="00BE2C1D">
        <w:rPr>
          <w:rFonts w:cstheme="minorHAnsi"/>
          <w:b/>
          <w:bCs/>
          <w:shd w:val="clear" w:color="auto" w:fill="FFFFFF"/>
        </w:rPr>
        <w:t>21</w:t>
      </w:r>
      <w:r w:rsidRPr="00BE2C1D">
        <w:rPr>
          <w:rFonts w:cstheme="minorHAnsi"/>
          <w:shd w:val="clear" w:color="auto" w:fill="FFFFFF"/>
        </w:rPr>
        <w:t>(4), 431-447.</w:t>
      </w:r>
    </w:p>
    <w:p w14:paraId="38F5D35A" w14:textId="77777777" w:rsidR="00BE2C1D" w:rsidRPr="00BE2C1D" w:rsidRDefault="00BE2C1D" w:rsidP="00BE2C1D">
      <w:pPr>
        <w:spacing w:line="360" w:lineRule="auto"/>
        <w:jc w:val="both"/>
        <w:rPr>
          <w:rFonts w:cstheme="minorHAnsi"/>
        </w:rPr>
      </w:pPr>
      <w:r w:rsidRPr="00BE2C1D">
        <w:rPr>
          <w:rFonts w:cstheme="minorHAnsi"/>
        </w:rPr>
        <w:t xml:space="preserve">Razack, S., (1998). </w:t>
      </w:r>
      <w:r w:rsidRPr="00BE2C1D">
        <w:rPr>
          <w:rFonts w:cstheme="minorHAnsi"/>
          <w:i/>
          <w:iCs/>
        </w:rPr>
        <w:t>Looking white people in the eye: Gender, race, and culture in courtrooms and classrooms</w:t>
      </w:r>
      <w:r w:rsidRPr="00BE2C1D">
        <w:rPr>
          <w:rFonts w:cstheme="minorHAnsi"/>
        </w:rPr>
        <w:t>. Toronto, ON: University of Toronto Press.</w:t>
      </w:r>
    </w:p>
    <w:p w14:paraId="49BA0284" w14:textId="77777777" w:rsidR="00BE2C1D" w:rsidRPr="00BE2C1D" w:rsidRDefault="00BE2C1D" w:rsidP="00BE2C1D">
      <w:pPr>
        <w:spacing w:line="360" w:lineRule="auto"/>
        <w:rPr>
          <w:rFonts w:cstheme="minorHAnsi"/>
          <w:shd w:val="clear" w:color="auto" w:fill="FFFFFF"/>
        </w:rPr>
      </w:pPr>
      <w:r w:rsidRPr="00BE2C1D">
        <w:rPr>
          <w:rFonts w:cstheme="minorHAnsi"/>
          <w:shd w:val="clear" w:color="auto" w:fill="FFFFFF"/>
        </w:rPr>
        <w:t>Reeve, D., 2002. Negotiating psycho-emotional dimensions of disability and their influence on identity constructions. </w:t>
      </w:r>
      <w:r w:rsidRPr="00BE2C1D">
        <w:rPr>
          <w:rFonts w:cstheme="minorHAnsi"/>
          <w:i/>
          <w:iCs/>
          <w:shd w:val="clear" w:color="auto" w:fill="FFFFFF"/>
        </w:rPr>
        <w:t>Disability &amp; Society</w:t>
      </w:r>
      <w:r w:rsidRPr="00BE2C1D">
        <w:rPr>
          <w:rFonts w:cstheme="minorHAnsi"/>
          <w:shd w:val="clear" w:color="auto" w:fill="FFFFFF"/>
        </w:rPr>
        <w:t>. </w:t>
      </w:r>
      <w:r w:rsidRPr="00BE2C1D">
        <w:rPr>
          <w:rFonts w:cstheme="minorHAnsi"/>
          <w:b/>
          <w:bCs/>
          <w:shd w:val="clear" w:color="auto" w:fill="FFFFFF"/>
        </w:rPr>
        <w:t>17</w:t>
      </w:r>
      <w:r w:rsidRPr="00BE2C1D">
        <w:rPr>
          <w:rFonts w:cstheme="minorHAnsi"/>
          <w:shd w:val="clear" w:color="auto" w:fill="FFFFFF"/>
        </w:rPr>
        <w:t>(5), 493-508.</w:t>
      </w:r>
    </w:p>
    <w:p w14:paraId="7FFF69CD" w14:textId="77777777" w:rsidR="00BE2C1D" w:rsidRPr="00BE2C1D" w:rsidRDefault="00BE2C1D" w:rsidP="00BE2C1D">
      <w:pPr>
        <w:spacing w:line="360" w:lineRule="auto"/>
        <w:rPr>
          <w:rFonts w:cstheme="minorHAnsi"/>
          <w:shd w:val="clear" w:color="auto" w:fill="FFFFFF"/>
        </w:rPr>
      </w:pPr>
      <w:r w:rsidRPr="00BE2C1D">
        <w:rPr>
          <w:rFonts w:cstheme="minorHAnsi"/>
          <w:shd w:val="clear" w:color="auto" w:fill="FFFFFF"/>
        </w:rPr>
        <w:t>Reeve, D., 2004. Psycho-emotional dimensions of disability and the social model. </w:t>
      </w:r>
      <w:r w:rsidRPr="00BE2C1D">
        <w:rPr>
          <w:rFonts w:cstheme="minorHAnsi"/>
          <w:i/>
          <w:iCs/>
          <w:shd w:val="clear" w:color="auto" w:fill="FFFFFF"/>
        </w:rPr>
        <w:t>Implementing the social model of disability: Theory and research</w:t>
      </w:r>
      <w:r w:rsidRPr="00BE2C1D">
        <w:rPr>
          <w:rFonts w:cstheme="minorHAnsi"/>
          <w:shd w:val="clear" w:color="auto" w:fill="FFFFFF"/>
        </w:rPr>
        <w:t>. 83-100.</w:t>
      </w:r>
    </w:p>
    <w:p w14:paraId="048AD43D" w14:textId="77777777" w:rsidR="00BE2C1D" w:rsidRPr="00BE2C1D" w:rsidRDefault="00BE2C1D" w:rsidP="00BE2C1D">
      <w:pPr>
        <w:spacing w:line="360" w:lineRule="auto"/>
        <w:rPr>
          <w:rFonts w:cstheme="minorHAnsi"/>
          <w:shd w:val="clear" w:color="auto" w:fill="FFFFFF"/>
        </w:rPr>
      </w:pPr>
      <w:r w:rsidRPr="00BE2C1D">
        <w:rPr>
          <w:rFonts w:cstheme="minorHAnsi"/>
        </w:rPr>
        <w:t xml:space="preserve">Reeve, D., (2006). Towards a psychology of disability: The emotional effects of living in a disabling society. In: D. Goodley and R. Lawthom, eds. </w:t>
      </w:r>
      <w:r w:rsidRPr="00BE2C1D">
        <w:rPr>
          <w:rFonts w:cstheme="minorHAnsi"/>
          <w:i/>
          <w:iCs/>
        </w:rPr>
        <w:t>Disability and Psychology: Critical Introductions and Reflections</w:t>
      </w:r>
      <w:r w:rsidRPr="00BE2C1D">
        <w:rPr>
          <w:rFonts w:cstheme="minorHAnsi"/>
        </w:rPr>
        <w:t>. London: Palgrave. pp. 94-107.</w:t>
      </w:r>
    </w:p>
    <w:p w14:paraId="5CFCD7E3" w14:textId="77777777" w:rsidR="00BE2C1D" w:rsidRPr="00BE2C1D" w:rsidRDefault="00BE2C1D" w:rsidP="00BE2C1D">
      <w:pPr>
        <w:spacing w:line="360" w:lineRule="auto"/>
        <w:rPr>
          <w:rFonts w:cstheme="minorHAnsi"/>
          <w:shd w:val="clear" w:color="auto" w:fill="FFFFFF"/>
        </w:rPr>
      </w:pPr>
      <w:r w:rsidRPr="00BE2C1D">
        <w:rPr>
          <w:rFonts w:cstheme="minorHAnsi"/>
        </w:rPr>
        <w:t xml:space="preserve">Reeve, D., (2012). Psycho-emotional disablism: The missing link?. In: N. Watson, A. Roulstone and C. Thomas, eds. </w:t>
      </w:r>
      <w:r w:rsidRPr="00BE2C1D">
        <w:rPr>
          <w:rFonts w:cstheme="minorHAnsi"/>
          <w:i/>
          <w:iCs/>
        </w:rPr>
        <w:t>Routledge Handbook of Disability Studies</w:t>
      </w:r>
      <w:r w:rsidRPr="00BE2C1D">
        <w:rPr>
          <w:rFonts w:cstheme="minorHAnsi"/>
        </w:rPr>
        <w:t>. London: Routledge. pp. 78- 92.</w:t>
      </w:r>
    </w:p>
    <w:p w14:paraId="6AF3145A" w14:textId="77777777" w:rsidR="00BE2C1D" w:rsidRPr="00BE2C1D" w:rsidRDefault="0046350E" w:rsidP="00BE2C1D">
      <w:pPr>
        <w:spacing w:line="360" w:lineRule="auto"/>
        <w:jc w:val="both"/>
        <w:rPr>
          <w:rFonts w:cstheme="minorHAnsi"/>
          <w:shd w:val="clear" w:color="auto" w:fill="FFFFFF"/>
        </w:rPr>
      </w:pPr>
      <w:hyperlink r:id="rId25" w:history="1">
        <w:r w:rsidR="00BE2C1D" w:rsidRPr="00BE2C1D">
          <w:rPr>
            <w:rFonts w:cstheme="minorHAnsi"/>
          </w:rPr>
          <w:t>Reeve, D</w:t>
        </w:r>
      </w:hyperlink>
      <w:r w:rsidR="00BE2C1D" w:rsidRPr="00BE2C1D">
        <w:rPr>
          <w:rFonts w:cstheme="minorHAnsi"/>
        </w:rPr>
        <w:t>., (2014). </w:t>
      </w:r>
      <w:hyperlink r:id="rId26" w:history="1">
        <w:r w:rsidR="00BE2C1D" w:rsidRPr="00BE2C1D">
          <w:rPr>
            <w:rFonts w:cstheme="minorHAnsi"/>
          </w:rPr>
          <w:t>Psycho-emotional disablism and internalised oppression</w:t>
        </w:r>
      </w:hyperlink>
      <w:r w:rsidR="00BE2C1D" w:rsidRPr="00BE2C1D">
        <w:rPr>
          <w:rFonts w:cstheme="minorHAnsi"/>
        </w:rPr>
        <w:t>. I</w:t>
      </w:r>
      <w:r w:rsidR="00BE2C1D" w:rsidRPr="00BE2C1D">
        <w:rPr>
          <w:rFonts w:cstheme="minorHAnsi"/>
          <w:shd w:val="clear" w:color="auto" w:fill="FFFFFF"/>
        </w:rPr>
        <w:t>n: J Swain, S. French, C. Barnes &amp; C. Thomas, eds. </w:t>
      </w:r>
      <w:r w:rsidR="00BE2C1D" w:rsidRPr="00BE2C1D">
        <w:rPr>
          <w:rFonts w:cstheme="minorHAnsi"/>
          <w:i/>
          <w:iCs/>
          <w:bdr w:val="none" w:sz="0" w:space="0" w:color="auto" w:frame="1"/>
          <w:shd w:val="clear" w:color="auto" w:fill="FFFFFF"/>
        </w:rPr>
        <w:t>Disabling barriers - enabling environments.</w:t>
      </w:r>
      <w:r w:rsidR="00BE2C1D" w:rsidRPr="00BE2C1D">
        <w:rPr>
          <w:rFonts w:cstheme="minorHAnsi"/>
          <w:shd w:val="clear" w:color="auto" w:fill="FFFFFF"/>
        </w:rPr>
        <w:t> 3rd edition. London: Sage. pp. 92-98.</w:t>
      </w:r>
    </w:p>
    <w:p w14:paraId="0A60A853" w14:textId="77777777" w:rsidR="00BE2C1D" w:rsidRPr="00BE2C1D" w:rsidRDefault="00BE2C1D" w:rsidP="00BE2C1D">
      <w:pPr>
        <w:spacing w:line="360" w:lineRule="auto"/>
        <w:jc w:val="both"/>
        <w:rPr>
          <w:rFonts w:cstheme="minorHAnsi"/>
          <w:lang w:val="en-US"/>
        </w:rPr>
      </w:pPr>
      <w:r w:rsidRPr="00BE2C1D">
        <w:rPr>
          <w:rFonts w:cstheme="minorHAnsi"/>
          <w:lang w:val="en-US"/>
        </w:rPr>
        <w:t xml:space="preserve">Rice, C. (2009). Imagining the Other? Ethical Challenges of Researching and Writing Women’s Embodied Lives. </w:t>
      </w:r>
      <w:r w:rsidRPr="00BE2C1D">
        <w:rPr>
          <w:rFonts w:cstheme="minorHAnsi"/>
          <w:i/>
          <w:iCs/>
          <w:lang w:val="en-US"/>
        </w:rPr>
        <w:t>Feminism &amp; Psychology</w:t>
      </w:r>
      <w:r w:rsidRPr="00BE2C1D">
        <w:rPr>
          <w:rFonts w:cstheme="minorHAnsi"/>
          <w:lang w:val="en-US"/>
        </w:rPr>
        <w:t xml:space="preserve">. </w:t>
      </w:r>
      <w:r w:rsidRPr="00BE2C1D">
        <w:rPr>
          <w:rFonts w:cstheme="minorHAnsi"/>
          <w:b/>
          <w:bCs/>
          <w:lang w:val="en-US"/>
        </w:rPr>
        <w:t>19</w:t>
      </w:r>
      <w:r w:rsidRPr="00BE2C1D">
        <w:rPr>
          <w:rFonts w:cstheme="minorHAnsi"/>
          <w:lang w:val="en-US"/>
        </w:rPr>
        <w:t>(2), 245–66.</w:t>
      </w:r>
    </w:p>
    <w:p w14:paraId="392633B9" w14:textId="77777777" w:rsidR="00BE2C1D" w:rsidRPr="00BE2C1D" w:rsidRDefault="00BE2C1D" w:rsidP="00BE2C1D">
      <w:pPr>
        <w:spacing w:line="360" w:lineRule="auto"/>
        <w:jc w:val="both"/>
        <w:rPr>
          <w:rFonts w:cstheme="minorHAnsi"/>
          <w:shd w:val="clear" w:color="auto" w:fill="FFFFFF"/>
        </w:rPr>
      </w:pPr>
      <w:r w:rsidRPr="00BE2C1D">
        <w:rPr>
          <w:rFonts w:cstheme="minorHAnsi"/>
          <w:shd w:val="clear" w:color="auto" w:fill="FFFFFF"/>
        </w:rPr>
        <w:t>Rice, C., Chandler, E., Liddiard, K., Rinaldi, J. and Harrison, E., 2018. Pedagogical possibilities for unruly bodies. </w:t>
      </w:r>
      <w:r w:rsidRPr="00BE2C1D">
        <w:rPr>
          <w:rFonts w:cstheme="minorHAnsi"/>
          <w:i/>
          <w:iCs/>
          <w:shd w:val="clear" w:color="auto" w:fill="FFFFFF"/>
        </w:rPr>
        <w:t>Gender and Education</w:t>
      </w:r>
      <w:r w:rsidRPr="00BE2C1D">
        <w:rPr>
          <w:rFonts w:cstheme="minorHAnsi"/>
          <w:shd w:val="clear" w:color="auto" w:fill="FFFFFF"/>
        </w:rPr>
        <w:t>. </w:t>
      </w:r>
      <w:r w:rsidRPr="00BE2C1D">
        <w:rPr>
          <w:rFonts w:cstheme="minorHAnsi"/>
          <w:b/>
          <w:bCs/>
          <w:shd w:val="clear" w:color="auto" w:fill="FFFFFF"/>
        </w:rPr>
        <w:t>30</w:t>
      </w:r>
      <w:r w:rsidRPr="00BE2C1D">
        <w:rPr>
          <w:rFonts w:cstheme="minorHAnsi"/>
          <w:shd w:val="clear" w:color="auto" w:fill="FFFFFF"/>
        </w:rPr>
        <w:t>(5), 663-682.</w:t>
      </w:r>
    </w:p>
    <w:p w14:paraId="099B0332" w14:textId="77777777" w:rsidR="00BE2C1D" w:rsidRPr="00BE2C1D" w:rsidRDefault="00BE2C1D" w:rsidP="00BE2C1D">
      <w:pPr>
        <w:spacing w:line="360" w:lineRule="auto"/>
        <w:jc w:val="both"/>
        <w:rPr>
          <w:rFonts w:cstheme="minorHAnsi"/>
        </w:rPr>
      </w:pPr>
      <w:r w:rsidRPr="00BE2C1D">
        <w:rPr>
          <w:rFonts w:cstheme="minorHAnsi"/>
        </w:rPr>
        <w:t xml:space="preserve">Rice, C. &amp; Mundel, I. (2018) Story-Making as Methodology: Disrupting Dominant Stories through Multimedia Storytelling. Canadian review of Sociology. </w:t>
      </w:r>
      <w:r w:rsidRPr="00BE2C1D">
        <w:rPr>
          <w:rFonts w:cstheme="minorHAnsi"/>
          <w:b/>
          <w:bCs/>
        </w:rPr>
        <w:t>55</w:t>
      </w:r>
      <w:r w:rsidRPr="00BE2C1D">
        <w:rPr>
          <w:rFonts w:cstheme="minorHAnsi"/>
        </w:rPr>
        <w:t xml:space="preserve">(2), 211-231. </w:t>
      </w:r>
    </w:p>
    <w:p w14:paraId="1AD6577A" w14:textId="77777777" w:rsidR="00BE2C1D" w:rsidRPr="00BE2C1D" w:rsidRDefault="00BE2C1D" w:rsidP="00BE2C1D">
      <w:pPr>
        <w:spacing w:line="360" w:lineRule="auto"/>
        <w:jc w:val="both"/>
        <w:rPr>
          <w:rFonts w:cstheme="minorHAnsi"/>
          <w:lang w:val="en-US"/>
        </w:rPr>
      </w:pPr>
      <w:r w:rsidRPr="00BE2C1D">
        <w:rPr>
          <w:rFonts w:cstheme="minorHAnsi"/>
          <w:lang w:val="en-US"/>
        </w:rPr>
        <w:t xml:space="preserve">Rice, N., 2006. Promoting ‘epistemic fissures’: Disability studies in teacher education. </w:t>
      </w:r>
      <w:r w:rsidRPr="00BE2C1D">
        <w:rPr>
          <w:rFonts w:cstheme="minorHAnsi"/>
          <w:i/>
          <w:iCs/>
          <w:lang w:val="en-US"/>
        </w:rPr>
        <w:t>Teaching Education</w:t>
      </w:r>
      <w:r w:rsidRPr="00BE2C1D">
        <w:rPr>
          <w:rFonts w:cstheme="minorHAnsi"/>
          <w:lang w:val="en-US"/>
        </w:rPr>
        <w:t xml:space="preserve">. </w:t>
      </w:r>
      <w:r w:rsidRPr="00BE2C1D">
        <w:rPr>
          <w:rFonts w:cstheme="minorHAnsi"/>
          <w:b/>
          <w:bCs/>
          <w:lang w:val="en-US"/>
        </w:rPr>
        <w:t>17</w:t>
      </w:r>
      <w:r w:rsidRPr="00BE2C1D">
        <w:rPr>
          <w:rFonts w:cstheme="minorHAnsi"/>
          <w:lang w:val="en-US"/>
        </w:rPr>
        <w:t>(3), 251-264.</w:t>
      </w:r>
    </w:p>
    <w:p w14:paraId="2BE6B3A5" w14:textId="77777777" w:rsidR="00BE2C1D" w:rsidRPr="00BE2C1D" w:rsidRDefault="00BE2C1D" w:rsidP="00BE2C1D">
      <w:pPr>
        <w:spacing w:line="360" w:lineRule="auto"/>
        <w:jc w:val="both"/>
        <w:rPr>
          <w:rFonts w:cstheme="minorHAnsi"/>
          <w:bCs/>
        </w:rPr>
      </w:pPr>
      <w:r w:rsidRPr="00BE2C1D">
        <w:rPr>
          <w:rFonts w:cstheme="minorHAnsi"/>
          <w:shd w:val="clear" w:color="auto" w:fill="FFFFFF"/>
        </w:rPr>
        <w:lastRenderedPageBreak/>
        <w:t>Richards, C., 2012. Playing under surveillance: Gender, performance and the conduct of the self in a primary school playground. </w:t>
      </w:r>
      <w:r w:rsidRPr="00BE2C1D">
        <w:rPr>
          <w:rFonts w:cstheme="minorHAnsi"/>
          <w:i/>
          <w:iCs/>
          <w:shd w:val="clear" w:color="auto" w:fill="FFFFFF"/>
        </w:rPr>
        <w:t>British journal of sociology of education</w:t>
      </w:r>
      <w:r w:rsidRPr="00BE2C1D">
        <w:rPr>
          <w:rFonts w:cstheme="minorHAnsi"/>
          <w:shd w:val="clear" w:color="auto" w:fill="FFFFFF"/>
        </w:rPr>
        <w:t>. </w:t>
      </w:r>
      <w:r w:rsidRPr="00BE2C1D">
        <w:rPr>
          <w:rFonts w:cstheme="minorHAnsi"/>
          <w:b/>
          <w:bCs/>
          <w:shd w:val="clear" w:color="auto" w:fill="FFFFFF"/>
        </w:rPr>
        <w:t>33</w:t>
      </w:r>
      <w:r w:rsidRPr="00BE2C1D">
        <w:rPr>
          <w:rFonts w:cstheme="minorHAnsi"/>
          <w:shd w:val="clear" w:color="auto" w:fill="FFFFFF"/>
        </w:rPr>
        <w:t>(3), 373-390.</w:t>
      </w:r>
    </w:p>
    <w:p w14:paraId="4C868FFE" w14:textId="77777777" w:rsidR="00BE2C1D" w:rsidRPr="00BE2C1D" w:rsidRDefault="00BE2C1D" w:rsidP="00BE2C1D">
      <w:pPr>
        <w:spacing w:line="360" w:lineRule="auto"/>
        <w:jc w:val="both"/>
        <w:rPr>
          <w:rFonts w:cstheme="minorHAnsi"/>
        </w:rPr>
      </w:pPr>
      <w:r w:rsidRPr="00BE2C1D">
        <w:rPr>
          <w:rFonts w:cstheme="minorHAnsi"/>
          <w:bCs/>
        </w:rPr>
        <w:t xml:space="preserve">Richards, S. &amp; Clark, J., (2018). Research with disabled children: Tracing the past, present and future. In: A. Boggis ed. </w:t>
      </w:r>
      <w:r w:rsidRPr="00BE2C1D">
        <w:rPr>
          <w:rFonts w:cstheme="minorHAnsi"/>
          <w:bCs/>
          <w:i/>
          <w:iCs/>
        </w:rPr>
        <w:t>Dis/abled Childhoods: A Transdisciplinary Approach</w:t>
      </w:r>
      <w:r w:rsidRPr="00BE2C1D">
        <w:rPr>
          <w:rFonts w:cstheme="minorHAnsi"/>
          <w:bCs/>
        </w:rPr>
        <w:t xml:space="preserve">. Switzerland: Palgrave Macmillan. pp.187-209.  </w:t>
      </w:r>
    </w:p>
    <w:p w14:paraId="614ECEF3" w14:textId="77777777" w:rsidR="00BE2C1D" w:rsidRPr="00BE2C1D" w:rsidRDefault="00BE2C1D" w:rsidP="00BE2C1D">
      <w:pPr>
        <w:spacing w:line="360" w:lineRule="auto"/>
        <w:rPr>
          <w:rFonts w:cstheme="minorHAnsi"/>
          <w:shd w:val="clear" w:color="auto" w:fill="FFFFFF"/>
        </w:rPr>
      </w:pPr>
      <w:r w:rsidRPr="00BE2C1D">
        <w:rPr>
          <w:rFonts w:cstheme="minorHAnsi"/>
          <w:shd w:val="clear" w:color="auto" w:fill="FFFFFF"/>
        </w:rPr>
        <w:t xml:space="preserve">Richards, S., Clark, J., and Boggis, A., (2015). </w:t>
      </w:r>
      <w:r w:rsidRPr="00BE2C1D">
        <w:rPr>
          <w:rFonts w:cstheme="minorHAnsi"/>
          <w:i/>
          <w:iCs/>
          <w:shd w:val="clear" w:color="auto" w:fill="FFFFFF"/>
        </w:rPr>
        <w:t>Ethical research with children: untold narratives and taboos</w:t>
      </w:r>
      <w:r w:rsidRPr="00BE2C1D">
        <w:rPr>
          <w:rFonts w:cstheme="minorHAnsi"/>
          <w:shd w:val="clear" w:color="auto" w:fill="FFFFFF"/>
        </w:rPr>
        <w:t xml:space="preserve">. Basingstoke: Palgrave Macmillan. </w:t>
      </w:r>
    </w:p>
    <w:p w14:paraId="27662BA7" w14:textId="77777777" w:rsidR="00BE2C1D" w:rsidRPr="00BE2C1D" w:rsidRDefault="00BE2C1D" w:rsidP="00BE2C1D">
      <w:pPr>
        <w:spacing w:line="360" w:lineRule="auto"/>
        <w:jc w:val="both"/>
        <w:rPr>
          <w:rFonts w:cstheme="minorHAnsi"/>
          <w:shd w:val="clear" w:color="auto" w:fill="FFFFFF"/>
        </w:rPr>
      </w:pPr>
      <w:r w:rsidRPr="00BE2C1D">
        <w:rPr>
          <w:rFonts w:cstheme="minorHAnsi"/>
          <w:shd w:val="clear" w:color="auto" w:fill="FFFFFF"/>
        </w:rPr>
        <w:t>Riessman, C. K., 2003. Performing identities in illness narrative: Masculinity and multiple sclerosis. </w:t>
      </w:r>
      <w:r w:rsidRPr="00BE2C1D">
        <w:rPr>
          <w:rFonts w:cstheme="minorHAnsi"/>
          <w:i/>
          <w:iCs/>
          <w:shd w:val="clear" w:color="auto" w:fill="FFFFFF"/>
        </w:rPr>
        <w:t>Qualitative research</w:t>
      </w:r>
      <w:r w:rsidRPr="00BE2C1D">
        <w:rPr>
          <w:rFonts w:cstheme="minorHAnsi"/>
          <w:shd w:val="clear" w:color="auto" w:fill="FFFFFF"/>
        </w:rPr>
        <w:t>. </w:t>
      </w:r>
      <w:r w:rsidRPr="00BE2C1D">
        <w:rPr>
          <w:rFonts w:cstheme="minorHAnsi"/>
          <w:b/>
          <w:bCs/>
          <w:shd w:val="clear" w:color="auto" w:fill="FFFFFF"/>
        </w:rPr>
        <w:t>3</w:t>
      </w:r>
      <w:r w:rsidRPr="00BE2C1D">
        <w:rPr>
          <w:rFonts w:cstheme="minorHAnsi"/>
          <w:shd w:val="clear" w:color="auto" w:fill="FFFFFF"/>
        </w:rPr>
        <w:t>(1), 5-33.</w:t>
      </w:r>
    </w:p>
    <w:p w14:paraId="15A56450" w14:textId="77777777" w:rsidR="00BE2C1D" w:rsidRPr="00BE2C1D" w:rsidRDefault="00BE2C1D" w:rsidP="00BE2C1D">
      <w:pPr>
        <w:spacing w:line="360" w:lineRule="auto"/>
        <w:rPr>
          <w:rFonts w:cstheme="minorHAnsi"/>
        </w:rPr>
      </w:pPr>
      <w:r w:rsidRPr="00BE2C1D">
        <w:rPr>
          <w:rFonts w:cstheme="minorHAnsi"/>
        </w:rPr>
        <w:t>Riessman, C. K., (2005). Narrative analysis. In: N. Kelly, C. Horrocks, K. Milnes, B. Roberts, and D. Robinson, eds. </w:t>
      </w:r>
      <w:r w:rsidRPr="00BE2C1D">
        <w:rPr>
          <w:rFonts w:cstheme="minorHAnsi"/>
          <w:i/>
          <w:iCs/>
        </w:rPr>
        <w:t>Narrative, memory and everyday life.</w:t>
      </w:r>
      <w:r w:rsidRPr="00BE2C1D">
        <w:rPr>
          <w:rFonts w:cstheme="minorHAnsi"/>
        </w:rPr>
        <w:t> Huddersfield: University of Huddersfield Press. pp. 1–7. </w:t>
      </w:r>
    </w:p>
    <w:p w14:paraId="0505FED9" w14:textId="77777777" w:rsidR="00BE2C1D" w:rsidRPr="00BE2C1D" w:rsidRDefault="00BE2C1D" w:rsidP="00BE2C1D">
      <w:pPr>
        <w:spacing w:line="360" w:lineRule="auto"/>
        <w:jc w:val="both"/>
        <w:rPr>
          <w:rFonts w:cstheme="minorHAnsi"/>
          <w:lang w:eastAsia="en-GB"/>
        </w:rPr>
      </w:pPr>
      <w:r w:rsidRPr="00BE2C1D">
        <w:rPr>
          <w:rFonts w:cstheme="minorHAnsi"/>
          <w:shd w:val="clear" w:color="auto" w:fill="FFFFFF"/>
        </w:rPr>
        <w:t>Riessman, C.K., (2015). Entering the Hall of Mirrors. Reflexivity and Narrative Research. In: A. De Fina, A. Georgakopoulou, eds. </w:t>
      </w:r>
      <w:r w:rsidRPr="00BE2C1D">
        <w:rPr>
          <w:rFonts w:cstheme="minorHAnsi"/>
          <w:i/>
          <w:iCs/>
          <w:shd w:val="clear" w:color="auto" w:fill="FFFFFF"/>
        </w:rPr>
        <w:t>The handbook of narrative analysis</w:t>
      </w:r>
      <w:r w:rsidRPr="00BE2C1D">
        <w:rPr>
          <w:rFonts w:cstheme="minorHAnsi"/>
          <w:shd w:val="clear" w:color="auto" w:fill="FFFFFF"/>
        </w:rPr>
        <w:t>. Chichester: John Wiley &amp; Sons. pp. 219-238.</w:t>
      </w:r>
    </w:p>
    <w:p w14:paraId="520E7DA2" w14:textId="77777777" w:rsidR="00BE2C1D" w:rsidRPr="00BE2C1D" w:rsidRDefault="00BE2C1D" w:rsidP="00BE2C1D">
      <w:pPr>
        <w:spacing w:line="360" w:lineRule="auto"/>
        <w:rPr>
          <w:rFonts w:cstheme="minorHAnsi"/>
          <w:shd w:val="clear" w:color="auto" w:fill="FFFFFF"/>
        </w:rPr>
      </w:pPr>
      <w:r w:rsidRPr="00BE2C1D">
        <w:rPr>
          <w:rFonts w:cstheme="minorHAnsi"/>
          <w:shd w:val="clear" w:color="auto" w:fill="FFFFFF"/>
        </w:rPr>
        <w:t>Rigby, K., (2002). </w:t>
      </w:r>
      <w:r w:rsidRPr="00BE2C1D">
        <w:rPr>
          <w:rFonts w:cstheme="minorHAnsi"/>
          <w:i/>
          <w:iCs/>
          <w:shd w:val="clear" w:color="auto" w:fill="FFFFFF"/>
        </w:rPr>
        <w:t>New perspectives on bullying</w:t>
      </w:r>
      <w:r w:rsidRPr="00BE2C1D">
        <w:rPr>
          <w:rFonts w:cstheme="minorHAnsi"/>
          <w:shd w:val="clear" w:color="auto" w:fill="FFFFFF"/>
        </w:rPr>
        <w:t>. London: Jessica Kingsley Publishers.</w:t>
      </w:r>
    </w:p>
    <w:p w14:paraId="10F68F8A" w14:textId="77777777" w:rsidR="00BE2C1D" w:rsidRPr="00BE2C1D" w:rsidRDefault="00BE2C1D" w:rsidP="00BE2C1D">
      <w:pPr>
        <w:spacing w:line="360" w:lineRule="auto"/>
        <w:rPr>
          <w:rFonts w:cstheme="minorHAnsi"/>
        </w:rPr>
      </w:pPr>
      <w:r w:rsidRPr="00BE2C1D">
        <w:rPr>
          <w:rFonts w:cstheme="minorHAnsi"/>
          <w:shd w:val="clear" w:color="auto" w:fill="FFFFFF"/>
        </w:rPr>
        <w:t>Rigby, K., (2008). </w:t>
      </w:r>
      <w:r w:rsidRPr="00BE2C1D">
        <w:rPr>
          <w:rFonts w:cstheme="minorHAnsi"/>
          <w:i/>
          <w:iCs/>
          <w:shd w:val="clear" w:color="auto" w:fill="FFFFFF"/>
        </w:rPr>
        <w:t>Children and bullying: How parents and educators can reduce bullying at school</w:t>
      </w:r>
      <w:r w:rsidRPr="00BE2C1D">
        <w:rPr>
          <w:rFonts w:cstheme="minorHAnsi"/>
          <w:shd w:val="clear" w:color="auto" w:fill="FFFFFF"/>
        </w:rPr>
        <w:t>. Oxford: Blackwell.</w:t>
      </w:r>
    </w:p>
    <w:p w14:paraId="5DED52E2" w14:textId="77777777" w:rsidR="00BE2C1D" w:rsidRPr="00BE2C1D" w:rsidRDefault="00BE2C1D" w:rsidP="00BE2C1D">
      <w:pPr>
        <w:spacing w:line="360" w:lineRule="auto"/>
        <w:rPr>
          <w:rFonts w:cstheme="minorHAnsi"/>
          <w:shd w:val="clear" w:color="auto" w:fill="FFFFFF"/>
        </w:rPr>
      </w:pPr>
      <w:r w:rsidRPr="00BE2C1D">
        <w:rPr>
          <w:rFonts w:cstheme="minorHAnsi"/>
        </w:rPr>
        <w:t xml:space="preserve">Riggs, C. G., &amp; Mueller, P. H. (2001). Employment and utilization of paraeducators in inclusive settings. The Journal of Special Education. </w:t>
      </w:r>
      <w:r w:rsidRPr="00BE2C1D">
        <w:rPr>
          <w:rFonts w:cstheme="minorHAnsi"/>
          <w:b/>
          <w:bCs/>
        </w:rPr>
        <w:t>35</w:t>
      </w:r>
      <w:r w:rsidRPr="00BE2C1D">
        <w:rPr>
          <w:rFonts w:cstheme="minorHAnsi"/>
        </w:rPr>
        <w:t>, 54–62.</w:t>
      </w:r>
    </w:p>
    <w:p w14:paraId="74919951" w14:textId="77777777" w:rsidR="00BE2C1D" w:rsidRPr="00BE2C1D" w:rsidRDefault="00BE2C1D" w:rsidP="00BE2C1D">
      <w:pPr>
        <w:spacing w:line="360" w:lineRule="auto"/>
        <w:rPr>
          <w:rFonts w:cstheme="minorHAnsi"/>
          <w:shd w:val="clear" w:color="auto" w:fill="FFFFFF"/>
        </w:rPr>
      </w:pPr>
      <w:r w:rsidRPr="00BE2C1D">
        <w:rPr>
          <w:rFonts w:cstheme="minorHAnsi"/>
          <w:shd w:val="clear" w:color="auto" w:fill="FFFFFF"/>
        </w:rPr>
        <w:t>Ringrose, J., 2008. ‘Just be friends’: exposing the limits of educational bully discourses for understanding teen girls’ heterosexualized friendships and conflicts. </w:t>
      </w:r>
      <w:r w:rsidRPr="00BE2C1D">
        <w:rPr>
          <w:rFonts w:cstheme="minorHAnsi"/>
          <w:i/>
          <w:iCs/>
          <w:shd w:val="clear" w:color="auto" w:fill="FFFFFF"/>
        </w:rPr>
        <w:t>British journal of sociology of education</w:t>
      </w:r>
      <w:r w:rsidRPr="00BE2C1D">
        <w:rPr>
          <w:rFonts w:cstheme="minorHAnsi"/>
          <w:shd w:val="clear" w:color="auto" w:fill="FFFFFF"/>
        </w:rPr>
        <w:t>. </w:t>
      </w:r>
      <w:r w:rsidRPr="00BE2C1D">
        <w:rPr>
          <w:rFonts w:cstheme="minorHAnsi"/>
          <w:b/>
          <w:bCs/>
          <w:shd w:val="clear" w:color="auto" w:fill="FFFFFF"/>
        </w:rPr>
        <w:t>29</w:t>
      </w:r>
      <w:r w:rsidRPr="00BE2C1D">
        <w:rPr>
          <w:rFonts w:cstheme="minorHAnsi"/>
          <w:shd w:val="clear" w:color="auto" w:fill="FFFFFF"/>
        </w:rPr>
        <w:t>(5), 509-522.</w:t>
      </w:r>
    </w:p>
    <w:p w14:paraId="10B3A3E0" w14:textId="77777777" w:rsidR="00BE2C1D" w:rsidRPr="00BE2C1D" w:rsidRDefault="00BE2C1D" w:rsidP="00BE2C1D">
      <w:pPr>
        <w:spacing w:line="360" w:lineRule="auto"/>
        <w:rPr>
          <w:rFonts w:cstheme="minorHAnsi"/>
          <w:shd w:val="clear" w:color="auto" w:fill="FFFFFF"/>
        </w:rPr>
      </w:pPr>
      <w:r w:rsidRPr="00BE2C1D">
        <w:rPr>
          <w:rFonts w:cstheme="minorHAnsi"/>
          <w:shd w:val="clear" w:color="auto" w:fill="FFFFFF"/>
        </w:rPr>
        <w:t>Ringrose, J. and Renold, E., 2010. Normative cruelties and gender deviants: The performative effects of bully discourses for girls and boys in school. </w:t>
      </w:r>
      <w:r w:rsidRPr="00BE2C1D">
        <w:rPr>
          <w:rFonts w:cstheme="minorHAnsi"/>
          <w:i/>
          <w:iCs/>
          <w:shd w:val="clear" w:color="auto" w:fill="FFFFFF"/>
        </w:rPr>
        <w:t>British Educational Research Journal</w:t>
      </w:r>
      <w:r w:rsidRPr="00BE2C1D">
        <w:rPr>
          <w:rFonts w:cstheme="minorHAnsi"/>
          <w:shd w:val="clear" w:color="auto" w:fill="FFFFFF"/>
        </w:rPr>
        <w:t>. </w:t>
      </w:r>
      <w:r w:rsidRPr="00BE2C1D">
        <w:rPr>
          <w:rFonts w:cstheme="minorHAnsi"/>
          <w:b/>
          <w:bCs/>
          <w:shd w:val="clear" w:color="auto" w:fill="FFFFFF"/>
        </w:rPr>
        <w:t>36</w:t>
      </w:r>
      <w:r w:rsidRPr="00BE2C1D">
        <w:rPr>
          <w:rFonts w:cstheme="minorHAnsi"/>
          <w:shd w:val="clear" w:color="auto" w:fill="FFFFFF"/>
        </w:rPr>
        <w:t>(4), 573-596.</w:t>
      </w:r>
    </w:p>
    <w:p w14:paraId="56A28E22" w14:textId="77777777" w:rsidR="00BE2C1D" w:rsidRPr="00BE2C1D" w:rsidRDefault="00BE2C1D" w:rsidP="00BE2C1D">
      <w:pPr>
        <w:spacing w:line="360" w:lineRule="auto"/>
        <w:rPr>
          <w:rFonts w:cstheme="minorHAnsi"/>
          <w:shd w:val="clear" w:color="auto" w:fill="FFFFFF"/>
        </w:rPr>
      </w:pPr>
      <w:r w:rsidRPr="00BE2C1D">
        <w:rPr>
          <w:rFonts w:cstheme="minorHAnsi"/>
          <w:shd w:val="clear" w:color="auto" w:fill="FFFFFF"/>
        </w:rPr>
        <w:t>Rockliffe, L., Chorley, A.J., Marlow, L.A. and Forster, A.S., 2018. It’s hard to reach the “hard-to-reach”: the challenges of recruiting people who do not access preventative healthcare services into interview studies. </w:t>
      </w:r>
      <w:r w:rsidRPr="00BE2C1D">
        <w:rPr>
          <w:rFonts w:cstheme="minorHAnsi"/>
          <w:i/>
          <w:iCs/>
          <w:shd w:val="clear" w:color="auto" w:fill="FFFFFF"/>
        </w:rPr>
        <w:t>International journal of qualitative studies on health and well-being</w:t>
      </w:r>
      <w:r w:rsidRPr="00BE2C1D">
        <w:rPr>
          <w:rFonts w:cstheme="minorHAnsi"/>
          <w:shd w:val="clear" w:color="auto" w:fill="FFFFFF"/>
        </w:rPr>
        <w:t>. </w:t>
      </w:r>
      <w:r w:rsidRPr="00BE2C1D">
        <w:rPr>
          <w:rFonts w:cstheme="minorHAnsi"/>
          <w:b/>
          <w:bCs/>
          <w:shd w:val="clear" w:color="auto" w:fill="FFFFFF"/>
        </w:rPr>
        <w:t>13</w:t>
      </w:r>
      <w:r w:rsidRPr="00BE2C1D">
        <w:rPr>
          <w:rFonts w:cstheme="minorHAnsi"/>
          <w:shd w:val="clear" w:color="auto" w:fill="FFFFFF"/>
        </w:rPr>
        <w:t>(1), 1-12.</w:t>
      </w:r>
    </w:p>
    <w:p w14:paraId="35338C50" w14:textId="77777777" w:rsidR="00BE2C1D" w:rsidRPr="00BE2C1D" w:rsidRDefault="00BE2C1D" w:rsidP="00BE2C1D">
      <w:pPr>
        <w:spacing w:line="360" w:lineRule="auto"/>
        <w:rPr>
          <w:rFonts w:cstheme="minorHAnsi"/>
          <w:shd w:val="clear" w:color="auto" w:fill="FFFFFF"/>
        </w:rPr>
      </w:pPr>
      <w:r w:rsidRPr="00BE2C1D">
        <w:rPr>
          <w:rFonts w:cstheme="minorHAnsi"/>
          <w:shd w:val="clear" w:color="auto" w:fill="FFFFFF"/>
        </w:rPr>
        <w:t>Rodkin, P.C. and Hodges, E.V., 2003. Bullies and victims in the peer ecology: Four questions for psychologists and school professionals. </w:t>
      </w:r>
      <w:r w:rsidRPr="00BE2C1D">
        <w:rPr>
          <w:rFonts w:cstheme="minorHAnsi"/>
          <w:i/>
          <w:iCs/>
          <w:shd w:val="clear" w:color="auto" w:fill="FFFFFF"/>
        </w:rPr>
        <w:t>School Psychology Review</w:t>
      </w:r>
      <w:r w:rsidRPr="00BE2C1D">
        <w:rPr>
          <w:rFonts w:cstheme="minorHAnsi"/>
          <w:shd w:val="clear" w:color="auto" w:fill="FFFFFF"/>
        </w:rPr>
        <w:t>. </w:t>
      </w:r>
      <w:r w:rsidRPr="00BE2C1D">
        <w:rPr>
          <w:rFonts w:cstheme="minorHAnsi"/>
          <w:b/>
          <w:bCs/>
          <w:shd w:val="clear" w:color="auto" w:fill="FFFFFF"/>
        </w:rPr>
        <w:t>32</w:t>
      </w:r>
      <w:r w:rsidRPr="00BE2C1D">
        <w:rPr>
          <w:rFonts w:cstheme="minorHAnsi"/>
          <w:shd w:val="clear" w:color="auto" w:fill="FFFFFF"/>
        </w:rPr>
        <w:t>(3), 384-400.</w:t>
      </w:r>
    </w:p>
    <w:p w14:paraId="159AAA5D" w14:textId="77777777" w:rsidR="00BE2C1D" w:rsidRPr="00BE2C1D" w:rsidRDefault="00BE2C1D" w:rsidP="00BE2C1D">
      <w:pPr>
        <w:spacing w:line="360" w:lineRule="auto"/>
        <w:rPr>
          <w:rFonts w:cstheme="minorHAnsi"/>
        </w:rPr>
      </w:pPr>
      <w:r w:rsidRPr="00BE2C1D">
        <w:rPr>
          <w:rFonts w:cstheme="minorHAnsi"/>
        </w:rPr>
        <w:lastRenderedPageBreak/>
        <w:t>Roets, G. 2009. “Unravelling Mr President‘s Nomad Lands: Travelling to Interdisciplinary Frontiers of Knowledge in Disability Studies.” </w:t>
      </w:r>
      <w:r w:rsidRPr="00BE2C1D">
        <w:rPr>
          <w:rFonts w:cstheme="minorHAnsi"/>
          <w:i/>
          <w:iCs/>
        </w:rPr>
        <w:t>Disability &amp; Society.</w:t>
      </w:r>
      <w:r w:rsidRPr="00BE2C1D">
        <w:rPr>
          <w:rFonts w:cstheme="minorHAnsi"/>
        </w:rPr>
        <w:t> </w:t>
      </w:r>
      <w:r w:rsidRPr="00BE2C1D">
        <w:rPr>
          <w:rFonts w:cstheme="minorHAnsi"/>
          <w:b/>
          <w:bCs/>
        </w:rPr>
        <w:t>24</w:t>
      </w:r>
      <w:r w:rsidRPr="00BE2C1D">
        <w:rPr>
          <w:rFonts w:cstheme="minorHAnsi"/>
        </w:rPr>
        <w:t>(6), 689–701. </w:t>
      </w:r>
    </w:p>
    <w:p w14:paraId="69866855" w14:textId="77777777" w:rsidR="00BE2C1D" w:rsidRPr="00BE2C1D" w:rsidRDefault="00BE2C1D" w:rsidP="00BE2C1D">
      <w:pPr>
        <w:spacing w:line="360" w:lineRule="auto"/>
        <w:rPr>
          <w:rFonts w:cstheme="minorHAnsi"/>
          <w:shd w:val="clear" w:color="auto" w:fill="FFFFFF"/>
        </w:rPr>
      </w:pPr>
      <w:r w:rsidRPr="00BE2C1D">
        <w:rPr>
          <w:rFonts w:cstheme="minorHAnsi"/>
          <w:shd w:val="clear" w:color="auto" w:fill="FFFFFF"/>
        </w:rPr>
        <w:t>Rose, C. A. and Espelage, D. L., 2012. Risk and protective factors associated with the bullying involvement of students with emotional and behavioral disorders. </w:t>
      </w:r>
      <w:r w:rsidRPr="00BE2C1D">
        <w:rPr>
          <w:rFonts w:cstheme="minorHAnsi"/>
          <w:i/>
          <w:iCs/>
          <w:shd w:val="clear" w:color="auto" w:fill="FFFFFF"/>
        </w:rPr>
        <w:t>Behavioral Disorders</w:t>
      </w:r>
      <w:r w:rsidRPr="00BE2C1D">
        <w:rPr>
          <w:rFonts w:cstheme="minorHAnsi"/>
          <w:shd w:val="clear" w:color="auto" w:fill="FFFFFF"/>
        </w:rPr>
        <w:t>. </w:t>
      </w:r>
      <w:r w:rsidRPr="00BE2C1D">
        <w:rPr>
          <w:rFonts w:cstheme="minorHAnsi"/>
          <w:b/>
          <w:bCs/>
          <w:shd w:val="clear" w:color="auto" w:fill="FFFFFF"/>
        </w:rPr>
        <w:t>37</w:t>
      </w:r>
      <w:r w:rsidRPr="00BE2C1D">
        <w:rPr>
          <w:rFonts w:cstheme="minorHAnsi"/>
          <w:shd w:val="clear" w:color="auto" w:fill="FFFFFF"/>
        </w:rPr>
        <w:t>(3), 133-148.</w:t>
      </w:r>
    </w:p>
    <w:p w14:paraId="645D67B5" w14:textId="77777777" w:rsidR="00BE2C1D" w:rsidRPr="00BE2C1D" w:rsidRDefault="00BE2C1D" w:rsidP="00BE2C1D">
      <w:pPr>
        <w:spacing w:line="360" w:lineRule="auto"/>
        <w:rPr>
          <w:rFonts w:cstheme="minorHAnsi"/>
          <w:shd w:val="clear" w:color="auto" w:fill="FFFFFF"/>
        </w:rPr>
      </w:pPr>
      <w:r w:rsidRPr="00BE2C1D">
        <w:rPr>
          <w:rFonts w:cstheme="minorHAnsi"/>
          <w:shd w:val="clear" w:color="auto" w:fill="FFFFFF"/>
        </w:rPr>
        <w:t>Rose, C. A., Espelage, D. L., Aragon, S. R. and Elliott, J., 2011. Bullying and victimization among students in special education and general education curricula. </w:t>
      </w:r>
      <w:r w:rsidRPr="00BE2C1D">
        <w:rPr>
          <w:rFonts w:cstheme="minorHAnsi"/>
          <w:i/>
          <w:iCs/>
          <w:shd w:val="clear" w:color="auto" w:fill="FFFFFF"/>
        </w:rPr>
        <w:t>Exceptionality Education International</w:t>
      </w:r>
      <w:r w:rsidRPr="00BE2C1D">
        <w:rPr>
          <w:rFonts w:cstheme="minorHAnsi"/>
          <w:shd w:val="clear" w:color="auto" w:fill="FFFFFF"/>
        </w:rPr>
        <w:t>. </w:t>
      </w:r>
      <w:r w:rsidRPr="00BE2C1D">
        <w:rPr>
          <w:rFonts w:cstheme="minorHAnsi"/>
          <w:b/>
          <w:bCs/>
          <w:shd w:val="clear" w:color="auto" w:fill="FFFFFF"/>
        </w:rPr>
        <w:t>21</w:t>
      </w:r>
      <w:r w:rsidRPr="00BE2C1D">
        <w:rPr>
          <w:rFonts w:cstheme="minorHAnsi"/>
          <w:shd w:val="clear" w:color="auto" w:fill="FFFFFF"/>
        </w:rPr>
        <w:t>(3), 2-14.</w:t>
      </w:r>
    </w:p>
    <w:p w14:paraId="6E607AFE" w14:textId="77777777" w:rsidR="00BE2C1D" w:rsidRPr="00BE2C1D" w:rsidRDefault="00BE2C1D" w:rsidP="00BE2C1D">
      <w:pPr>
        <w:spacing w:line="360" w:lineRule="auto"/>
        <w:rPr>
          <w:rFonts w:cstheme="minorHAnsi"/>
          <w:shd w:val="clear" w:color="auto" w:fill="FFFFFF"/>
        </w:rPr>
      </w:pPr>
      <w:r w:rsidRPr="00BE2C1D">
        <w:rPr>
          <w:rFonts w:cstheme="minorHAnsi"/>
          <w:shd w:val="clear" w:color="auto" w:fill="FFFFFF"/>
        </w:rPr>
        <w:t>Rose, C. A., Forber-Pratt, A. J., Espelage, D. L. and Aragon, S. R., 2013. The influence of psychosocial factors on bullying involvement of students with disabilities. </w:t>
      </w:r>
      <w:r w:rsidRPr="00BE2C1D">
        <w:rPr>
          <w:rFonts w:cstheme="minorHAnsi"/>
          <w:i/>
          <w:iCs/>
          <w:shd w:val="clear" w:color="auto" w:fill="FFFFFF"/>
        </w:rPr>
        <w:t>Theory Into Practice</w:t>
      </w:r>
      <w:r w:rsidRPr="00BE2C1D">
        <w:rPr>
          <w:rFonts w:cstheme="minorHAnsi"/>
          <w:shd w:val="clear" w:color="auto" w:fill="FFFFFF"/>
        </w:rPr>
        <w:t>, </w:t>
      </w:r>
      <w:r w:rsidRPr="00BE2C1D">
        <w:rPr>
          <w:rFonts w:cstheme="minorHAnsi"/>
          <w:i/>
          <w:iCs/>
          <w:shd w:val="clear" w:color="auto" w:fill="FFFFFF"/>
        </w:rPr>
        <w:t>52</w:t>
      </w:r>
      <w:r w:rsidRPr="00BE2C1D">
        <w:rPr>
          <w:rFonts w:cstheme="minorHAnsi"/>
          <w:shd w:val="clear" w:color="auto" w:fill="FFFFFF"/>
        </w:rPr>
        <w:t xml:space="preserve">(4), pp.272-279. (add citation in text) </w:t>
      </w:r>
    </w:p>
    <w:p w14:paraId="065B663A" w14:textId="77777777" w:rsidR="00BE2C1D" w:rsidRPr="00BE2C1D" w:rsidRDefault="00BE2C1D" w:rsidP="00BE2C1D">
      <w:pPr>
        <w:spacing w:line="360" w:lineRule="auto"/>
        <w:jc w:val="both"/>
        <w:rPr>
          <w:rFonts w:cstheme="minorHAnsi"/>
          <w:shd w:val="clear" w:color="auto" w:fill="FFFFFF"/>
        </w:rPr>
      </w:pPr>
      <w:r w:rsidRPr="00BE2C1D">
        <w:rPr>
          <w:rFonts w:cstheme="minorHAnsi"/>
          <w:shd w:val="clear" w:color="auto" w:fill="FFFFFF"/>
        </w:rPr>
        <w:t>Rose, C. A., Simpson, C. G. and Moss, A., 2015. The bullying dynamic: Prevalence of involvement among a large‐scale sample of middle and high school youth with and without disabilities. </w:t>
      </w:r>
      <w:r w:rsidRPr="00BE2C1D">
        <w:rPr>
          <w:rFonts w:cstheme="minorHAnsi"/>
          <w:i/>
          <w:iCs/>
          <w:shd w:val="clear" w:color="auto" w:fill="FFFFFF"/>
        </w:rPr>
        <w:t>Psychology in the Schools</w:t>
      </w:r>
      <w:r w:rsidRPr="00BE2C1D">
        <w:rPr>
          <w:rFonts w:cstheme="minorHAnsi"/>
          <w:shd w:val="clear" w:color="auto" w:fill="FFFFFF"/>
        </w:rPr>
        <w:t>. </w:t>
      </w:r>
      <w:r w:rsidRPr="00BE2C1D">
        <w:rPr>
          <w:rFonts w:cstheme="minorHAnsi"/>
          <w:b/>
          <w:bCs/>
          <w:shd w:val="clear" w:color="auto" w:fill="FFFFFF"/>
        </w:rPr>
        <w:t>52</w:t>
      </w:r>
      <w:r w:rsidRPr="00BE2C1D">
        <w:rPr>
          <w:rFonts w:cstheme="minorHAnsi"/>
          <w:shd w:val="clear" w:color="auto" w:fill="FFFFFF"/>
        </w:rPr>
        <w:t>(5), 515-531.</w:t>
      </w:r>
    </w:p>
    <w:p w14:paraId="7B6D6D99" w14:textId="77777777" w:rsidR="00BE2C1D" w:rsidRPr="00BE2C1D" w:rsidRDefault="00BE2C1D" w:rsidP="00BE2C1D">
      <w:pPr>
        <w:spacing w:line="360" w:lineRule="auto"/>
        <w:rPr>
          <w:rFonts w:cstheme="minorHAnsi"/>
          <w:shd w:val="clear" w:color="auto" w:fill="FFFFFF"/>
        </w:rPr>
      </w:pPr>
      <w:r w:rsidRPr="00BE2C1D">
        <w:rPr>
          <w:rFonts w:cstheme="minorHAnsi"/>
          <w:shd w:val="clear" w:color="auto" w:fill="FFFFFF"/>
        </w:rPr>
        <w:t>Rosenberg, I.B., 2009. Height discrimination in employment. </w:t>
      </w:r>
      <w:r w:rsidRPr="00BE2C1D">
        <w:rPr>
          <w:rFonts w:cstheme="minorHAnsi"/>
          <w:i/>
          <w:iCs/>
          <w:shd w:val="clear" w:color="auto" w:fill="FFFFFF"/>
        </w:rPr>
        <w:t>Utah L. Rev.</w:t>
      </w:r>
      <w:r w:rsidRPr="00BE2C1D">
        <w:rPr>
          <w:rFonts w:cstheme="minorHAnsi"/>
          <w:shd w:val="clear" w:color="auto" w:fill="FFFFFF"/>
        </w:rPr>
        <w:t>,907-953</w:t>
      </w:r>
    </w:p>
    <w:p w14:paraId="30127F11" w14:textId="77777777" w:rsidR="00BE2C1D" w:rsidRPr="00BE2C1D" w:rsidRDefault="00BE2C1D" w:rsidP="00BE2C1D">
      <w:pPr>
        <w:spacing w:line="360" w:lineRule="auto"/>
        <w:rPr>
          <w:rFonts w:cstheme="minorHAnsi"/>
          <w:shd w:val="clear" w:color="auto" w:fill="FFFFFF"/>
        </w:rPr>
      </w:pPr>
      <w:r w:rsidRPr="00BE2C1D">
        <w:rPr>
          <w:rFonts w:cstheme="minorHAnsi"/>
          <w:shd w:val="clear" w:color="auto" w:fill="FFFFFF"/>
        </w:rPr>
        <w:t xml:space="preserve">Rothblum, E.D. and Solovay, S. eds., (2009). </w:t>
      </w:r>
      <w:r w:rsidRPr="00BE2C1D">
        <w:rPr>
          <w:rFonts w:cstheme="minorHAnsi"/>
          <w:i/>
          <w:iCs/>
          <w:shd w:val="clear" w:color="auto" w:fill="FFFFFF"/>
        </w:rPr>
        <w:t>The fat studies reader</w:t>
      </w:r>
      <w:r w:rsidRPr="00BE2C1D">
        <w:rPr>
          <w:rFonts w:cstheme="minorHAnsi"/>
          <w:shd w:val="clear" w:color="auto" w:fill="FFFFFF"/>
        </w:rPr>
        <w:t>. London: NYU Press.</w:t>
      </w:r>
    </w:p>
    <w:p w14:paraId="50A18C03" w14:textId="77777777" w:rsidR="00BE2C1D" w:rsidRPr="00BE2C1D" w:rsidRDefault="00BE2C1D" w:rsidP="00BE2C1D">
      <w:pPr>
        <w:spacing w:line="360" w:lineRule="auto"/>
        <w:rPr>
          <w:rFonts w:cstheme="minorHAnsi"/>
          <w:shd w:val="clear" w:color="auto" w:fill="FFFFFF"/>
        </w:rPr>
      </w:pPr>
      <w:r w:rsidRPr="00BE2C1D">
        <w:rPr>
          <w:rFonts w:cstheme="minorHAnsi"/>
          <w:shd w:val="clear" w:color="auto" w:fill="FFFFFF"/>
        </w:rPr>
        <w:t>Rotnem, D., Genel, M., Hintz, R.L. and Cohen, D.J., 1977. Personality development in children with growth hormone deficiency. </w:t>
      </w:r>
      <w:r w:rsidRPr="00BE2C1D">
        <w:rPr>
          <w:rFonts w:cstheme="minorHAnsi"/>
          <w:i/>
          <w:iCs/>
          <w:shd w:val="clear" w:color="auto" w:fill="FFFFFF"/>
        </w:rPr>
        <w:t>Journal of the American Academy of Child Psychiatry</w:t>
      </w:r>
      <w:r w:rsidRPr="00BE2C1D">
        <w:rPr>
          <w:rFonts w:cstheme="minorHAnsi"/>
          <w:shd w:val="clear" w:color="auto" w:fill="FFFFFF"/>
        </w:rPr>
        <w:t>, </w:t>
      </w:r>
      <w:r w:rsidRPr="00BE2C1D">
        <w:rPr>
          <w:rFonts w:cstheme="minorHAnsi"/>
          <w:b/>
          <w:bCs/>
          <w:shd w:val="clear" w:color="auto" w:fill="FFFFFF"/>
        </w:rPr>
        <w:t>16</w:t>
      </w:r>
      <w:r w:rsidRPr="00BE2C1D">
        <w:rPr>
          <w:rFonts w:cstheme="minorHAnsi"/>
          <w:shd w:val="clear" w:color="auto" w:fill="FFFFFF"/>
        </w:rPr>
        <w:t>(3), 412-426.</w:t>
      </w:r>
    </w:p>
    <w:p w14:paraId="60852AF3" w14:textId="77777777" w:rsidR="00BE2C1D" w:rsidRPr="00BE2C1D" w:rsidRDefault="00BE2C1D" w:rsidP="00BE2C1D">
      <w:pPr>
        <w:spacing w:line="360" w:lineRule="auto"/>
        <w:rPr>
          <w:rFonts w:cstheme="minorHAnsi"/>
          <w:shd w:val="clear" w:color="auto" w:fill="FFFFFF"/>
        </w:rPr>
      </w:pPr>
      <w:r w:rsidRPr="00BE2C1D">
        <w:rPr>
          <w:rFonts w:cstheme="minorHAnsi"/>
          <w:shd w:val="clear" w:color="auto" w:fill="FFFFFF"/>
        </w:rPr>
        <w:t>Rott, L., 2010. Why does growth hurt? The dual role of normalization and stigmatization in the experience of growth hormone treatment. </w:t>
      </w:r>
      <w:r w:rsidRPr="00BE2C1D">
        <w:rPr>
          <w:rFonts w:cstheme="minorHAnsi"/>
          <w:i/>
          <w:iCs/>
          <w:shd w:val="clear" w:color="auto" w:fill="FFFFFF"/>
        </w:rPr>
        <w:t>Research in Social Science and Disability</w:t>
      </w:r>
      <w:r w:rsidRPr="00BE2C1D">
        <w:rPr>
          <w:rFonts w:cstheme="minorHAnsi"/>
          <w:shd w:val="clear" w:color="auto" w:fill="FFFFFF"/>
        </w:rPr>
        <w:t>, </w:t>
      </w:r>
      <w:r w:rsidRPr="00BE2C1D">
        <w:rPr>
          <w:rFonts w:cstheme="minorHAnsi"/>
          <w:b/>
          <w:bCs/>
          <w:shd w:val="clear" w:color="auto" w:fill="FFFFFF"/>
        </w:rPr>
        <w:t>5</w:t>
      </w:r>
      <w:r w:rsidRPr="00BE2C1D">
        <w:rPr>
          <w:rFonts w:cstheme="minorHAnsi"/>
          <w:shd w:val="clear" w:color="auto" w:fill="FFFFFF"/>
        </w:rPr>
        <w:t>, 253-277.</w:t>
      </w:r>
    </w:p>
    <w:p w14:paraId="6FCDA0A3" w14:textId="77777777" w:rsidR="00BE2C1D" w:rsidRPr="00BE2C1D" w:rsidRDefault="00BE2C1D" w:rsidP="00BE2C1D">
      <w:pPr>
        <w:spacing w:line="360" w:lineRule="auto"/>
        <w:jc w:val="both"/>
        <w:rPr>
          <w:rFonts w:cstheme="minorHAnsi"/>
          <w:shd w:val="clear" w:color="auto" w:fill="FFFFFF"/>
        </w:rPr>
      </w:pPr>
      <w:r w:rsidRPr="00BE2C1D">
        <w:rPr>
          <w:rFonts w:cstheme="minorHAnsi"/>
          <w:shd w:val="clear" w:color="auto" w:fill="FFFFFF"/>
        </w:rPr>
        <w:t xml:space="preserve">Rott, L., 2013. You’re so short!”: the stigma (and disability) of being a short woman'. </w:t>
      </w:r>
      <w:r w:rsidRPr="00BE2C1D">
        <w:rPr>
          <w:rFonts w:cstheme="minorHAnsi"/>
          <w:i/>
          <w:iCs/>
          <w:shd w:val="clear" w:color="auto" w:fill="FFFFFF"/>
        </w:rPr>
        <w:t>Research in Social Science and Disability</w:t>
      </w:r>
      <w:r w:rsidRPr="00BE2C1D">
        <w:rPr>
          <w:rFonts w:cstheme="minorHAnsi"/>
          <w:shd w:val="clear" w:color="auto" w:fill="FFFFFF"/>
        </w:rPr>
        <w:t xml:space="preserve">. </w:t>
      </w:r>
      <w:r w:rsidRPr="00BE2C1D">
        <w:rPr>
          <w:rFonts w:cstheme="minorHAnsi"/>
          <w:b/>
          <w:bCs/>
          <w:shd w:val="clear" w:color="auto" w:fill="FFFFFF"/>
        </w:rPr>
        <w:t>7,</w:t>
      </w:r>
      <w:r w:rsidRPr="00BE2C1D">
        <w:rPr>
          <w:rFonts w:cstheme="minorHAnsi"/>
          <w:shd w:val="clear" w:color="auto" w:fill="FFFFFF"/>
        </w:rPr>
        <w:t xml:space="preserve"> 207-240.</w:t>
      </w:r>
    </w:p>
    <w:p w14:paraId="3E9890CA" w14:textId="77777777" w:rsidR="00BE2C1D" w:rsidRPr="00BE2C1D" w:rsidRDefault="00BE2C1D" w:rsidP="00BE2C1D">
      <w:pPr>
        <w:spacing w:line="360" w:lineRule="auto"/>
        <w:rPr>
          <w:rFonts w:cstheme="minorHAnsi"/>
        </w:rPr>
      </w:pPr>
      <w:r w:rsidRPr="00BE2C1D">
        <w:rPr>
          <w:rFonts w:cstheme="minorHAnsi"/>
        </w:rPr>
        <w:t>Rowe, D. (1998). Play up: Rethinking power and resistance</w:t>
      </w:r>
      <w:r w:rsidRPr="00BE2C1D">
        <w:rPr>
          <w:rFonts w:cstheme="minorHAnsi"/>
          <w:i/>
          <w:iCs/>
        </w:rPr>
        <w:t>. Journal of Sport and Social Issues.</w:t>
      </w:r>
      <w:r w:rsidRPr="00BE2C1D">
        <w:rPr>
          <w:rFonts w:cstheme="minorHAnsi"/>
        </w:rPr>
        <w:t xml:space="preserve"> </w:t>
      </w:r>
      <w:r w:rsidRPr="00BE2C1D">
        <w:rPr>
          <w:rFonts w:cstheme="minorHAnsi"/>
          <w:b/>
          <w:bCs/>
        </w:rPr>
        <w:t>22</w:t>
      </w:r>
      <w:r w:rsidRPr="00BE2C1D">
        <w:rPr>
          <w:rFonts w:cstheme="minorHAnsi"/>
        </w:rPr>
        <w:t>(3), 241-251.</w:t>
      </w:r>
    </w:p>
    <w:p w14:paraId="7DF76DB8" w14:textId="77777777" w:rsidR="00BE2C1D" w:rsidRPr="00BE2C1D" w:rsidRDefault="00BE2C1D" w:rsidP="00BE2C1D">
      <w:pPr>
        <w:spacing w:line="360" w:lineRule="auto"/>
        <w:rPr>
          <w:rFonts w:cstheme="minorHAnsi"/>
          <w:shd w:val="clear" w:color="auto" w:fill="FFFFFF"/>
        </w:rPr>
      </w:pPr>
      <w:r w:rsidRPr="00BE2C1D">
        <w:rPr>
          <w:rFonts w:cstheme="minorHAnsi"/>
          <w:shd w:val="clear" w:color="auto" w:fill="FFFFFF"/>
        </w:rPr>
        <w:t>Rubie-Davies, C.M., Blatchford, P., Webster, R., Koutsoubou, M. and Bassett, P., 2010. Enhancing learning? A comparison of teacher and teaching assistant interactions with pupils. </w:t>
      </w:r>
      <w:r w:rsidRPr="00BE2C1D">
        <w:rPr>
          <w:rFonts w:cstheme="minorHAnsi"/>
          <w:i/>
          <w:iCs/>
          <w:shd w:val="clear" w:color="auto" w:fill="FFFFFF"/>
        </w:rPr>
        <w:t>School Effectiveness and School Improvement</w:t>
      </w:r>
      <w:r w:rsidRPr="00BE2C1D">
        <w:rPr>
          <w:rFonts w:cstheme="minorHAnsi"/>
          <w:shd w:val="clear" w:color="auto" w:fill="FFFFFF"/>
        </w:rPr>
        <w:t>. </w:t>
      </w:r>
      <w:r w:rsidRPr="00BE2C1D">
        <w:rPr>
          <w:rFonts w:cstheme="minorHAnsi"/>
          <w:b/>
          <w:bCs/>
          <w:shd w:val="clear" w:color="auto" w:fill="FFFFFF"/>
        </w:rPr>
        <w:t>21</w:t>
      </w:r>
      <w:r w:rsidRPr="00BE2C1D">
        <w:rPr>
          <w:rFonts w:cstheme="minorHAnsi"/>
          <w:shd w:val="clear" w:color="auto" w:fill="FFFFFF"/>
        </w:rPr>
        <w:t>(4), 429-449.</w:t>
      </w:r>
    </w:p>
    <w:p w14:paraId="183931F8" w14:textId="77777777" w:rsidR="00BE2C1D" w:rsidRPr="00BE2C1D" w:rsidRDefault="00BE2C1D" w:rsidP="00BE2C1D">
      <w:pPr>
        <w:spacing w:line="360" w:lineRule="auto"/>
        <w:rPr>
          <w:rFonts w:cstheme="minorHAnsi"/>
          <w:shd w:val="clear" w:color="auto" w:fill="FFFFFF"/>
        </w:rPr>
      </w:pPr>
      <w:r w:rsidRPr="00BE2C1D">
        <w:rPr>
          <w:rFonts w:cstheme="minorHAnsi"/>
          <w:shd w:val="clear" w:color="auto" w:fill="FFFFFF"/>
        </w:rPr>
        <w:t>Runswick‐Cole, K., 2011. Time to end the bias towards inclusive education?. </w:t>
      </w:r>
      <w:r w:rsidRPr="00BE2C1D">
        <w:rPr>
          <w:rFonts w:cstheme="minorHAnsi"/>
          <w:i/>
          <w:iCs/>
          <w:shd w:val="clear" w:color="auto" w:fill="FFFFFF"/>
        </w:rPr>
        <w:t>British Journal of Special Education</w:t>
      </w:r>
      <w:r w:rsidRPr="00BE2C1D">
        <w:rPr>
          <w:rFonts w:cstheme="minorHAnsi"/>
          <w:shd w:val="clear" w:color="auto" w:fill="FFFFFF"/>
        </w:rPr>
        <w:t>. </w:t>
      </w:r>
      <w:r w:rsidRPr="00BE2C1D">
        <w:rPr>
          <w:rFonts w:cstheme="minorHAnsi"/>
          <w:b/>
          <w:bCs/>
          <w:shd w:val="clear" w:color="auto" w:fill="FFFFFF"/>
        </w:rPr>
        <w:t>38</w:t>
      </w:r>
      <w:r w:rsidRPr="00BE2C1D">
        <w:rPr>
          <w:rFonts w:cstheme="minorHAnsi"/>
          <w:shd w:val="clear" w:color="auto" w:fill="FFFFFF"/>
        </w:rPr>
        <w:t>(3), 112-119.</w:t>
      </w:r>
    </w:p>
    <w:p w14:paraId="653EAFF6" w14:textId="77777777" w:rsidR="00BE2C1D" w:rsidRPr="00BE2C1D" w:rsidRDefault="00BE2C1D" w:rsidP="00BE2C1D">
      <w:pPr>
        <w:spacing w:line="360" w:lineRule="auto"/>
        <w:rPr>
          <w:rFonts w:cstheme="minorHAnsi"/>
          <w:shd w:val="clear" w:color="auto" w:fill="FFFFFF"/>
        </w:rPr>
      </w:pPr>
      <w:r w:rsidRPr="00BE2C1D">
        <w:rPr>
          <w:rFonts w:cstheme="minorHAnsi"/>
          <w:shd w:val="clear" w:color="auto" w:fill="FFFFFF"/>
        </w:rPr>
        <w:lastRenderedPageBreak/>
        <w:t>Runswick-Cole, K. and Curran, T., (2013). Concluding thoughts and future directions. In: T. Curran, K. Runswick-Cole, eds. </w:t>
      </w:r>
      <w:r w:rsidRPr="00BE2C1D">
        <w:rPr>
          <w:rFonts w:cstheme="minorHAnsi"/>
          <w:i/>
          <w:iCs/>
          <w:shd w:val="clear" w:color="auto" w:fill="FFFFFF"/>
        </w:rPr>
        <w:t xml:space="preserve">Disabled Children’s Childhood Studies. </w:t>
      </w:r>
      <w:r w:rsidRPr="00BE2C1D">
        <w:rPr>
          <w:rFonts w:cstheme="minorHAnsi"/>
          <w:shd w:val="clear" w:color="auto" w:fill="FFFFFF"/>
        </w:rPr>
        <w:t>London: (pp. 196-199). Palgrave Macmillan. pp. 196-199.</w:t>
      </w:r>
    </w:p>
    <w:p w14:paraId="30F16B67" w14:textId="77777777" w:rsidR="00BE2C1D" w:rsidRPr="00BE2C1D" w:rsidRDefault="00BE2C1D" w:rsidP="00BE2C1D">
      <w:pPr>
        <w:spacing w:line="360" w:lineRule="auto"/>
        <w:rPr>
          <w:rFonts w:cstheme="minorHAnsi"/>
          <w:shd w:val="clear" w:color="auto" w:fill="FFFFFF"/>
        </w:rPr>
      </w:pPr>
      <w:r w:rsidRPr="00BE2C1D">
        <w:rPr>
          <w:rFonts w:cstheme="minorHAnsi"/>
          <w:shd w:val="clear" w:color="auto" w:fill="FFFFFF"/>
        </w:rPr>
        <w:t>Runswick-Cole, K., Curran, T. and Liddiard, K. eds., 2018a. </w:t>
      </w:r>
      <w:r w:rsidRPr="00BE2C1D">
        <w:rPr>
          <w:rFonts w:cstheme="minorHAnsi"/>
          <w:i/>
          <w:iCs/>
          <w:shd w:val="clear" w:color="auto" w:fill="FFFFFF"/>
        </w:rPr>
        <w:t>The Palgrave Handbook of Disabled Children's Childhood Studies</w:t>
      </w:r>
      <w:r w:rsidRPr="00BE2C1D">
        <w:rPr>
          <w:rFonts w:cstheme="minorHAnsi"/>
          <w:shd w:val="clear" w:color="auto" w:fill="FFFFFF"/>
        </w:rPr>
        <w:t>. London: Palgrave Macmillan.</w:t>
      </w:r>
    </w:p>
    <w:p w14:paraId="38B20BA3" w14:textId="77777777" w:rsidR="00BE2C1D" w:rsidRPr="00BE2C1D" w:rsidRDefault="00BE2C1D" w:rsidP="00BE2C1D">
      <w:pPr>
        <w:spacing w:line="360" w:lineRule="auto"/>
        <w:rPr>
          <w:rFonts w:cstheme="minorHAnsi"/>
          <w:shd w:val="clear" w:color="auto" w:fill="FFFFFF"/>
        </w:rPr>
      </w:pPr>
      <w:r w:rsidRPr="00BE2C1D">
        <w:rPr>
          <w:rFonts w:cstheme="minorHAnsi"/>
          <w:shd w:val="clear" w:color="auto" w:fill="FFFFFF"/>
        </w:rPr>
        <w:t>Runswick‐Cole, K. and Goodley, D., 2013. Resilience: A disability studies and community psychology approach. </w:t>
      </w:r>
      <w:r w:rsidRPr="00BE2C1D">
        <w:rPr>
          <w:rFonts w:cstheme="minorHAnsi"/>
          <w:i/>
          <w:iCs/>
          <w:shd w:val="clear" w:color="auto" w:fill="FFFFFF"/>
        </w:rPr>
        <w:t>Social and Personality Psychology Compass</w:t>
      </w:r>
      <w:r w:rsidRPr="00BE2C1D">
        <w:rPr>
          <w:rFonts w:cstheme="minorHAnsi"/>
          <w:shd w:val="clear" w:color="auto" w:fill="FFFFFF"/>
        </w:rPr>
        <w:t>. </w:t>
      </w:r>
      <w:r w:rsidRPr="00BE2C1D">
        <w:rPr>
          <w:rFonts w:cstheme="minorHAnsi"/>
          <w:b/>
          <w:bCs/>
          <w:shd w:val="clear" w:color="auto" w:fill="FFFFFF"/>
        </w:rPr>
        <w:t>7</w:t>
      </w:r>
      <w:r w:rsidRPr="00BE2C1D">
        <w:rPr>
          <w:rFonts w:cstheme="minorHAnsi"/>
          <w:shd w:val="clear" w:color="auto" w:fill="FFFFFF"/>
        </w:rPr>
        <w:t>(2), 67-78.</w:t>
      </w:r>
    </w:p>
    <w:p w14:paraId="21752F0E" w14:textId="77777777" w:rsidR="00BE2C1D" w:rsidRPr="00BE2C1D" w:rsidRDefault="00BE2C1D" w:rsidP="00BE2C1D">
      <w:pPr>
        <w:spacing w:line="360" w:lineRule="auto"/>
        <w:rPr>
          <w:rFonts w:cstheme="minorHAnsi"/>
          <w:shd w:val="clear" w:color="auto" w:fill="FFFFFF"/>
        </w:rPr>
      </w:pPr>
      <w:r w:rsidRPr="00BE2C1D">
        <w:rPr>
          <w:rFonts w:cstheme="minorHAnsi"/>
          <w:shd w:val="clear" w:color="auto" w:fill="FFFFFF"/>
        </w:rPr>
        <w:t>Runswick-Cole, K., Goodley, D. and Lawthom, R., 2018b. Resilience in the lives of disabled children: A many splendoured thing. In: K. Runswick-Cole, T. Curran, K. Liddiard, eds. </w:t>
      </w:r>
      <w:r w:rsidRPr="00BE2C1D">
        <w:rPr>
          <w:rFonts w:cstheme="minorHAnsi"/>
          <w:i/>
          <w:iCs/>
          <w:shd w:val="clear" w:color="auto" w:fill="FFFFFF"/>
        </w:rPr>
        <w:t>The Palgrave handbook of disabled children’s childhood studies</w:t>
      </w:r>
      <w:r w:rsidRPr="00BE2C1D">
        <w:rPr>
          <w:rFonts w:cstheme="minorHAnsi"/>
          <w:shd w:val="clear" w:color="auto" w:fill="FFFFFF"/>
        </w:rPr>
        <w:t>. London: Palgrave Macmillan. pp.425-442.</w:t>
      </w:r>
    </w:p>
    <w:p w14:paraId="279AE076" w14:textId="77777777" w:rsidR="00BE2C1D" w:rsidRPr="00BE2C1D" w:rsidRDefault="00BE2C1D" w:rsidP="00BE2C1D">
      <w:pPr>
        <w:spacing w:line="360" w:lineRule="auto"/>
        <w:rPr>
          <w:rFonts w:cstheme="minorHAnsi"/>
          <w:shd w:val="clear" w:color="auto" w:fill="FFFFFF"/>
        </w:rPr>
      </w:pPr>
      <w:r w:rsidRPr="00BE2C1D">
        <w:rPr>
          <w:rFonts w:cstheme="minorHAnsi"/>
          <w:shd w:val="clear" w:color="auto" w:fill="FFFFFF"/>
        </w:rPr>
        <w:t>Rutherford, G., 2012. In, out or somewhere in between? Disabled students' and teacher aides' experiences of school. </w:t>
      </w:r>
      <w:r w:rsidRPr="00BE2C1D">
        <w:rPr>
          <w:rFonts w:cstheme="minorHAnsi"/>
          <w:i/>
          <w:iCs/>
          <w:shd w:val="clear" w:color="auto" w:fill="FFFFFF"/>
        </w:rPr>
        <w:t>International Journal of Inclusive Education</w:t>
      </w:r>
      <w:r w:rsidRPr="00BE2C1D">
        <w:rPr>
          <w:rFonts w:cstheme="minorHAnsi"/>
          <w:shd w:val="clear" w:color="auto" w:fill="FFFFFF"/>
        </w:rPr>
        <w:t>. </w:t>
      </w:r>
      <w:r w:rsidRPr="00BE2C1D">
        <w:rPr>
          <w:rFonts w:cstheme="minorHAnsi"/>
          <w:b/>
          <w:bCs/>
          <w:shd w:val="clear" w:color="auto" w:fill="FFFFFF"/>
        </w:rPr>
        <w:t>16</w:t>
      </w:r>
      <w:r w:rsidRPr="00BE2C1D">
        <w:rPr>
          <w:rFonts w:cstheme="minorHAnsi"/>
          <w:shd w:val="clear" w:color="auto" w:fill="FFFFFF"/>
        </w:rPr>
        <w:t>(8), 757-774.</w:t>
      </w:r>
    </w:p>
    <w:p w14:paraId="7BA1E76E" w14:textId="77777777" w:rsidR="00BE2C1D" w:rsidRPr="00BE2C1D" w:rsidRDefault="00BE2C1D" w:rsidP="00BE2C1D">
      <w:pPr>
        <w:spacing w:line="360" w:lineRule="auto"/>
        <w:rPr>
          <w:rFonts w:cstheme="minorHAnsi"/>
          <w:shd w:val="clear" w:color="auto" w:fill="FFFFFF"/>
        </w:rPr>
      </w:pPr>
      <w:r w:rsidRPr="00BE2C1D">
        <w:rPr>
          <w:rFonts w:cstheme="minorHAnsi"/>
          <w:shd w:val="clear" w:color="auto" w:fill="FFFFFF"/>
        </w:rPr>
        <w:t>Ryan, A. and Morgan, M., 2011. Bullying in secondary schools: Through a discursive lens. </w:t>
      </w:r>
      <w:r w:rsidRPr="00BE2C1D">
        <w:rPr>
          <w:rFonts w:cstheme="minorHAnsi"/>
          <w:i/>
          <w:iCs/>
          <w:shd w:val="clear" w:color="auto" w:fill="FFFFFF"/>
        </w:rPr>
        <w:t>Kotuitui: New Zealand Journal of Social Sciences Online</w:t>
      </w:r>
      <w:r w:rsidRPr="00BE2C1D">
        <w:rPr>
          <w:rFonts w:cstheme="minorHAnsi"/>
          <w:shd w:val="clear" w:color="auto" w:fill="FFFFFF"/>
        </w:rPr>
        <w:t>. </w:t>
      </w:r>
      <w:r w:rsidRPr="00BE2C1D">
        <w:rPr>
          <w:rFonts w:cstheme="minorHAnsi"/>
          <w:b/>
          <w:bCs/>
          <w:shd w:val="clear" w:color="auto" w:fill="FFFFFF"/>
        </w:rPr>
        <w:t>6</w:t>
      </w:r>
      <w:r w:rsidRPr="00BE2C1D">
        <w:rPr>
          <w:rFonts w:cstheme="minorHAnsi"/>
          <w:shd w:val="clear" w:color="auto" w:fill="FFFFFF"/>
        </w:rPr>
        <w:t>(1-2), 1-14.</w:t>
      </w:r>
    </w:p>
    <w:p w14:paraId="0D385BA1" w14:textId="77777777" w:rsidR="00BE2C1D" w:rsidRPr="00BE2C1D" w:rsidRDefault="00BE2C1D" w:rsidP="00BE2C1D">
      <w:pPr>
        <w:spacing w:line="360" w:lineRule="auto"/>
        <w:rPr>
          <w:rFonts w:cstheme="minorHAnsi"/>
          <w:shd w:val="clear" w:color="auto" w:fill="FFFFFF"/>
        </w:rPr>
      </w:pPr>
      <w:r w:rsidRPr="00BE2C1D">
        <w:rPr>
          <w:rFonts w:cstheme="minorHAnsi"/>
          <w:shd w:val="clear" w:color="auto" w:fill="FFFFFF"/>
        </w:rPr>
        <w:t>Ryan, S. and Runswick‐Cole, K., 2008. Repositioning mothers: Mothers, disabled children and disability studies. </w:t>
      </w:r>
      <w:r w:rsidRPr="00BE2C1D">
        <w:rPr>
          <w:rFonts w:cstheme="minorHAnsi"/>
          <w:i/>
          <w:iCs/>
          <w:shd w:val="clear" w:color="auto" w:fill="FFFFFF"/>
        </w:rPr>
        <w:t>Disability &amp; Society</w:t>
      </w:r>
      <w:r w:rsidRPr="00BE2C1D">
        <w:rPr>
          <w:rFonts w:cstheme="minorHAnsi"/>
          <w:shd w:val="clear" w:color="auto" w:fill="FFFFFF"/>
        </w:rPr>
        <w:t>. </w:t>
      </w:r>
      <w:r w:rsidRPr="00BE2C1D">
        <w:rPr>
          <w:rFonts w:cstheme="minorHAnsi"/>
          <w:b/>
          <w:bCs/>
          <w:shd w:val="clear" w:color="auto" w:fill="FFFFFF"/>
        </w:rPr>
        <w:t>23</w:t>
      </w:r>
      <w:r w:rsidRPr="00BE2C1D">
        <w:rPr>
          <w:rFonts w:cstheme="minorHAnsi"/>
          <w:shd w:val="clear" w:color="auto" w:fill="FFFFFF"/>
        </w:rPr>
        <w:t>(3), 199-210.</w:t>
      </w:r>
    </w:p>
    <w:p w14:paraId="461FDBEC" w14:textId="77777777" w:rsidR="00BE2C1D" w:rsidRPr="00BE2C1D" w:rsidRDefault="00BE2C1D" w:rsidP="00BE2C1D">
      <w:pPr>
        <w:spacing w:line="360" w:lineRule="auto"/>
        <w:rPr>
          <w:rFonts w:cstheme="minorHAnsi"/>
          <w:shd w:val="clear" w:color="auto" w:fill="FFFFFF"/>
        </w:rPr>
      </w:pPr>
      <w:r w:rsidRPr="00BE2C1D">
        <w:rPr>
          <w:rFonts w:cstheme="minorHAnsi"/>
          <w:shd w:val="clear" w:color="auto" w:fill="FFFFFF"/>
        </w:rPr>
        <w:t>Ryan, S. and Runswick-Cole, K., 2009. From advocate to activist? Mapping the experiences of mothers of children on the autism spectrum. </w:t>
      </w:r>
      <w:r w:rsidRPr="00BE2C1D">
        <w:rPr>
          <w:rFonts w:cstheme="minorHAnsi"/>
          <w:i/>
          <w:iCs/>
          <w:shd w:val="clear" w:color="auto" w:fill="FFFFFF"/>
        </w:rPr>
        <w:t>Journal of Applied Research in Intellectual Disabilities</w:t>
      </w:r>
      <w:r w:rsidRPr="00BE2C1D">
        <w:rPr>
          <w:rFonts w:cstheme="minorHAnsi"/>
          <w:shd w:val="clear" w:color="auto" w:fill="FFFFFF"/>
        </w:rPr>
        <w:t>. </w:t>
      </w:r>
      <w:r w:rsidRPr="00BE2C1D">
        <w:rPr>
          <w:rFonts w:cstheme="minorHAnsi"/>
          <w:b/>
          <w:bCs/>
          <w:shd w:val="clear" w:color="auto" w:fill="FFFFFF"/>
        </w:rPr>
        <w:t>22</w:t>
      </w:r>
      <w:r w:rsidRPr="00BE2C1D">
        <w:rPr>
          <w:rFonts w:cstheme="minorHAnsi"/>
          <w:shd w:val="clear" w:color="auto" w:fill="FFFFFF"/>
        </w:rPr>
        <w:t>(1), 43-53.</w:t>
      </w:r>
    </w:p>
    <w:p w14:paraId="4F44BB8F" w14:textId="77777777" w:rsidR="00BE2C1D" w:rsidRPr="00BE2C1D" w:rsidRDefault="00BE2C1D" w:rsidP="00BE2C1D">
      <w:pPr>
        <w:spacing w:line="360" w:lineRule="auto"/>
        <w:rPr>
          <w:rFonts w:cstheme="minorHAnsi"/>
          <w:shd w:val="clear" w:color="auto" w:fill="FFFFFF"/>
        </w:rPr>
      </w:pPr>
      <w:r w:rsidRPr="00BE2C1D">
        <w:rPr>
          <w:rFonts w:cstheme="minorHAnsi"/>
          <w:shd w:val="clear" w:color="auto" w:fill="FFFFFF"/>
        </w:rPr>
        <w:t>Saarni, L., Nygård, C.H., Kaukiainen, A. and Rimpelä, A., 2007. Are the desks and chairs at school appropriate?. </w:t>
      </w:r>
      <w:r w:rsidRPr="00BE2C1D">
        <w:rPr>
          <w:rFonts w:cstheme="minorHAnsi"/>
          <w:i/>
          <w:iCs/>
          <w:shd w:val="clear" w:color="auto" w:fill="FFFFFF"/>
        </w:rPr>
        <w:t>Ergonomics</w:t>
      </w:r>
      <w:r w:rsidRPr="00BE2C1D">
        <w:rPr>
          <w:rFonts w:cstheme="minorHAnsi"/>
          <w:shd w:val="clear" w:color="auto" w:fill="FFFFFF"/>
        </w:rPr>
        <w:t>. </w:t>
      </w:r>
      <w:r w:rsidRPr="00BE2C1D">
        <w:rPr>
          <w:rFonts w:cstheme="minorHAnsi"/>
          <w:b/>
          <w:bCs/>
          <w:shd w:val="clear" w:color="auto" w:fill="FFFFFF"/>
        </w:rPr>
        <w:t>50</w:t>
      </w:r>
      <w:r w:rsidRPr="00BE2C1D">
        <w:rPr>
          <w:rFonts w:cstheme="minorHAnsi"/>
          <w:shd w:val="clear" w:color="auto" w:fill="FFFFFF"/>
        </w:rPr>
        <w:t>(10), 1561-1570.</w:t>
      </w:r>
    </w:p>
    <w:p w14:paraId="1ADC3A16" w14:textId="77777777" w:rsidR="00BE2C1D" w:rsidRPr="00BE2C1D" w:rsidRDefault="00BE2C1D" w:rsidP="00BE2C1D">
      <w:pPr>
        <w:spacing w:line="360" w:lineRule="auto"/>
        <w:rPr>
          <w:rFonts w:cstheme="minorHAnsi"/>
          <w:shd w:val="clear" w:color="auto" w:fill="FFFFFF"/>
        </w:rPr>
      </w:pPr>
      <w:r w:rsidRPr="00BE2C1D">
        <w:rPr>
          <w:rFonts w:cstheme="minorHAnsi"/>
          <w:shd w:val="clear" w:color="auto" w:fill="FFFFFF"/>
        </w:rPr>
        <w:t>Salmivalli, C. and Nieminen, E., 2002. Proactive and reactive aggression among school bullies, victims, and bully‐victims. </w:t>
      </w:r>
      <w:r w:rsidRPr="00BE2C1D">
        <w:rPr>
          <w:rFonts w:cstheme="minorHAnsi"/>
          <w:i/>
          <w:iCs/>
          <w:shd w:val="clear" w:color="auto" w:fill="FFFFFF"/>
        </w:rPr>
        <w:t>Aggressive Behavior: Official Journal of the International Society for Research on Aggression</w:t>
      </w:r>
      <w:r w:rsidRPr="00BE2C1D">
        <w:rPr>
          <w:rFonts w:cstheme="minorHAnsi"/>
          <w:shd w:val="clear" w:color="auto" w:fill="FFFFFF"/>
        </w:rPr>
        <w:t>. </w:t>
      </w:r>
      <w:r w:rsidRPr="00BE2C1D">
        <w:rPr>
          <w:rFonts w:cstheme="minorHAnsi"/>
          <w:b/>
          <w:bCs/>
          <w:shd w:val="clear" w:color="auto" w:fill="FFFFFF"/>
        </w:rPr>
        <w:t>28</w:t>
      </w:r>
      <w:r w:rsidRPr="00BE2C1D">
        <w:rPr>
          <w:rFonts w:cstheme="minorHAnsi"/>
          <w:shd w:val="clear" w:color="auto" w:fill="FFFFFF"/>
        </w:rPr>
        <w:t>(1), 30-44.</w:t>
      </w:r>
    </w:p>
    <w:p w14:paraId="0DAD2F5E" w14:textId="77777777" w:rsidR="00BE2C1D" w:rsidRPr="00BE2C1D" w:rsidRDefault="00BE2C1D" w:rsidP="00BE2C1D">
      <w:pPr>
        <w:spacing w:line="360" w:lineRule="auto"/>
        <w:rPr>
          <w:rFonts w:cstheme="minorHAnsi"/>
          <w:shd w:val="clear" w:color="auto" w:fill="FFFFFF"/>
        </w:rPr>
      </w:pPr>
      <w:r w:rsidRPr="00BE2C1D">
        <w:rPr>
          <w:rFonts w:cstheme="minorHAnsi"/>
          <w:shd w:val="clear" w:color="auto" w:fill="FFFFFF"/>
        </w:rPr>
        <w:t>Samuels, E., 2017. Six ways of looking at crip time. </w:t>
      </w:r>
      <w:r w:rsidRPr="00BE2C1D">
        <w:rPr>
          <w:rFonts w:cstheme="minorHAnsi"/>
          <w:i/>
          <w:iCs/>
          <w:shd w:val="clear" w:color="auto" w:fill="FFFFFF"/>
        </w:rPr>
        <w:t>Disability Studies Quarterly</w:t>
      </w:r>
      <w:r w:rsidRPr="00BE2C1D">
        <w:rPr>
          <w:rFonts w:cstheme="minorHAnsi"/>
          <w:shd w:val="clear" w:color="auto" w:fill="FFFFFF"/>
        </w:rPr>
        <w:t>. </w:t>
      </w:r>
      <w:r w:rsidRPr="00BE2C1D">
        <w:rPr>
          <w:rFonts w:cstheme="minorHAnsi"/>
          <w:b/>
          <w:bCs/>
          <w:shd w:val="clear" w:color="auto" w:fill="FFFFFF"/>
        </w:rPr>
        <w:t>37</w:t>
      </w:r>
      <w:r w:rsidRPr="00BE2C1D">
        <w:rPr>
          <w:rFonts w:cstheme="minorHAnsi"/>
          <w:shd w:val="clear" w:color="auto" w:fill="FFFFFF"/>
        </w:rPr>
        <w:t>(3), n.p.</w:t>
      </w:r>
    </w:p>
    <w:p w14:paraId="47FEE6AA" w14:textId="77777777" w:rsidR="00BE2C1D" w:rsidRPr="00BE2C1D" w:rsidRDefault="00BE2C1D" w:rsidP="00BE2C1D">
      <w:pPr>
        <w:spacing w:line="360" w:lineRule="auto"/>
        <w:rPr>
          <w:rFonts w:cstheme="minorHAnsi"/>
          <w:shd w:val="clear" w:color="auto" w:fill="FFFFFF"/>
        </w:rPr>
      </w:pPr>
      <w:r w:rsidRPr="00BE2C1D">
        <w:rPr>
          <w:rFonts w:cstheme="minorHAnsi"/>
          <w:shd w:val="clear" w:color="auto" w:fill="FFFFFF"/>
        </w:rPr>
        <w:t>Sandberg, D.E., 2003. Quality of life and self-esteem in children treated for idiopathic short stature. </w:t>
      </w:r>
      <w:r w:rsidRPr="00BE2C1D">
        <w:rPr>
          <w:rFonts w:cstheme="minorHAnsi"/>
          <w:i/>
          <w:iCs/>
          <w:shd w:val="clear" w:color="auto" w:fill="FFFFFF"/>
        </w:rPr>
        <w:t>The Journal of paediatrics</w:t>
      </w:r>
      <w:r w:rsidRPr="00BE2C1D">
        <w:rPr>
          <w:rFonts w:cstheme="minorHAnsi"/>
          <w:shd w:val="clear" w:color="auto" w:fill="FFFFFF"/>
        </w:rPr>
        <w:t>. </w:t>
      </w:r>
      <w:r w:rsidRPr="00BE2C1D">
        <w:rPr>
          <w:rFonts w:cstheme="minorHAnsi"/>
          <w:b/>
          <w:bCs/>
          <w:shd w:val="clear" w:color="auto" w:fill="FFFFFF"/>
        </w:rPr>
        <w:t>143</w:t>
      </w:r>
      <w:r w:rsidRPr="00BE2C1D">
        <w:rPr>
          <w:rFonts w:cstheme="minorHAnsi"/>
          <w:shd w:val="clear" w:color="auto" w:fill="FFFFFF"/>
        </w:rPr>
        <w:t>(5), 691.</w:t>
      </w:r>
    </w:p>
    <w:p w14:paraId="18E3E678" w14:textId="77777777" w:rsidR="00BE2C1D" w:rsidRPr="00BE2C1D" w:rsidRDefault="00BE2C1D" w:rsidP="00BE2C1D">
      <w:pPr>
        <w:spacing w:line="360" w:lineRule="auto"/>
        <w:rPr>
          <w:rFonts w:cstheme="minorHAnsi"/>
          <w:shd w:val="clear" w:color="auto" w:fill="FFFFFF"/>
        </w:rPr>
      </w:pPr>
      <w:r w:rsidRPr="00BE2C1D">
        <w:rPr>
          <w:rFonts w:cstheme="minorHAnsi"/>
          <w:shd w:val="clear" w:color="auto" w:fill="FFFFFF"/>
        </w:rPr>
        <w:t>Sanghera, G.S. and Thapar-Björkert, S., 2008. Methodological dilemmas: Gatekeepers and positionality in Bradford. </w:t>
      </w:r>
      <w:r w:rsidRPr="00BE2C1D">
        <w:rPr>
          <w:rFonts w:cstheme="minorHAnsi"/>
          <w:i/>
          <w:iCs/>
          <w:shd w:val="clear" w:color="auto" w:fill="FFFFFF"/>
        </w:rPr>
        <w:t>Ethnic and racial studies</w:t>
      </w:r>
      <w:r w:rsidRPr="00BE2C1D">
        <w:rPr>
          <w:rFonts w:cstheme="minorHAnsi"/>
          <w:shd w:val="clear" w:color="auto" w:fill="FFFFFF"/>
        </w:rPr>
        <w:t>. </w:t>
      </w:r>
      <w:r w:rsidRPr="00BE2C1D">
        <w:rPr>
          <w:rFonts w:cstheme="minorHAnsi"/>
          <w:b/>
          <w:bCs/>
          <w:shd w:val="clear" w:color="auto" w:fill="FFFFFF"/>
        </w:rPr>
        <w:t>31</w:t>
      </w:r>
      <w:r w:rsidRPr="00BE2C1D">
        <w:rPr>
          <w:rFonts w:cstheme="minorHAnsi"/>
          <w:shd w:val="clear" w:color="auto" w:fill="FFFFFF"/>
        </w:rPr>
        <w:t>(3), 543-562.</w:t>
      </w:r>
    </w:p>
    <w:p w14:paraId="7A0D53D8" w14:textId="77777777" w:rsidR="00BE2C1D" w:rsidRPr="00BE2C1D" w:rsidRDefault="00BE2C1D" w:rsidP="00BE2C1D">
      <w:pPr>
        <w:spacing w:line="360" w:lineRule="auto"/>
        <w:rPr>
          <w:rFonts w:cstheme="minorHAnsi"/>
          <w:shd w:val="clear" w:color="auto" w:fill="FFFFFF"/>
        </w:rPr>
      </w:pPr>
      <w:r w:rsidRPr="00BE2C1D">
        <w:rPr>
          <w:rFonts w:cstheme="minorHAnsi"/>
          <w:shd w:val="clear" w:color="auto" w:fill="FFFFFF"/>
        </w:rPr>
        <w:lastRenderedPageBreak/>
        <w:t>Savanur, C.S., Altekar, C.R. and De, A., 2007. Lack of conformity between Indian classroom furniture and student dimensions: proposed future seat/table dimensions. </w:t>
      </w:r>
      <w:r w:rsidRPr="00BE2C1D">
        <w:rPr>
          <w:rFonts w:cstheme="minorHAnsi"/>
          <w:i/>
          <w:iCs/>
          <w:shd w:val="clear" w:color="auto" w:fill="FFFFFF"/>
        </w:rPr>
        <w:t>Ergonomics</w:t>
      </w:r>
      <w:r w:rsidRPr="00BE2C1D">
        <w:rPr>
          <w:rFonts w:cstheme="minorHAnsi"/>
          <w:shd w:val="clear" w:color="auto" w:fill="FFFFFF"/>
        </w:rPr>
        <w:t xml:space="preserve">. </w:t>
      </w:r>
      <w:r w:rsidRPr="00BE2C1D">
        <w:rPr>
          <w:rFonts w:cstheme="minorHAnsi"/>
          <w:b/>
          <w:bCs/>
          <w:shd w:val="clear" w:color="auto" w:fill="FFFFFF"/>
        </w:rPr>
        <w:t>50</w:t>
      </w:r>
      <w:r w:rsidRPr="00BE2C1D">
        <w:rPr>
          <w:rFonts w:cstheme="minorHAnsi"/>
          <w:shd w:val="clear" w:color="auto" w:fill="FFFFFF"/>
        </w:rPr>
        <w:t>(10), 1612-1625.</w:t>
      </w:r>
    </w:p>
    <w:p w14:paraId="6C5685E5" w14:textId="77777777" w:rsidR="00BE2C1D" w:rsidRPr="00BE2C1D" w:rsidRDefault="00BE2C1D" w:rsidP="00BE2C1D">
      <w:pPr>
        <w:spacing w:line="360" w:lineRule="auto"/>
        <w:rPr>
          <w:rFonts w:cstheme="minorHAnsi"/>
          <w:shd w:val="clear" w:color="auto" w:fill="FFFFFF"/>
        </w:rPr>
      </w:pPr>
      <w:r w:rsidRPr="00BE2C1D">
        <w:rPr>
          <w:rFonts w:cstheme="minorHAnsi"/>
          <w:shd w:val="clear" w:color="auto" w:fill="FFFFFF"/>
        </w:rPr>
        <w:t>Saylor, C.F. and Leach, J.B., 2009. Perceived bullying and social support in students accessing special inclusion programming. </w:t>
      </w:r>
      <w:r w:rsidRPr="00BE2C1D">
        <w:rPr>
          <w:rFonts w:cstheme="minorHAnsi"/>
          <w:i/>
          <w:iCs/>
          <w:shd w:val="clear" w:color="auto" w:fill="FFFFFF"/>
        </w:rPr>
        <w:t>Journal of Developmental and Physical Disabilities</w:t>
      </w:r>
      <w:r w:rsidRPr="00BE2C1D">
        <w:rPr>
          <w:rFonts w:cstheme="minorHAnsi"/>
          <w:shd w:val="clear" w:color="auto" w:fill="FFFFFF"/>
        </w:rPr>
        <w:t>. </w:t>
      </w:r>
      <w:r w:rsidRPr="00BE2C1D">
        <w:rPr>
          <w:rFonts w:cstheme="minorHAnsi"/>
          <w:b/>
          <w:bCs/>
          <w:shd w:val="clear" w:color="auto" w:fill="FFFFFF"/>
        </w:rPr>
        <w:t>21</w:t>
      </w:r>
      <w:r w:rsidRPr="00BE2C1D">
        <w:rPr>
          <w:rFonts w:cstheme="minorHAnsi"/>
          <w:shd w:val="clear" w:color="auto" w:fill="FFFFFF"/>
        </w:rPr>
        <w:t>(1), 69-80.</w:t>
      </w:r>
    </w:p>
    <w:p w14:paraId="4E5B88EB" w14:textId="77777777" w:rsidR="00BE2C1D" w:rsidRPr="00BE2C1D" w:rsidRDefault="00BE2C1D" w:rsidP="00BE2C1D">
      <w:pPr>
        <w:spacing w:line="360" w:lineRule="auto"/>
        <w:rPr>
          <w:rFonts w:cstheme="minorHAnsi"/>
          <w:shd w:val="clear" w:color="auto" w:fill="FFFFFF"/>
        </w:rPr>
      </w:pPr>
      <w:r w:rsidRPr="00BE2C1D">
        <w:rPr>
          <w:rFonts w:cstheme="minorHAnsi"/>
          <w:shd w:val="clear" w:color="auto" w:fill="FFFFFF"/>
        </w:rPr>
        <w:t>Scambler, S., 2005. Exposing the limitations of disability theory: The case of juvenile Batten disease. </w:t>
      </w:r>
      <w:r w:rsidRPr="00BE2C1D">
        <w:rPr>
          <w:rFonts w:cstheme="minorHAnsi"/>
          <w:i/>
          <w:iCs/>
          <w:shd w:val="clear" w:color="auto" w:fill="FFFFFF"/>
        </w:rPr>
        <w:t>Social Theory &amp; Health</w:t>
      </w:r>
      <w:r w:rsidRPr="00BE2C1D">
        <w:rPr>
          <w:rFonts w:cstheme="minorHAnsi"/>
          <w:shd w:val="clear" w:color="auto" w:fill="FFFFFF"/>
        </w:rPr>
        <w:t>. </w:t>
      </w:r>
      <w:r w:rsidRPr="00BE2C1D">
        <w:rPr>
          <w:rFonts w:cstheme="minorHAnsi"/>
          <w:b/>
          <w:bCs/>
          <w:shd w:val="clear" w:color="auto" w:fill="FFFFFF"/>
        </w:rPr>
        <w:t>3</w:t>
      </w:r>
      <w:r w:rsidRPr="00BE2C1D">
        <w:rPr>
          <w:rFonts w:cstheme="minorHAnsi"/>
          <w:shd w:val="clear" w:color="auto" w:fill="FFFFFF"/>
        </w:rPr>
        <w:t>(2), 144-164.</w:t>
      </w:r>
    </w:p>
    <w:p w14:paraId="28A07A69" w14:textId="77777777" w:rsidR="00BE2C1D" w:rsidRPr="00BE2C1D" w:rsidRDefault="00BE2C1D" w:rsidP="00BE2C1D">
      <w:pPr>
        <w:spacing w:line="360" w:lineRule="auto"/>
        <w:rPr>
          <w:rFonts w:cstheme="minorHAnsi"/>
          <w:shd w:val="clear" w:color="auto" w:fill="FFFFFF"/>
        </w:rPr>
      </w:pPr>
      <w:r w:rsidRPr="00BE2C1D">
        <w:rPr>
          <w:rFonts w:cstheme="minorHAnsi"/>
          <w:shd w:val="clear" w:color="auto" w:fill="FFFFFF"/>
        </w:rPr>
        <w:t>Schäfer, M., Korn, S., Smith, P.K., Hunter, S.C., Mora‐Merchán, J.A., Singer, M.M. and Van der Meulen, K., 2004. Lonely in the crowd: Recollections of bullying. </w:t>
      </w:r>
      <w:r w:rsidRPr="00BE2C1D">
        <w:rPr>
          <w:rFonts w:cstheme="minorHAnsi"/>
          <w:i/>
          <w:iCs/>
          <w:shd w:val="clear" w:color="auto" w:fill="FFFFFF"/>
        </w:rPr>
        <w:t>British Journal of Developmental Psychology</w:t>
      </w:r>
      <w:r w:rsidRPr="00BE2C1D">
        <w:rPr>
          <w:rFonts w:cstheme="minorHAnsi"/>
          <w:shd w:val="clear" w:color="auto" w:fill="FFFFFF"/>
        </w:rPr>
        <w:t>. </w:t>
      </w:r>
      <w:r w:rsidRPr="00BE2C1D">
        <w:rPr>
          <w:rFonts w:cstheme="minorHAnsi"/>
          <w:b/>
          <w:bCs/>
          <w:shd w:val="clear" w:color="auto" w:fill="FFFFFF"/>
        </w:rPr>
        <w:t>22</w:t>
      </w:r>
      <w:r w:rsidRPr="00BE2C1D">
        <w:rPr>
          <w:rFonts w:cstheme="minorHAnsi"/>
          <w:shd w:val="clear" w:color="auto" w:fill="FFFFFF"/>
        </w:rPr>
        <w:t>(3), 379-394.</w:t>
      </w:r>
    </w:p>
    <w:p w14:paraId="2F84DC39" w14:textId="77777777" w:rsidR="00BE2C1D" w:rsidRPr="00BE2C1D" w:rsidRDefault="00BE2C1D" w:rsidP="00BE2C1D">
      <w:pPr>
        <w:spacing w:line="360" w:lineRule="auto"/>
        <w:rPr>
          <w:rFonts w:cstheme="minorHAnsi"/>
          <w:shd w:val="clear" w:color="auto" w:fill="FFFFFF"/>
        </w:rPr>
      </w:pPr>
      <w:r w:rsidRPr="00BE2C1D">
        <w:rPr>
          <w:rFonts w:cstheme="minorHAnsi"/>
          <w:shd w:val="clear" w:color="auto" w:fill="FFFFFF"/>
        </w:rPr>
        <w:t>Schalk, S., 2016. Reevaluating the supercrip. </w:t>
      </w:r>
      <w:r w:rsidRPr="00BE2C1D">
        <w:rPr>
          <w:rFonts w:cstheme="minorHAnsi"/>
          <w:i/>
          <w:iCs/>
          <w:shd w:val="clear" w:color="auto" w:fill="FFFFFF"/>
        </w:rPr>
        <w:t>Journal of Literary &amp; Cultural Disability Studies</w:t>
      </w:r>
      <w:r w:rsidRPr="00BE2C1D">
        <w:rPr>
          <w:rFonts w:cstheme="minorHAnsi"/>
          <w:shd w:val="clear" w:color="auto" w:fill="FFFFFF"/>
        </w:rPr>
        <w:t>. </w:t>
      </w:r>
      <w:r w:rsidRPr="00BE2C1D">
        <w:rPr>
          <w:rFonts w:cstheme="minorHAnsi"/>
          <w:b/>
          <w:bCs/>
          <w:shd w:val="clear" w:color="auto" w:fill="FFFFFF"/>
        </w:rPr>
        <w:t>10</w:t>
      </w:r>
      <w:r w:rsidRPr="00BE2C1D">
        <w:rPr>
          <w:rFonts w:cstheme="minorHAnsi"/>
          <w:shd w:val="clear" w:color="auto" w:fill="FFFFFF"/>
        </w:rPr>
        <w:t xml:space="preserve">(1), 71-86. </w:t>
      </w:r>
    </w:p>
    <w:p w14:paraId="17013487" w14:textId="77777777" w:rsidR="00BE2C1D" w:rsidRPr="00BE2C1D" w:rsidRDefault="00BE2C1D" w:rsidP="00BE2C1D">
      <w:pPr>
        <w:spacing w:line="360" w:lineRule="auto"/>
        <w:rPr>
          <w:rFonts w:cstheme="minorHAnsi"/>
        </w:rPr>
      </w:pPr>
      <w:r w:rsidRPr="00BE2C1D">
        <w:rPr>
          <w:rFonts w:cstheme="minorHAnsi"/>
          <w:shd w:val="clear" w:color="auto" w:fill="FFFFFF"/>
        </w:rPr>
        <w:t>Schalk, S., 2017. Critical disability studies as methodology. </w:t>
      </w:r>
      <w:r w:rsidRPr="00BE2C1D">
        <w:rPr>
          <w:rFonts w:cstheme="minorHAnsi"/>
          <w:i/>
          <w:iCs/>
          <w:shd w:val="clear" w:color="auto" w:fill="FFFFFF"/>
        </w:rPr>
        <w:t>Lateral</w:t>
      </w:r>
      <w:r w:rsidRPr="00BE2C1D">
        <w:rPr>
          <w:rFonts w:cstheme="minorHAnsi"/>
          <w:shd w:val="clear" w:color="auto" w:fill="FFFFFF"/>
        </w:rPr>
        <w:t>. </w:t>
      </w:r>
      <w:r w:rsidRPr="00BE2C1D">
        <w:rPr>
          <w:rFonts w:cstheme="minorHAnsi"/>
          <w:b/>
          <w:bCs/>
          <w:shd w:val="clear" w:color="auto" w:fill="FFFFFF"/>
        </w:rPr>
        <w:t>6(</w:t>
      </w:r>
      <w:r w:rsidRPr="00BE2C1D">
        <w:rPr>
          <w:rFonts w:cstheme="minorHAnsi"/>
          <w:shd w:val="clear" w:color="auto" w:fill="FFFFFF"/>
        </w:rPr>
        <w:t>1), n.p</w:t>
      </w:r>
    </w:p>
    <w:p w14:paraId="2448CCE7" w14:textId="77777777" w:rsidR="00BE2C1D" w:rsidRPr="00BE2C1D" w:rsidRDefault="00BE2C1D" w:rsidP="00BE2C1D">
      <w:pPr>
        <w:spacing w:line="360" w:lineRule="auto"/>
        <w:jc w:val="both"/>
        <w:rPr>
          <w:rFonts w:cstheme="minorHAnsi"/>
          <w:shd w:val="clear" w:color="auto" w:fill="FFFFFF"/>
        </w:rPr>
      </w:pPr>
      <w:r w:rsidRPr="00BE2C1D">
        <w:rPr>
          <w:rFonts w:cstheme="minorHAnsi"/>
          <w:shd w:val="clear" w:color="auto" w:fill="FFFFFF"/>
        </w:rPr>
        <w:t>Schanke, A.K. and Thorsen, K., 2014. A life-course perspective on stigma-handling: resilience in persons of restricted growth narrated in life histories. </w:t>
      </w:r>
      <w:r w:rsidRPr="00BE2C1D">
        <w:rPr>
          <w:rFonts w:cstheme="minorHAnsi"/>
          <w:i/>
          <w:iCs/>
          <w:shd w:val="clear" w:color="auto" w:fill="FFFFFF"/>
        </w:rPr>
        <w:t>Disability and rehabilitation</w:t>
      </w:r>
      <w:r w:rsidRPr="00BE2C1D">
        <w:rPr>
          <w:rFonts w:cstheme="minorHAnsi"/>
          <w:shd w:val="clear" w:color="auto" w:fill="FFFFFF"/>
        </w:rPr>
        <w:t>. </w:t>
      </w:r>
      <w:r w:rsidRPr="00BE2C1D">
        <w:rPr>
          <w:rFonts w:cstheme="minorHAnsi"/>
          <w:b/>
          <w:bCs/>
          <w:shd w:val="clear" w:color="auto" w:fill="FFFFFF"/>
        </w:rPr>
        <w:t>36</w:t>
      </w:r>
      <w:r w:rsidRPr="00BE2C1D">
        <w:rPr>
          <w:rFonts w:cstheme="minorHAnsi"/>
          <w:shd w:val="clear" w:color="auto" w:fill="FFFFFF"/>
        </w:rPr>
        <w:t>(17), 1464-1473.</w:t>
      </w:r>
    </w:p>
    <w:p w14:paraId="17E973B1" w14:textId="77777777" w:rsidR="00BE2C1D" w:rsidRPr="00BE2C1D" w:rsidRDefault="00BE2C1D" w:rsidP="00BE2C1D">
      <w:pPr>
        <w:spacing w:line="360" w:lineRule="auto"/>
        <w:jc w:val="both"/>
        <w:rPr>
          <w:rFonts w:cstheme="minorHAnsi"/>
        </w:rPr>
      </w:pPr>
      <w:r w:rsidRPr="00BE2C1D">
        <w:rPr>
          <w:rFonts w:cstheme="minorHAnsi"/>
        </w:rPr>
        <w:t xml:space="preserve">Scheurich, J., 1995. A postmodernist critique of research interviewing. </w:t>
      </w:r>
      <w:r w:rsidRPr="00BE2C1D">
        <w:rPr>
          <w:rFonts w:cstheme="minorHAnsi"/>
          <w:i/>
          <w:iCs/>
        </w:rPr>
        <w:t>International Journal of Qualitative Studies in Education</w:t>
      </w:r>
      <w:r w:rsidRPr="00BE2C1D">
        <w:rPr>
          <w:rFonts w:cstheme="minorHAnsi"/>
        </w:rPr>
        <w:t xml:space="preserve">. </w:t>
      </w:r>
      <w:r w:rsidRPr="00BE2C1D">
        <w:rPr>
          <w:rFonts w:cstheme="minorHAnsi"/>
          <w:b/>
          <w:bCs/>
        </w:rPr>
        <w:t>8</w:t>
      </w:r>
      <w:r w:rsidRPr="00BE2C1D">
        <w:rPr>
          <w:rFonts w:cstheme="minorHAnsi"/>
        </w:rPr>
        <w:t>(3), 239-252.</w:t>
      </w:r>
    </w:p>
    <w:p w14:paraId="7208027F" w14:textId="77777777" w:rsidR="00BE2C1D" w:rsidRPr="00BE2C1D" w:rsidRDefault="00BE2C1D" w:rsidP="00BE2C1D">
      <w:pPr>
        <w:spacing w:line="360" w:lineRule="auto"/>
        <w:jc w:val="both"/>
        <w:rPr>
          <w:rFonts w:cstheme="minorHAnsi"/>
          <w:lang w:val="en-US"/>
        </w:rPr>
      </w:pPr>
      <w:r w:rsidRPr="00BE2C1D">
        <w:rPr>
          <w:rFonts w:cstheme="minorHAnsi"/>
          <w:lang w:val="en-US"/>
        </w:rPr>
        <w:t xml:space="preserve">Scott, J. A., 2013. Problematizing a Researcher’s Performance of “Insider Status” An autoethnography of “Designer Disabled” Identity. </w:t>
      </w:r>
      <w:r w:rsidRPr="00BE2C1D">
        <w:rPr>
          <w:rFonts w:cstheme="minorHAnsi"/>
          <w:i/>
          <w:iCs/>
          <w:lang w:val="en-US"/>
        </w:rPr>
        <w:t>Qualitative Inquiry</w:t>
      </w:r>
      <w:r w:rsidRPr="00BE2C1D">
        <w:rPr>
          <w:rFonts w:cstheme="minorHAnsi"/>
          <w:lang w:val="en-US"/>
        </w:rPr>
        <w:t xml:space="preserve">. </w:t>
      </w:r>
      <w:r w:rsidRPr="00BE2C1D">
        <w:rPr>
          <w:rFonts w:cstheme="minorHAnsi"/>
          <w:b/>
          <w:bCs/>
          <w:lang w:val="en-US"/>
        </w:rPr>
        <w:t>19</w:t>
      </w:r>
      <w:r w:rsidRPr="00BE2C1D">
        <w:rPr>
          <w:rFonts w:cstheme="minorHAnsi"/>
          <w:lang w:val="en-US"/>
        </w:rPr>
        <w:t xml:space="preserve">(2), 101-115. </w:t>
      </w:r>
    </w:p>
    <w:p w14:paraId="3854C0FE" w14:textId="77777777" w:rsidR="00BE2C1D" w:rsidRPr="00BE2C1D" w:rsidRDefault="00BE2C1D" w:rsidP="00BE2C1D">
      <w:pPr>
        <w:spacing w:line="360" w:lineRule="auto"/>
        <w:jc w:val="both"/>
        <w:rPr>
          <w:rFonts w:cstheme="minorHAnsi"/>
          <w:shd w:val="clear" w:color="auto" w:fill="FFFFFF"/>
        </w:rPr>
      </w:pPr>
      <w:r w:rsidRPr="00BE2C1D">
        <w:rPr>
          <w:rFonts w:cstheme="minorHAnsi"/>
          <w:shd w:val="clear" w:color="auto" w:fill="FFFFFF"/>
        </w:rPr>
        <w:t>Scott, J.W., 1991. The evidence of experience. </w:t>
      </w:r>
      <w:r w:rsidRPr="00BE2C1D">
        <w:rPr>
          <w:rFonts w:cstheme="minorHAnsi"/>
          <w:i/>
          <w:iCs/>
          <w:shd w:val="clear" w:color="auto" w:fill="FFFFFF"/>
        </w:rPr>
        <w:t>Critical inquiry</w:t>
      </w:r>
      <w:r w:rsidRPr="00BE2C1D">
        <w:rPr>
          <w:rFonts w:cstheme="minorHAnsi"/>
          <w:shd w:val="clear" w:color="auto" w:fill="FFFFFF"/>
        </w:rPr>
        <w:t>. </w:t>
      </w:r>
      <w:r w:rsidRPr="00BE2C1D">
        <w:rPr>
          <w:rFonts w:cstheme="minorHAnsi"/>
          <w:b/>
          <w:bCs/>
          <w:shd w:val="clear" w:color="auto" w:fill="FFFFFF"/>
        </w:rPr>
        <w:t>17</w:t>
      </w:r>
      <w:r w:rsidRPr="00BE2C1D">
        <w:rPr>
          <w:rFonts w:cstheme="minorHAnsi"/>
          <w:shd w:val="clear" w:color="auto" w:fill="FFFFFF"/>
        </w:rPr>
        <w:t>(4), 773-797.</w:t>
      </w:r>
    </w:p>
    <w:p w14:paraId="267C97AF" w14:textId="77777777" w:rsidR="00BE2C1D" w:rsidRPr="00BE2C1D" w:rsidRDefault="00BE2C1D" w:rsidP="00BE2C1D">
      <w:pPr>
        <w:spacing w:line="360" w:lineRule="auto"/>
        <w:rPr>
          <w:rFonts w:cstheme="minorHAnsi"/>
          <w:shd w:val="clear" w:color="auto" w:fill="FFFFFF"/>
        </w:rPr>
      </w:pPr>
      <w:r w:rsidRPr="00BE2C1D">
        <w:rPr>
          <w:rFonts w:cstheme="minorHAnsi"/>
          <w:shd w:val="clear" w:color="auto" w:fill="FFFFFF"/>
        </w:rPr>
        <w:t>Scully, J.L., 2010. Hidden labor: Disabled/nondisabled encounters, agency, and autonomy. </w:t>
      </w:r>
      <w:r w:rsidRPr="00BE2C1D">
        <w:rPr>
          <w:rFonts w:cstheme="minorHAnsi"/>
          <w:i/>
          <w:iCs/>
          <w:shd w:val="clear" w:color="auto" w:fill="FFFFFF"/>
        </w:rPr>
        <w:t>IJFAB: International Journal of Feminist Approaches to Bioethics</w:t>
      </w:r>
      <w:r w:rsidRPr="00BE2C1D">
        <w:rPr>
          <w:rFonts w:cstheme="minorHAnsi"/>
          <w:shd w:val="clear" w:color="auto" w:fill="FFFFFF"/>
        </w:rPr>
        <w:t>. </w:t>
      </w:r>
      <w:r w:rsidRPr="00BE2C1D">
        <w:rPr>
          <w:rFonts w:cstheme="minorHAnsi"/>
          <w:b/>
          <w:bCs/>
          <w:shd w:val="clear" w:color="auto" w:fill="FFFFFF"/>
        </w:rPr>
        <w:t>3</w:t>
      </w:r>
      <w:r w:rsidRPr="00BE2C1D">
        <w:rPr>
          <w:rFonts w:cstheme="minorHAnsi"/>
          <w:shd w:val="clear" w:color="auto" w:fill="FFFFFF"/>
        </w:rPr>
        <w:t>(2), 25-42.</w:t>
      </w:r>
    </w:p>
    <w:p w14:paraId="14D3CC06" w14:textId="77777777" w:rsidR="00BE2C1D" w:rsidRPr="00BE2C1D" w:rsidRDefault="00BE2C1D" w:rsidP="00BE2C1D">
      <w:pPr>
        <w:spacing w:line="360" w:lineRule="auto"/>
        <w:jc w:val="both"/>
        <w:rPr>
          <w:rFonts w:cstheme="minorHAnsi"/>
          <w:shd w:val="clear" w:color="auto" w:fill="FFFFFF"/>
        </w:rPr>
      </w:pPr>
      <w:r w:rsidRPr="00BE2C1D">
        <w:rPr>
          <w:rFonts w:cstheme="minorHAnsi"/>
          <w:shd w:val="clear" w:color="auto" w:fill="FFFFFF"/>
        </w:rPr>
        <w:t>Schutz, A. (1973). Collected Papers I: The Problem of Social Reality. The Hague: Martinus Nijoff.</w:t>
      </w:r>
    </w:p>
    <w:p w14:paraId="1C46C58B" w14:textId="77777777" w:rsidR="00BE2C1D" w:rsidRPr="00BE2C1D" w:rsidRDefault="00BE2C1D" w:rsidP="00BE2C1D">
      <w:pPr>
        <w:spacing w:line="360" w:lineRule="auto"/>
        <w:jc w:val="both"/>
        <w:rPr>
          <w:rFonts w:cstheme="minorHAnsi"/>
          <w:shd w:val="clear" w:color="auto" w:fill="FFFFFF"/>
        </w:rPr>
      </w:pPr>
      <w:r w:rsidRPr="00BE2C1D">
        <w:rPr>
          <w:rFonts w:cstheme="minorHAnsi"/>
          <w:shd w:val="clear" w:color="auto" w:fill="FFFFFF"/>
        </w:rPr>
        <w:t>Seitz, S., 2016. Pixilated partnerships, overcoming obstacles in qualitative interviews via Skype: A research note. </w:t>
      </w:r>
      <w:r w:rsidRPr="00BE2C1D">
        <w:rPr>
          <w:rFonts w:cstheme="minorHAnsi"/>
          <w:i/>
          <w:iCs/>
          <w:shd w:val="clear" w:color="auto" w:fill="FFFFFF"/>
        </w:rPr>
        <w:t>Qualitative Research</w:t>
      </w:r>
      <w:r w:rsidRPr="00BE2C1D">
        <w:rPr>
          <w:rFonts w:cstheme="minorHAnsi"/>
          <w:shd w:val="clear" w:color="auto" w:fill="FFFFFF"/>
        </w:rPr>
        <w:t xml:space="preserve">. </w:t>
      </w:r>
      <w:r w:rsidRPr="00BE2C1D">
        <w:rPr>
          <w:rFonts w:cstheme="minorHAnsi"/>
          <w:b/>
          <w:bCs/>
          <w:shd w:val="clear" w:color="auto" w:fill="FFFFFF"/>
        </w:rPr>
        <w:t>16</w:t>
      </w:r>
      <w:r w:rsidRPr="00BE2C1D">
        <w:rPr>
          <w:rFonts w:cstheme="minorHAnsi"/>
          <w:shd w:val="clear" w:color="auto" w:fill="FFFFFF"/>
        </w:rPr>
        <w:t>(2), 229-235.</w:t>
      </w:r>
    </w:p>
    <w:p w14:paraId="62152449" w14:textId="77777777" w:rsidR="00BE2C1D" w:rsidRPr="00BE2C1D" w:rsidRDefault="00BE2C1D" w:rsidP="00BE2C1D">
      <w:pPr>
        <w:spacing w:line="360" w:lineRule="auto"/>
        <w:rPr>
          <w:rFonts w:cstheme="minorHAnsi"/>
          <w:shd w:val="clear" w:color="auto" w:fill="FFFFFF"/>
        </w:rPr>
      </w:pPr>
      <w:r w:rsidRPr="00BE2C1D">
        <w:rPr>
          <w:rFonts w:cstheme="minorHAnsi"/>
          <w:shd w:val="clear" w:color="auto" w:fill="FFFFFF"/>
        </w:rPr>
        <w:t>Sercombe, H. and Donnelly, B., 2013. Bullying and agency: Definition, intervention and ethics. </w:t>
      </w:r>
      <w:r w:rsidRPr="00BE2C1D">
        <w:rPr>
          <w:rFonts w:cstheme="minorHAnsi"/>
          <w:i/>
          <w:iCs/>
          <w:shd w:val="clear" w:color="auto" w:fill="FFFFFF"/>
        </w:rPr>
        <w:t>Journal of Youth Studies</w:t>
      </w:r>
      <w:r w:rsidRPr="00BE2C1D">
        <w:rPr>
          <w:rFonts w:cstheme="minorHAnsi"/>
          <w:shd w:val="clear" w:color="auto" w:fill="FFFFFF"/>
        </w:rPr>
        <w:t>. </w:t>
      </w:r>
      <w:r w:rsidRPr="00BE2C1D">
        <w:rPr>
          <w:rFonts w:cstheme="minorHAnsi"/>
          <w:b/>
          <w:bCs/>
          <w:shd w:val="clear" w:color="auto" w:fill="FFFFFF"/>
        </w:rPr>
        <w:t>16</w:t>
      </w:r>
      <w:r w:rsidRPr="00BE2C1D">
        <w:rPr>
          <w:rFonts w:cstheme="minorHAnsi"/>
          <w:shd w:val="clear" w:color="auto" w:fill="FFFFFF"/>
        </w:rPr>
        <w:t>(4), 491-502.</w:t>
      </w:r>
    </w:p>
    <w:p w14:paraId="601DE699" w14:textId="77777777" w:rsidR="00BE2C1D" w:rsidRPr="00BE2C1D" w:rsidRDefault="00BE2C1D" w:rsidP="00BE2C1D">
      <w:pPr>
        <w:spacing w:line="360" w:lineRule="auto"/>
        <w:jc w:val="both"/>
        <w:rPr>
          <w:rFonts w:cstheme="minorHAnsi"/>
          <w:lang w:val="en-US"/>
        </w:rPr>
      </w:pPr>
      <w:r w:rsidRPr="00BE2C1D">
        <w:rPr>
          <w:rFonts w:cstheme="minorHAnsi"/>
          <w:lang w:val="en-US"/>
        </w:rPr>
        <w:t xml:space="preserve">Seymour WS. 2001. In the flesh or online? Exploring qualitative research methodologies Qualitative Research. </w:t>
      </w:r>
      <w:r w:rsidRPr="00BE2C1D">
        <w:rPr>
          <w:rFonts w:cstheme="minorHAnsi"/>
          <w:b/>
          <w:bCs/>
          <w:lang w:val="en-US"/>
        </w:rPr>
        <w:t>1</w:t>
      </w:r>
      <w:r w:rsidRPr="00BE2C1D">
        <w:rPr>
          <w:rFonts w:cstheme="minorHAnsi"/>
          <w:lang w:val="en-US"/>
        </w:rPr>
        <w:t>, 147–168.</w:t>
      </w:r>
    </w:p>
    <w:p w14:paraId="762472DD" w14:textId="77777777" w:rsidR="00BE2C1D" w:rsidRPr="00BE2C1D" w:rsidRDefault="00BE2C1D" w:rsidP="00BE2C1D">
      <w:pPr>
        <w:spacing w:line="360" w:lineRule="auto"/>
        <w:rPr>
          <w:rFonts w:cstheme="minorHAnsi"/>
          <w:shd w:val="clear" w:color="auto" w:fill="FFFFFF"/>
        </w:rPr>
      </w:pPr>
      <w:r w:rsidRPr="00BE2C1D">
        <w:rPr>
          <w:rFonts w:cstheme="minorHAnsi"/>
          <w:shd w:val="clear" w:color="auto" w:fill="FFFFFF"/>
        </w:rPr>
        <w:lastRenderedPageBreak/>
        <w:t>Shaghaghi, A., Bhopal, R.S. and Sheikh, A., 2011. Approaches to recruiting ‘hard-to-reach’ populations into research: a review of the literature. </w:t>
      </w:r>
      <w:r w:rsidRPr="00BE2C1D">
        <w:rPr>
          <w:rFonts w:cstheme="minorHAnsi"/>
          <w:i/>
          <w:iCs/>
          <w:shd w:val="clear" w:color="auto" w:fill="FFFFFF"/>
        </w:rPr>
        <w:t>Health promotion perspectives</w:t>
      </w:r>
      <w:r w:rsidRPr="00BE2C1D">
        <w:rPr>
          <w:rFonts w:cstheme="minorHAnsi"/>
          <w:shd w:val="clear" w:color="auto" w:fill="FFFFFF"/>
        </w:rPr>
        <w:t>. </w:t>
      </w:r>
      <w:r w:rsidRPr="00BE2C1D">
        <w:rPr>
          <w:rFonts w:cstheme="minorHAnsi"/>
          <w:b/>
          <w:bCs/>
          <w:shd w:val="clear" w:color="auto" w:fill="FFFFFF"/>
        </w:rPr>
        <w:t>1</w:t>
      </w:r>
      <w:r w:rsidRPr="00BE2C1D">
        <w:rPr>
          <w:rFonts w:cstheme="minorHAnsi"/>
          <w:shd w:val="clear" w:color="auto" w:fill="FFFFFF"/>
        </w:rPr>
        <w:t>(2), 86-94.</w:t>
      </w:r>
    </w:p>
    <w:p w14:paraId="6F578F14" w14:textId="77777777" w:rsidR="00BE2C1D" w:rsidRPr="00BE2C1D" w:rsidRDefault="00BE2C1D" w:rsidP="00BE2C1D">
      <w:pPr>
        <w:spacing w:line="360" w:lineRule="auto"/>
        <w:rPr>
          <w:rFonts w:cstheme="minorHAnsi"/>
          <w:shd w:val="clear" w:color="auto" w:fill="FFFFFF"/>
        </w:rPr>
      </w:pPr>
      <w:r w:rsidRPr="00BE2C1D">
        <w:rPr>
          <w:rFonts w:cstheme="minorHAnsi"/>
          <w:shd w:val="clear" w:color="auto" w:fill="FFFFFF"/>
        </w:rPr>
        <w:t>Shakespeare, T., 1994. Cultural representation of disabled people: dustbins for disavowal?. </w:t>
      </w:r>
      <w:r w:rsidRPr="00BE2C1D">
        <w:rPr>
          <w:rFonts w:cstheme="minorHAnsi"/>
          <w:i/>
          <w:iCs/>
          <w:shd w:val="clear" w:color="auto" w:fill="FFFFFF"/>
        </w:rPr>
        <w:t>Disability &amp; Society</w:t>
      </w:r>
      <w:r w:rsidRPr="00BE2C1D">
        <w:rPr>
          <w:rFonts w:cstheme="minorHAnsi"/>
          <w:shd w:val="clear" w:color="auto" w:fill="FFFFFF"/>
        </w:rPr>
        <w:t>. </w:t>
      </w:r>
      <w:r w:rsidRPr="00BE2C1D">
        <w:rPr>
          <w:rFonts w:cstheme="minorHAnsi"/>
          <w:b/>
          <w:bCs/>
          <w:shd w:val="clear" w:color="auto" w:fill="FFFFFF"/>
        </w:rPr>
        <w:t>9</w:t>
      </w:r>
      <w:r w:rsidRPr="00BE2C1D">
        <w:rPr>
          <w:rFonts w:cstheme="minorHAnsi"/>
          <w:shd w:val="clear" w:color="auto" w:fill="FFFFFF"/>
        </w:rPr>
        <w:t>(3), 283-299.</w:t>
      </w:r>
    </w:p>
    <w:p w14:paraId="0D18E9C8" w14:textId="77777777" w:rsidR="00BE2C1D" w:rsidRPr="00BE2C1D" w:rsidRDefault="00BE2C1D" w:rsidP="00BE2C1D">
      <w:pPr>
        <w:spacing w:line="360" w:lineRule="auto"/>
        <w:rPr>
          <w:rFonts w:cstheme="minorHAnsi"/>
          <w:shd w:val="clear" w:color="auto" w:fill="FFFFFF"/>
        </w:rPr>
      </w:pPr>
      <w:r w:rsidRPr="00BE2C1D">
        <w:rPr>
          <w:rFonts w:cstheme="minorHAnsi"/>
        </w:rPr>
        <w:t>Shakespeare, T. (2014). </w:t>
      </w:r>
      <w:r w:rsidRPr="00BE2C1D">
        <w:rPr>
          <w:rFonts w:cstheme="minorHAnsi"/>
          <w:i/>
          <w:iCs/>
        </w:rPr>
        <w:t>Disability Right and Wrongs Revisited</w:t>
      </w:r>
      <w:r w:rsidRPr="00BE2C1D">
        <w:rPr>
          <w:rFonts w:cstheme="minorHAnsi"/>
        </w:rPr>
        <w:t>. London: Routledge.</w:t>
      </w:r>
    </w:p>
    <w:p w14:paraId="0FCD4658" w14:textId="77777777" w:rsidR="00BE2C1D" w:rsidRPr="00BE2C1D" w:rsidRDefault="00BE2C1D" w:rsidP="00BE2C1D">
      <w:pPr>
        <w:spacing w:line="360" w:lineRule="auto"/>
        <w:rPr>
          <w:rFonts w:cstheme="minorHAnsi"/>
          <w:shd w:val="clear" w:color="auto" w:fill="FFFFFF"/>
        </w:rPr>
      </w:pPr>
      <w:r w:rsidRPr="00BE2C1D">
        <w:rPr>
          <w:rFonts w:cstheme="minorHAnsi"/>
          <w:shd w:val="clear" w:color="auto" w:fill="FFFFFF"/>
        </w:rPr>
        <w:t>Shakespeare, T., Thompson, S. and Wright, M., 2010. No laughing matter: medical and social experiences of restricted growth. </w:t>
      </w:r>
      <w:r w:rsidRPr="00BE2C1D">
        <w:rPr>
          <w:rFonts w:cstheme="minorHAnsi"/>
          <w:i/>
          <w:iCs/>
          <w:shd w:val="clear" w:color="auto" w:fill="FFFFFF"/>
        </w:rPr>
        <w:t>Scandinavian Journal of Disability Research</w:t>
      </w:r>
      <w:r w:rsidRPr="00BE2C1D">
        <w:rPr>
          <w:rFonts w:cstheme="minorHAnsi"/>
          <w:shd w:val="clear" w:color="auto" w:fill="FFFFFF"/>
        </w:rPr>
        <w:t>. </w:t>
      </w:r>
      <w:r w:rsidRPr="00BE2C1D">
        <w:rPr>
          <w:rFonts w:cstheme="minorHAnsi"/>
          <w:b/>
          <w:bCs/>
          <w:shd w:val="clear" w:color="auto" w:fill="FFFFFF"/>
        </w:rPr>
        <w:t>12</w:t>
      </w:r>
      <w:r w:rsidRPr="00BE2C1D">
        <w:rPr>
          <w:rFonts w:cstheme="minorHAnsi"/>
          <w:shd w:val="clear" w:color="auto" w:fill="FFFFFF"/>
        </w:rPr>
        <w:t>(1), 19-31.</w:t>
      </w:r>
    </w:p>
    <w:p w14:paraId="511069A5" w14:textId="77777777" w:rsidR="00BE2C1D" w:rsidRPr="00BE2C1D" w:rsidRDefault="00BE2C1D" w:rsidP="00BE2C1D">
      <w:pPr>
        <w:spacing w:line="360" w:lineRule="auto"/>
        <w:jc w:val="both"/>
        <w:rPr>
          <w:shd w:val="clear" w:color="auto" w:fill="FFFFFF"/>
        </w:rPr>
      </w:pPr>
      <w:r w:rsidRPr="00BE2C1D">
        <w:rPr>
          <w:shd w:val="clear" w:color="auto" w:fill="FCFCFC"/>
        </w:rPr>
        <w:t>Shakespeare, T., and Watson, N., (1998). Theoretical perspectives on research with disabled children. In: C. Robinson and K. Stalker, eds., </w:t>
      </w:r>
      <w:r w:rsidRPr="00BE2C1D">
        <w:rPr>
          <w:i/>
          <w:iCs/>
          <w:shd w:val="clear" w:color="auto" w:fill="FCFCFC"/>
        </w:rPr>
        <w:t>Growing up with disability</w:t>
      </w:r>
      <w:r w:rsidRPr="00BE2C1D">
        <w:rPr>
          <w:shd w:val="clear" w:color="auto" w:fill="FCFCFC"/>
        </w:rPr>
        <w:t>. London: Jessica Kingsley. pp. 13–28.</w:t>
      </w:r>
    </w:p>
    <w:p w14:paraId="7DB1CA4F" w14:textId="77777777" w:rsidR="00BE2C1D" w:rsidRPr="00BE2C1D" w:rsidRDefault="00BE2C1D" w:rsidP="00BE2C1D">
      <w:pPr>
        <w:spacing w:line="360" w:lineRule="auto"/>
        <w:rPr>
          <w:rFonts w:cstheme="minorHAnsi"/>
        </w:rPr>
      </w:pPr>
      <w:r w:rsidRPr="00BE2C1D">
        <w:rPr>
          <w:rFonts w:cstheme="minorHAnsi"/>
          <w:shd w:val="clear" w:color="auto" w:fill="FFFFFF"/>
        </w:rPr>
        <w:t>Shakespeare, T. and Watson, N., 2001. The social model of disability: An outdated ideology. </w:t>
      </w:r>
      <w:r w:rsidRPr="00BE2C1D">
        <w:rPr>
          <w:rFonts w:cstheme="minorHAnsi"/>
          <w:i/>
          <w:iCs/>
          <w:shd w:val="clear" w:color="auto" w:fill="FFFFFF"/>
        </w:rPr>
        <w:t>Research in social science and disability</w:t>
      </w:r>
      <w:r w:rsidRPr="00BE2C1D">
        <w:rPr>
          <w:rFonts w:cstheme="minorHAnsi"/>
          <w:shd w:val="clear" w:color="auto" w:fill="FFFFFF"/>
        </w:rPr>
        <w:t>. </w:t>
      </w:r>
      <w:r w:rsidRPr="00BE2C1D">
        <w:rPr>
          <w:rFonts w:cstheme="minorHAnsi"/>
          <w:b/>
          <w:bCs/>
          <w:shd w:val="clear" w:color="auto" w:fill="FFFFFF"/>
        </w:rPr>
        <w:t>2</w:t>
      </w:r>
      <w:r w:rsidRPr="00BE2C1D">
        <w:rPr>
          <w:rFonts w:cstheme="minorHAnsi"/>
          <w:shd w:val="clear" w:color="auto" w:fill="FFFFFF"/>
        </w:rPr>
        <w:t>(1), 9-28.</w:t>
      </w:r>
    </w:p>
    <w:p w14:paraId="28AB4411" w14:textId="77777777" w:rsidR="00BE2C1D" w:rsidRPr="00BE2C1D" w:rsidRDefault="00BE2C1D" w:rsidP="00BE2C1D">
      <w:pPr>
        <w:spacing w:line="360" w:lineRule="auto"/>
        <w:rPr>
          <w:rFonts w:cstheme="minorHAnsi"/>
          <w:shd w:val="clear" w:color="auto" w:fill="FFFFFF"/>
        </w:rPr>
      </w:pPr>
      <w:r w:rsidRPr="00BE2C1D">
        <w:rPr>
          <w:rFonts w:cstheme="minorHAnsi"/>
          <w:shd w:val="clear" w:color="auto" w:fill="FFFFFF"/>
        </w:rPr>
        <w:t>Shakespeare, T. and Watson, N., 2010. Beyond models: understanding the complexity of disabled people’s lives. In: G. Scambler, S. Scambler, eds. </w:t>
      </w:r>
      <w:r w:rsidRPr="00BE2C1D">
        <w:rPr>
          <w:rFonts w:cstheme="minorHAnsi"/>
          <w:i/>
          <w:iCs/>
          <w:shd w:val="clear" w:color="auto" w:fill="FFFFFF"/>
        </w:rPr>
        <w:t>New directions in the sociology of chronic and disabling conditions</w:t>
      </w:r>
      <w:r w:rsidRPr="00BE2C1D">
        <w:rPr>
          <w:rFonts w:cstheme="minorHAnsi"/>
          <w:shd w:val="clear" w:color="auto" w:fill="FFFFFF"/>
        </w:rPr>
        <w:t>. Palgrave Macmillan, London. pp. 57-76.</w:t>
      </w:r>
    </w:p>
    <w:p w14:paraId="4D5F1452" w14:textId="77777777" w:rsidR="00BE2C1D" w:rsidRPr="00BE2C1D" w:rsidRDefault="00BE2C1D" w:rsidP="00BE2C1D">
      <w:pPr>
        <w:spacing w:line="360" w:lineRule="auto"/>
        <w:rPr>
          <w:rFonts w:cstheme="minorHAnsi"/>
          <w:shd w:val="clear" w:color="auto" w:fill="FFFFFF"/>
        </w:rPr>
      </w:pPr>
      <w:r w:rsidRPr="00BE2C1D">
        <w:rPr>
          <w:rFonts w:cstheme="minorHAnsi"/>
        </w:rPr>
        <w:t>Shakespeare, T., Watson, N., Cunningham‐Burley, S. and Barnes, C. 1999. </w:t>
      </w:r>
      <w:r w:rsidRPr="00BE2C1D">
        <w:rPr>
          <w:rFonts w:cstheme="minorHAnsi"/>
          <w:i/>
          <w:iCs/>
        </w:rPr>
        <w:t xml:space="preserve">Life as a disabled child: A qualitative study of young people's experiences and perspectives Available at: </w:t>
      </w:r>
      <w:r w:rsidRPr="00BE2C1D">
        <w:rPr>
          <w:rFonts w:cstheme="minorHAnsi"/>
        </w:rPr>
        <w:t> </w:t>
      </w:r>
      <w:hyperlink r:id="rId27" w:tgtFrame="_blank" w:history="1">
        <w:r w:rsidRPr="00BE2C1D">
          <w:rPr>
            <w:rFonts w:cstheme="minorHAnsi"/>
            <w:u w:val="single"/>
          </w:rPr>
          <w:t>http://www.esrcsocietytoday.ac.uk/ESRCInfoCentre/ViewOutputPage.aspx?data=z8HSvl3fWwVY2sDo4JNP8iOLJQdQnq85gWScqW%2fOpI2%2b5YiUw2%2bKJTJyRuKMeMICf1</w:t>
        </w:r>
      </w:hyperlink>
    </w:p>
    <w:p w14:paraId="539B66F4" w14:textId="77777777" w:rsidR="00BE2C1D" w:rsidRPr="00BE2C1D" w:rsidRDefault="00BE2C1D" w:rsidP="00BE2C1D">
      <w:pPr>
        <w:spacing w:line="360" w:lineRule="auto"/>
        <w:rPr>
          <w:rFonts w:cstheme="minorHAnsi"/>
        </w:rPr>
      </w:pPr>
      <w:r w:rsidRPr="00BE2C1D">
        <w:rPr>
          <w:rFonts w:cstheme="minorHAnsi"/>
          <w:spacing w:val="-8"/>
          <w:shd w:val="clear" w:color="auto" w:fill="FFFFFF"/>
        </w:rPr>
        <w:t>Shakespeare, T., Wright, M., and Thompson, S., (2007). </w:t>
      </w:r>
      <w:r w:rsidRPr="00BE2C1D">
        <w:rPr>
          <w:rFonts w:cstheme="minorHAnsi"/>
          <w:i/>
          <w:iCs/>
          <w:spacing w:val="-8"/>
          <w:bdr w:val="none" w:sz="0" w:space="0" w:color="auto" w:frame="1"/>
          <w:shd w:val="clear" w:color="auto" w:fill="FFFFFF"/>
        </w:rPr>
        <w:t>A Small Matter of Equality: Living with Restricted Growth</w:t>
      </w:r>
      <w:r w:rsidRPr="00BE2C1D">
        <w:rPr>
          <w:rFonts w:cstheme="minorHAnsi"/>
          <w:spacing w:val="-8"/>
          <w:shd w:val="clear" w:color="auto" w:fill="FFFFFF"/>
        </w:rPr>
        <w:t>. </w:t>
      </w:r>
      <w:r w:rsidRPr="00BE2C1D">
        <w:rPr>
          <w:rFonts w:cstheme="minorHAnsi"/>
          <w:spacing w:val="-8"/>
          <w:bdr w:val="none" w:sz="0" w:space="0" w:color="auto" w:frame="1"/>
          <w:shd w:val="clear" w:color="auto" w:fill="FFFFFF"/>
        </w:rPr>
        <w:t>Newcastle</w:t>
      </w:r>
      <w:r w:rsidRPr="00BE2C1D">
        <w:rPr>
          <w:rFonts w:cstheme="minorHAnsi"/>
          <w:spacing w:val="-8"/>
          <w:shd w:val="clear" w:color="auto" w:fill="FFFFFF"/>
        </w:rPr>
        <w:t>: Newcastle University.</w:t>
      </w:r>
    </w:p>
    <w:p w14:paraId="0BC97E54" w14:textId="77777777" w:rsidR="00BE2C1D" w:rsidRPr="00BE2C1D" w:rsidRDefault="00BE2C1D" w:rsidP="00BE2C1D">
      <w:pPr>
        <w:spacing w:line="360" w:lineRule="auto"/>
        <w:rPr>
          <w:rFonts w:cstheme="minorHAnsi"/>
          <w:shd w:val="clear" w:color="auto" w:fill="FFFFFF"/>
        </w:rPr>
      </w:pPr>
      <w:r w:rsidRPr="00BE2C1D">
        <w:rPr>
          <w:rFonts w:cstheme="minorHAnsi"/>
        </w:rPr>
        <w:t>Sharples, J., Webster, R. and Blatchford, P., (2015). Making Best Use of Teaching Assistants: Guidance report. London: Education Endowment Foundation.</w:t>
      </w:r>
    </w:p>
    <w:p w14:paraId="4C000E45" w14:textId="77777777" w:rsidR="00BE2C1D" w:rsidRPr="00BE2C1D" w:rsidRDefault="00BE2C1D" w:rsidP="00BE2C1D">
      <w:pPr>
        <w:spacing w:line="360" w:lineRule="auto"/>
        <w:rPr>
          <w:rFonts w:cstheme="minorHAnsi"/>
          <w:shd w:val="clear" w:color="auto" w:fill="FFFFFF"/>
        </w:rPr>
      </w:pPr>
      <w:r w:rsidRPr="00BE2C1D">
        <w:rPr>
          <w:rFonts w:cstheme="minorHAnsi"/>
        </w:rPr>
        <w:t xml:space="preserve">Shildrick, M., 2005. The disabled body, genealogy and undecidability. Cultural Studies. </w:t>
      </w:r>
      <w:r w:rsidRPr="00BE2C1D">
        <w:rPr>
          <w:rFonts w:cstheme="minorHAnsi"/>
          <w:b/>
          <w:bCs/>
        </w:rPr>
        <w:t>19</w:t>
      </w:r>
      <w:r w:rsidRPr="00BE2C1D">
        <w:rPr>
          <w:rFonts w:cstheme="minorHAnsi"/>
        </w:rPr>
        <w:t>, 755–770.</w:t>
      </w:r>
    </w:p>
    <w:p w14:paraId="393037EC" w14:textId="77777777" w:rsidR="00BE2C1D" w:rsidRPr="00BE2C1D" w:rsidRDefault="00BE2C1D" w:rsidP="00BE2C1D">
      <w:pPr>
        <w:spacing w:line="360" w:lineRule="auto"/>
        <w:rPr>
          <w:rFonts w:cstheme="minorHAnsi"/>
        </w:rPr>
      </w:pPr>
      <w:r w:rsidRPr="00BE2C1D">
        <w:rPr>
          <w:rFonts w:cstheme="minorHAnsi"/>
        </w:rPr>
        <w:t>Shildrick, M. 2009. </w:t>
      </w:r>
      <w:r w:rsidRPr="00BE2C1D">
        <w:rPr>
          <w:rFonts w:cstheme="minorHAnsi"/>
          <w:i/>
          <w:iCs/>
        </w:rPr>
        <w:t>Dangerous Discourses of Disability, Subjectivity and Sexuality</w:t>
      </w:r>
      <w:r w:rsidRPr="00BE2C1D">
        <w:rPr>
          <w:rFonts w:cstheme="minorHAnsi"/>
        </w:rPr>
        <w:t>. Basingstoke: Palgrave-MacMillan.</w:t>
      </w:r>
    </w:p>
    <w:p w14:paraId="09DE1DD2" w14:textId="77777777" w:rsidR="00BE2C1D" w:rsidRPr="00BE2C1D" w:rsidRDefault="00BE2C1D" w:rsidP="00BE2C1D">
      <w:pPr>
        <w:spacing w:line="360" w:lineRule="auto"/>
        <w:rPr>
          <w:rFonts w:cstheme="minorHAnsi"/>
          <w:shd w:val="clear" w:color="auto" w:fill="FFFFFF"/>
        </w:rPr>
      </w:pPr>
      <w:r w:rsidRPr="00BE2C1D">
        <w:rPr>
          <w:rFonts w:cstheme="minorHAnsi"/>
          <w:shd w:val="clear" w:color="auto" w:fill="FFFFFF"/>
        </w:rPr>
        <w:t>Shildrick, M., (2013). Critical disability studies: Rethinking the conventions for the age of postmodernity. In N. Watson, A. Roulstone, C. Thomas, eds. </w:t>
      </w:r>
      <w:r w:rsidRPr="00BE2C1D">
        <w:rPr>
          <w:rFonts w:cstheme="minorHAnsi"/>
          <w:i/>
          <w:iCs/>
          <w:shd w:val="clear" w:color="auto" w:fill="FFFFFF"/>
        </w:rPr>
        <w:t>Routledge handbook of disability studies</w:t>
      </w:r>
      <w:r w:rsidRPr="00BE2C1D">
        <w:rPr>
          <w:rFonts w:cstheme="minorHAnsi"/>
          <w:shd w:val="clear" w:color="auto" w:fill="FFFFFF"/>
        </w:rPr>
        <w:t>. London: Routledge. pp. 44-55.</w:t>
      </w:r>
    </w:p>
    <w:p w14:paraId="292AC6E6" w14:textId="77777777" w:rsidR="00BE2C1D" w:rsidRPr="00BE2C1D" w:rsidRDefault="00BE2C1D" w:rsidP="00BE2C1D">
      <w:pPr>
        <w:spacing w:line="360" w:lineRule="auto"/>
        <w:rPr>
          <w:rFonts w:cstheme="minorHAnsi"/>
        </w:rPr>
      </w:pPr>
      <w:r w:rsidRPr="00BE2C1D">
        <w:rPr>
          <w:rFonts w:cstheme="minorHAnsi"/>
        </w:rPr>
        <w:t>Shilling, C. (2003) The Body and Social Theory, 2nd edition. London: Sage.</w:t>
      </w:r>
    </w:p>
    <w:p w14:paraId="691D3593" w14:textId="77777777" w:rsidR="00BE2C1D" w:rsidRPr="00BE2C1D" w:rsidRDefault="00BE2C1D" w:rsidP="00BE2C1D">
      <w:pPr>
        <w:spacing w:line="360" w:lineRule="auto"/>
        <w:rPr>
          <w:rFonts w:cstheme="minorHAnsi"/>
          <w:shd w:val="clear" w:color="auto" w:fill="FFFFFF"/>
        </w:rPr>
      </w:pPr>
      <w:r w:rsidRPr="00BE2C1D">
        <w:rPr>
          <w:rFonts w:cstheme="minorHAnsi"/>
        </w:rPr>
        <w:lastRenderedPageBreak/>
        <w:t>Siebers, T., (2008). </w:t>
      </w:r>
      <w:r w:rsidRPr="00BE2C1D">
        <w:rPr>
          <w:rFonts w:cstheme="minorHAnsi"/>
          <w:i/>
          <w:iCs/>
        </w:rPr>
        <w:t>Disability Theory</w:t>
      </w:r>
      <w:r w:rsidRPr="00BE2C1D">
        <w:rPr>
          <w:rFonts w:cstheme="minorHAnsi"/>
        </w:rPr>
        <w:t>. Michigan: University of Michigan Press.</w:t>
      </w:r>
    </w:p>
    <w:p w14:paraId="209D484F" w14:textId="77777777" w:rsidR="00BE2C1D" w:rsidRPr="00BE2C1D" w:rsidRDefault="00BE2C1D" w:rsidP="00BE2C1D">
      <w:pPr>
        <w:spacing w:line="360" w:lineRule="auto"/>
        <w:rPr>
          <w:rFonts w:cstheme="minorHAnsi"/>
          <w:shd w:val="clear" w:color="auto" w:fill="FFFFFF"/>
        </w:rPr>
      </w:pPr>
      <w:r w:rsidRPr="00BE2C1D">
        <w:rPr>
          <w:rFonts w:cstheme="minorHAnsi"/>
          <w:shd w:val="clear" w:color="auto" w:fill="FFFFFF"/>
        </w:rPr>
        <w:t>Sikes, P., Lawson, H. and Parker, M., 2007. Voices on: teachers and teaching assistants talk about inclusion. </w:t>
      </w:r>
      <w:r w:rsidRPr="00BE2C1D">
        <w:rPr>
          <w:rFonts w:cstheme="minorHAnsi"/>
          <w:i/>
          <w:iCs/>
          <w:shd w:val="clear" w:color="auto" w:fill="FFFFFF"/>
        </w:rPr>
        <w:t>International Journal of Inclusive Education</w:t>
      </w:r>
      <w:r w:rsidRPr="00BE2C1D">
        <w:rPr>
          <w:rFonts w:cstheme="minorHAnsi"/>
          <w:shd w:val="clear" w:color="auto" w:fill="FFFFFF"/>
        </w:rPr>
        <w:t>. </w:t>
      </w:r>
      <w:r w:rsidRPr="00BE2C1D">
        <w:rPr>
          <w:rFonts w:cstheme="minorHAnsi"/>
          <w:b/>
          <w:bCs/>
          <w:shd w:val="clear" w:color="auto" w:fill="FFFFFF"/>
        </w:rPr>
        <w:t>11</w:t>
      </w:r>
      <w:r w:rsidRPr="00BE2C1D">
        <w:rPr>
          <w:rFonts w:cstheme="minorHAnsi"/>
          <w:shd w:val="clear" w:color="auto" w:fill="FFFFFF"/>
        </w:rPr>
        <w:t>(3), 355-370.</w:t>
      </w:r>
    </w:p>
    <w:p w14:paraId="4CEBB47F" w14:textId="77777777" w:rsidR="00BE2C1D" w:rsidRPr="00BE2C1D" w:rsidRDefault="00BE2C1D" w:rsidP="00BE2C1D">
      <w:pPr>
        <w:spacing w:line="360" w:lineRule="auto"/>
        <w:rPr>
          <w:rFonts w:cstheme="minorHAnsi"/>
          <w:shd w:val="clear" w:color="auto" w:fill="FFFFFF"/>
        </w:rPr>
      </w:pPr>
      <w:r w:rsidRPr="00BE2C1D">
        <w:rPr>
          <w:rFonts w:cstheme="minorHAnsi"/>
          <w:shd w:val="clear" w:color="auto" w:fill="FFFFFF"/>
        </w:rPr>
        <w:t>Silventoinen, K., Kaprio, J. and Lahelma, E., 2000. Genetic and environmental contributions to the association between body height and educational attainment: a study of adult Finnish twins. </w:t>
      </w:r>
      <w:r w:rsidRPr="00BE2C1D">
        <w:rPr>
          <w:rFonts w:cstheme="minorHAnsi"/>
          <w:i/>
          <w:iCs/>
          <w:shd w:val="clear" w:color="auto" w:fill="FFFFFF"/>
        </w:rPr>
        <w:t>Behavior genetics</w:t>
      </w:r>
      <w:r w:rsidRPr="00BE2C1D">
        <w:rPr>
          <w:rFonts w:cstheme="minorHAnsi"/>
          <w:shd w:val="clear" w:color="auto" w:fill="FFFFFF"/>
        </w:rPr>
        <w:t>. </w:t>
      </w:r>
      <w:r w:rsidRPr="00BE2C1D">
        <w:rPr>
          <w:rFonts w:cstheme="minorHAnsi"/>
          <w:b/>
          <w:bCs/>
          <w:shd w:val="clear" w:color="auto" w:fill="FFFFFF"/>
        </w:rPr>
        <w:t>30</w:t>
      </w:r>
      <w:r w:rsidRPr="00BE2C1D">
        <w:rPr>
          <w:rFonts w:cstheme="minorHAnsi"/>
          <w:shd w:val="clear" w:color="auto" w:fill="FFFFFF"/>
        </w:rPr>
        <w:t>(6), 477-485.</w:t>
      </w:r>
    </w:p>
    <w:p w14:paraId="09785604" w14:textId="77777777" w:rsidR="00BE2C1D" w:rsidRPr="00BE2C1D" w:rsidRDefault="00BE2C1D" w:rsidP="00BE2C1D">
      <w:pPr>
        <w:spacing w:line="360" w:lineRule="auto"/>
        <w:rPr>
          <w:rFonts w:cstheme="minorHAnsi"/>
        </w:rPr>
      </w:pPr>
      <w:r w:rsidRPr="00BE2C1D">
        <w:rPr>
          <w:rFonts w:cstheme="minorHAnsi"/>
        </w:rPr>
        <w:t>Simmons, B., Blackmore, T., and Bayliss, P., 2008. Postmodern Synergistic Knowledge Creation: Extending the Boundaries of Disability Studies. </w:t>
      </w:r>
      <w:r w:rsidRPr="00BE2C1D">
        <w:rPr>
          <w:rFonts w:cstheme="minorHAnsi"/>
          <w:i/>
          <w:iCs/>
        </w:rPr>
        <w:t>Disability &amp; Society.</w:t>
      </w:r>
      <w:r w:rsidRPr="00BE2C1D">
        <w:rPr>
          <w:rFonts w:cstheme="minorHAnsi"/>
        </w:rPr>
        <w:t> </w:t>
      </w:r>
      <w:r w:rsidRPr="00BE2C1D">
        <w:rPr>
          <w:rFonts w:cstheme="minorHAnsi"/>
          <w:b/>
          <w:bCs/>
        </w:rPr>
        <w:t>23</w:t>
      </w:r>
      <w:r w:rsidRPr="00BE2C1D">
        <w:rPr>
          <w:rFonts w:cstheme="minorHAnsi"/>
        </w:rPr>
        <w:t>(7), 733–745. </w:t>
      </w:r>
    </w:p>
    <w:p w14:paraId="68887DD0" w14:textId="77777777" w:rsidR="00BE2C1D" w:rsidRPr="00BE2C1D" w:rsidRDefault="00BE2C1D" w:rsidP="00BE2C1D">
      <w:pPr>
        <w:spacing w:line="360" w:lineRule="auto"/>
        <w:rPr>
          <w:rFonts w:cstheme="minorHAnsi"/>
        </w:rPr>
      </w:pPr>
      <w:r w:rsidRPr="00BE2C1D">
        <w:rPr>
          <w:rFonts w:cstheme="minorHAnsi"/>
          <w:shd w:val="clear" w:color="auto" w:fill="FFFFFF"/>
        </w:rPr>
        <w:t>Sinason, V., (1992). Primary and secondary handicap. </w:t>
      </w:r>
      <w:r w:rsidRPr="00BE2C1D">
        <w:rPr>
          <w:rFonts w:cstheme="minorHAnsi"/>
          <w:i/>
          <w:iCs/>
          <w:shd w:val="clear" w:color="auto" w:fill="FFFFFF"/>
        </w:rPr>
        <w:t>Mental Handicap and the Human Condition</w:t>
      </w:r>
      <w:r w:rsidRPr="00BE2C1D">
        <w:rPr>
          <w:rFonts w:cstheme="minorHAnsi"/>
          <w:shd w:val="clear" w:color="auto" w:fill="FFFFFF"/>
        </w:rPr>
        <w:t>. Tavistock: Free Association Books.</w:t>
      </w:r>
    </w:p>
    <w:p w14:paraId="574F94C4" w14:textId="77777777" w:rsidR="00BE2C1D" w:rsidRPr="00BE2C1D" w:rsidRDefault="00BE2C1D" w:rsidP="00BE2C1D">
      <w:pPr>
        <w:spacing w:line="360" w:lineRule="auto"/>
        <w:rPr>
          <w:rFonts w:cstheme="minorHAnsi"/>
          <w:shd w:val="clear" w:color="auto" w:fill="FFFFFF"/>
        </w:rPr>
      </w:pPr>
      <w:r w:rsidRPr="00BE2C1D">
        <w:rPr>
          <w:rFonts w:cstheme="minorHAnsi"/>
          <w:shd w:val="clear" w:color="auto" w:fill="FFFFFF"/>
        </w:rPr>
        <w:t>Skär, L. and Tam, M., 2001. My assistant and I: Disabled children's and adolescents' roles and relationships to their assistants. </w:t>
      </w:r>
      <w:r w:rsidRPr="00BE2C1D">
        <w:rPr>
          <w:rFonts w:cstheme="minorHAnsi"/>
          <w:i/>
          <w:iCs/>
          <w:shd w:val="clear" w:color="auto" w:fill="FFFFFF"/>
        </w:rPr>
        <w:t>Disability &amp; Society</w:t>
      </w:r>
      <w:r w:rsidRPr="00BE2C1D">
        <w:rPr>
          <w:rFonts w:cstheme="minorHAnsi"/>
          <w:shd w:val="clear" w:color="auto" w:fill="FFFFFF"/>
        </w:rPr>
        <w:t>. </w:t>
      </w:r>
      <w:r w:rsidRPr="00BE2C1D">
        <w:rPr>
          <w:rFonts w:cstheme="minorHAnsi"/>
          <w:b/>
          <w:bCs/>
          <w:shd w:val="clear" w:color="auto" w:fill="FFFFFF"/>
        </w:rPr>
        <w:t>16</w:t>
      </w:r>
      <w:r w:rsidRPr="00BE2C1D">
        <w:rPr>
          <w:rFonts w:cstheme="minorHAnsi"/>
          <w:shd w:val="clear" w:color="auto" w:fill="FFFFFF"/>
        </w:rPr>
        <w:t>(7), 917-931.</w:t>
      </w:r>
    </w:p>
    <w:p w14:paraId="230AF4E1" w14:textId="77777777" w:rsidR="00BE2C1D" w:rsidRPr="00BE2C1D" w:rsidRDefault="00BE2C1D" w:rsidP="00BE2C1D">
      <w:pPr>
        <w:spacing w:line="360" w:lineRule="auto"/>
        <w:jc w:val="both"/>
        <w:rPr>
          <w:rFonts w:eastAsia="Times New Roman" w:cstheme="minorHAnsi"/>
          <w:bCs/>
          <w:lang w:eastAsia="en-GB"/>
        </w:rPr>
      </w:pPr>
      <w:r w:rsidRPr="00BE2C1D">
        <w:rPr>
          <w:rFonts w:cstheme="minorHAnsi"/>
          <w:shd w:val="clear" w:color="auto" w:fill="FFFFFF"/>
        </w:rPr>
        <w:t>Skelton, T. (2008). Research with children and young people: exploring the tensions between ethics, competence and participation. </w:t>
      </w:r>
      <w:r w:rsidRPr="00BE2C1D">
        <w:rPr>
          <w:rFonts w:cstheme="minorHAnsi"/>
          <w:i/>
          <w:iCs/>
          <w:shd w:val="clear" w:color="auto" w:fill="FFFFFF"/>
        </w:rPr>
        <w:t>Children's Geographies</w:t>
      </w:r>
      <w:r w:rsidRPr="00BE2C1D">
        <w:rPr>
          <w:rFonts w:cstheme="minorHAnsi"/>
          <w:shd w:val="clear" w:color="auto" w:fill="FFFFFF"/>
        </w:rPr>
        <w:t>. </w:t>
      </w:r>
      <w:r w:rsidRPr="00BE2C1D">
        <w:rPr>
          <w:rFonts w:cstheme="minorHAnsi"/>
          <w:b/>
          <w:bCs/>
          <w:shd w:val="clear" w:color="auto" w:fill="FFFFFF"/>
        </w:rPr>
        <w:t>6</w:t>
      </w:r>
      <w:r w:rsidRPr="00BE2C1D">
        <w:rPr>
          <w:rFonts w:cstheme="minorHAnsi"/>
          <w:shd w:val="clear" w:color="auto" w:fill="FFFFFF"/>
        </w:rPr>
        <w:t>(1), 21-36.</w:t>
      </w:r>
    </w:p>
    <w:p w14:paraId="76610EC3" w14:textId="77777777" w:rsidR="00BE2C1D" w:rsidRPr="00BE2C1D" w:rsidRDefault="00BE2C1D" w:rsidP="00BE2C1D">
      <w:pPr>
        <w:spacing w:line="360" w:lineRule="auto"/>
        <w:jc w:val="both"/>
        <w:rPr>
          <w:rFonts w:cstheme="minorHAnsi"/>
          <w:shd w:val="clear" w:color="auto" w:fill="FFFFFF"/>
        </w:rPr>
      </w:pPr>
      <w:r w:rsidRPr="00BE2C1D">
        <w:rPr>
          <w:rFonts w:cstheme="minorHAnsi"/>
          <w:shd w:val="clear" w:color="auto" w:fill="FFFFFF"/>
        </w:rPr>
        <w:t>Skelton, T. and Valentine, G., 2003. Political participation, political action and political identities: young D/deaf people's perspectives. </w:t>
      </w:r>
      <w:r w:rsidRPr="00BE2C1D">
        <w:rPr>
          <w:rFonts w:cstheme="minorHAnsi"/>
          <w:i/>
          <w:iCs/>
          <w:shd w:val="clear" w:color="auto" w:fill="FFFFFF"/>
        </w:rPr>
        <w:t>Space and Polity</w:t>
      </w:r>
      <w:r w:rsidRPr="00BE2C1D">
        <w:rPr>
          <w:rFonts w:cstheme="minorHAnsi"/>
          <w:shd w:val="clear" w:color="auto" w:fill="FFFFFF"/>
        </w:rPr>
        <w:t>. </w:t>
      </w:r>
      <w:r w:rsidRPr="00BE2C1D">
        <w:rPr>
          <w:rFonts w:cstheme="minorHAnsi"/>
          <w:b/>
          <w:bCs/>
          <w:shd w:val="clear" w:color="auto" w:fill="FFFFFF"/>
        </w:rPr>
        <w:t>7</w:t>
      </w:r>
      <w:r w:rsidRPr="00BE2C1D">
        <w:rPr>
          <w:rFonts w:cstheme="minorHAnsi"/>
          <w:shd w:val="clear" w:color="auto" w:fill="FFFFFF"/>
        </w:rPr>
        <w:t>(2), 117-134.</w:t>
      </w:r>
    </w:p>
    <w:p w14:paraId="0480436F" w14:textId="77777777" w:rsidR="00BE2C1D" w:rsidRPr="00BE2C1D" w:rsidRDefault="00BE2C1D" w:rsidP="00BE2C1D">
      <w:pPr>
        <w:spacing w:line="360" w:lineRule="auto"/>
        <w:jc w:val="both"/>
        <w:rPr>
          <w:rFonts w:cstheme="minorHAnsi"/>
          <w:shd w:val="clear" w:color="auto" w:fill="FFFFFF"/>
        </w:rPr>
      </w:pPr>
      <w:r w:rsidRPr="00BE2C1D">
        <w:rPr>
          <w:rFonts w:cstheme="minorHAnsi"/>
          <w:shd w:val="clear" w:color="auto" w:fill="FFFFFF"/>
        </w:rPr>
        <w:t>Skyrme, S., 2017a. </w:t>
      </w:r>
      <w:hyperlink r:id="rId28" w:history="1">
        <w:r w:rsidRPr="00BE2C1D">
          <w:rPr>
            <w:rFonts w:cstheme="minorHAnsi"/>
            <w:shd w:val="clear" w:color="auto" w:fill="FFFFFF"/>
          </w:rPr>
          <w:t>‘I just try to be independent as much as possible’: Duchenne muscular dystrophy, agency and contextualised competence</w:t>
        </w:r>
      </w:hyperlink>
      <w:r w:rsidRPr="00BE2C1D">
        <w:rPr>
          <w:rFonts w:cstheme="minorHAnsi"/>
          <w:shd w:val="clear" w:color="auto" w:fill="FFFFFF"/>
        </w:rPr>
        <w:t> Global Studies of Childhood. </w:t>
      </w:r>
      <w:r w:rsidRPr="00BE2C1D">
        <w:rPr>
          <w:rFonts w:cstheme="minorHAnsi"/>
          <w:b/>
          <w:bCs/>
          <w:shd w:val="clear" w:color="auto" w:fill="FFFFFF"/>
        </w:rPr>
        <w:t>7</w:t>
      </w:r>
      <w:r w:rsidRPr="00BE2C1D">
        <w:rPr>
          <w:rFonts w:cstheme="minorHAnsi"/>
          <w:shd w:val="clear" w:color="auto" w:fill="FFFFFF"/>
        </w:rPr>
        <w:t>(3), 278-289.</w:t>
      </w:r>
    </w:p>
    <w:p w14:paraId="47A79EB7" w14:textId="77777777" w:rsidR="00BE2C1D" w:rsidRPr="00BE2C1D" w:rsidRDefault="00BE2C1D" w:rsidP="00BE2C1D">
      <w:pPr>
        <w:spacing w:line="360" w:lineRule="auto"/>
        <w:jc w:val="both"/>
        <w:rPr>
          <w:rFonts w:cstheme="minorHAnsi"/>
        </w:rPr>
      </w:pPr>
      <w:r w:rsidRPr="00BE2C1D">
        <w:rPr>
          <w:rFonts w:cstheme="minorHAnsi"/>
        </w:rPr>
        <w:t xml:space="preserve">Skyrme, S., 2017b. In and On their Own Terms: Children and Young People's Accounts of Life with Duchenne Muscular Dystrophy, Child Care in Practice. </w:t>
      </w:r>
      <w:r w:rsidRPr="00BE2C1D">
        <w:rPr>
          <w:rFonts w:cstheme="minorHAnsi"/>
          <w:b/>
          <w:bCs/>
        </w:rPr>
        <w:t>23</w:t>
      </w:r>
      <w:r w:rsidRPr="00BE2C1D">
        <w:rPr>
          <w:rFonts w:cstheme="minorHAnsi"/>
        </w:rPr>
        <w:t>(1), 77-89.</w:t>
      </w:r>
    </w:p>
    <w:p w14:paraId="04809E76" w14:textId="77777777" w:rsidR="00BE2C1D" w:rsidRPr="00BE2C1D" w:rsidRDefault="00BE2C1D" w:rsidP="00BE2C1D">
      <w:pPr>
        <w:spacing w:line="360" w:lineRule="auto"/>
        <w:rPr>
          <w:rFonts w:cstheme="minorHAnsi"/>
          <w:shd w:val="clear" w:color="auto" w:fill="FFFFFF"/>
        </w:rPr>
      </w:pPr>
      <w:r w:rsidRPr="00BE2C1D">
        <w:rPr>
          <w:rFonts w:cstheme="minorHAnsi"/>
          <w:shd w:val="clear" w:color="auto" w:fill="FFFFFF"/>
        </w:rPr>
        <w:t>Skyrme, S. L., &amp; Woods, S. 2018. Researching disabled children and young people’s views on decision-making: Working reflexively to rethink vulnerability. </w:t>
      </w:r>
      <w:r w:rsidRPr="00BE2C1D">
        <w:rPr>
          <w:rFonts w:cstheme="minorHAnsi"/>
          <w:i/>
          <w:iCs/>
          <w:shd w:val="clear" w:color="auto" w:fill="FFFFFF"/>
        </w:rPr>
        <w:t>Childhood</w:t>
      </w:r>
      <w:r w:rsidRPr="00BE2C1D">
        <w:rPr>
          <w:rFonts w:cstheme="minorHAnsi"/>
          <w:shd w:val="clear" w:color="auto" w:fill="FFFFFF"/>
        </w:rPr>
        <w:t>. </w:t>
      </w:r>
      <w:r w:rsidRPr="00BE2C1D">
        <w:rPr>
          <w:rFonts w:cstheme="minorHAnsi"/>
          <w:b/>
          <w:bCs/>
          <w:shd w:val="clear" w:color="auto" w:fill="FFFFFF"/>
        </w:rPr>
        <w:t>25</w:t>
      </w:r>
      <w:r w:rsidRPr="00BE2C1D">
        <w:rPr>
          <w:rFonts w:cstheme="minorHAnsi"/>
          <w:shd w:val="clear" w:color="auto" w:fill="FFFFFF"/>
        </w:rPr>
        <w:t>(3), 355-368.</w:t>
      </w:r>
    </w:p>
    <w:p w14:paraId="554BCF63" w14:textId="77777777" w:rsidR="00BE2C1D" w:rsidRPr="00BE2C1D" w:rsidRDefault="00BE2C1D" w:rsidP="00BE2C1D">
      <w:pPr>
        <w:spacing w:line="360" w:lineRule="auto"/>
        <w:rPr>
          <w:rFonts w:cstheme="minorHAnsi"/>
          <w:shd w:val="clear" w:color="auto" w:fill="FFFFFF"/>
        </w:rPr>
      </w:pPr>
      <w:r w:rsidRPr="00BE2C1D">
        <w:rPr>
          <w:rFonts w:cstheme="minorHAnsi"/>
          <w:shd w:val="clear" w:color="auto" w:fill="FFFFFF"/>
        </w:rPr>
        <w:t xml:space="preserve">Slater, E. and Gazeley, L., 2019. Deploying teaching assistants to support learning: from models to typologies. </w:t>
      </w:r>
      <w:r w:rsidRPr="00BE2C1D">
        <w:rPr>
          <w:rFonts w:cstheme="minorHAnsi"/>
          <w:i/>
          <w:iCs/>
          <w:shd w:val="clear" w:color="auto" w:fill="FFFFFF"/>
        </w:rPr>
        <w:t>Educational Review</w:t>
      </w:r>
      <w:r w:rsidRPr="00BE2C1D">
        <w:rPr>
          <w:rFonts w:cstheme="minorHAnsi"/>
          <w:shd w:val="clear" w:color="auto" w:fill="FFFFFF"/>
        </w:rPr>
        <w:t xml:space="preserve">. </w:t>
      </w:r>
      <w:r w:rsidRPr="00BE2C1D">
        <w:rPr>
          <w:rFonts w:cstheme="minorHAnsi"/>
          <w:b/>
          <w:bCs/>
          <w:shd w:val="clear" w:color="auto" w:fill="FFFFFF"/>
        </w:rPr>
        <w:t>71</w:t>
      </w:r>
      <w:r w:rsidRPr="00BE2C1D">
        <w:rPr>
          <w:rFonts w:cstheme="minorHAnsi"/>
          <w:shd w:val="clear" w:color="auto" w:fill="FFFFFF"/>
        </w:rPr>
        <w:t>(5), 547-563.</w:t>
      </w:r>
    </w:p>
    <w:p w14:paraId="585FDD7C" w14:textId="77777777" w:rsidR="00BE2C1D" w:rsidRPr="00BE2C1D" w:rsidRDefault="00BE2C1D" w:rsidP="00BE2C1D">
      <w:pPr>
        <w:spacing w:line="360" w:lineRule="auto"/>
        <w:rPr>
          <w:rFonts w:cstheme="minorHAnsi"/>
          <w:shd w:val="clear" w:color="auto" w:fill="FFFFFF"/>
        </w:rPr>
      </w:pPr>
      <w:r w:rsidRPr="00BE2C1D">
        <w:rPr>
          <w:rFonts w:cstheme="minorHAnsi"/>
          <w:shd w:val="clear" w:color="auto" w:fill="FFFFFF"/>
        </w:rPr>
        <w:t>Slater, J., 2012. Youth for sale: Using critical disability perspectives to examine the embodiment of ‘youth’. </w:t>
      </w:r>
      <w:r w:rsidRPr="00BE2C1D">
        <w:rPr>
          <w:rFonts w:cstheme="minorHAnsi"/>
          <w:i/>
          <w:iCs/>
          <w:shd w:val="clear" w:color="auto" w:fill="FFFFFF"/>
        </w:rPr>
        <w:t>Societies</w:t>
      </w:r>
      <w:r w:rsidRPr="00BE2C1D">
        <w:rPr>
          <w:rFonts w:cstheme="minorHAnsi"/>
          <w:shd w:val="clear" w:color="auto" w:fill="FFFFFF"/>
        </w:rPr>
        <w:t>. </w:t>
      </w:r>
      <w:r w:rsidRPr="00BE2C1D">
        <w:rPr>
          <w:rFonts w:cstheme="minorHAnsi"/>
          <w:b/>
          <w:bCs/>
          <w:shd w:val="clear" w:color="auto" w:fill="FFFFFF"/>
        </w:rPr>
        <w:t>2</w:t>
      </w:r>
      <w:r w:rsidRPr="00BE2C1D">
        <w:rPr>
          <w:rFonts w:cstheme="minorHAnsi"/>
          <w:shd w:val="clear" w:color="auto" w:fill="FFFFFF"/>
        </w:rPr>
        <w:t>(3), 195-209.</w:t>
      </w:r>
    </w:p>
    <w:p w14:paraId="70C0B3B0" w14:textId="77777777" w:rsidR="00BE2C1D" w:rsidRPr="00BE2C1D" w:rsidRDefault="00BE2C1D" w:rsidP="00BE2C1D">
      <w:pPr>
        <w:spacing w:line="360" w:lineRule="auto"/>
        <w:jc w:val="both"/>
        <w:rPr>
          <w:rFonts w:cstheme="minorHAnsi"/>
          <w:shd w:val="clear" w:color="auto" w:fill="FFFFFF"/>
        </w:rPr>
      </w:pPr>
      <w:r w:rsidRPr="00BE2C1D">
        <w:rPr>
          <w:rFonts w:cstheme="minorHAnsi"/>
          <w:shd w:val="clear" w:color="auto" w:fill="FFFFFF"/>
        </w:rPr>
        <w:t>Slater, J., (2013). Research with dis/abled youth: taking a critical disability, ‘critically young’ positionality. In: T. Curran, Runswick-Cole, eds. </w:t>
      </w:r>
      <w:r w:rsidRPr="00BE2C1D">
        <w:rPr>
          <w:rFonts w:cstheme="minorHAnsi"/>
          <w:i/>
          <w:iCs/>
          <w:shd w:val="clear" w:color="auto" w:fill="FFFFFF"/>
        </w:rPr>
        <w:t>Disabled Children’s Childhood Studies</w:t>
      </w:r>
      <w:r w:rsidRPr="00BE2C1D">
        <w:rPr>
          <w:rFonts w:cstheme="minorHAnsi"/>
          <w:shd w:val="clear" w:color="auto" w:fill="FFFFFF"/>
        </w:rPr>
        <w:t>. London: Palgrave Macmillan. pp. 180-195.</w:t>
      </w:r>
    </w:p>
    <w:p w14:paraId="2BBA5861" w14:textId="77777777" w:rsidR="00BE2C1D" w:rsidRPr="00BE2C1D" w:rsidRDefault="00BE2C1D" w:rsidP="00BE2C1D">
      <w:pPr>
        <w:spacing w:line="360" w:lineRule="auto"/>
        <w:rPr>
          <w:rFonts w:cstheme="minorHAnsi"/>
          <w:shd w:val="clear" w:color="auto" w:fill="FFFFFF"/>
        </w:rPr>
      </w:pPr>
      <w:r w:rsidRPr="00BE2C1D">
        <w:rPr>
          <w:rFonts w:cstheme="minorHAnsi"/>
          <w:shd w:val="clear" w:color="auto" w:fill="FFFFFF"/>
        </w:rPr>
        <w:lastRenderedPageBreak/>
        <w:t>Slater, J., (2015). </w:t>
      </w:r>
      <w:r w:rsidRPr="00BE2C1D">
        <w:rPr>
          <w:rFonts w:cstheme="minorHAnsi"/>
          <w:i/>
          <w:iCs/>
          <w:shd w:val="clear" w:color="auto" w:fill="FFFFFF"/>
        </w:rPr>
        <w:t>Youth and disability: A challenge to Mr Reasonable</w:t>
      </w:r>
      <w:r w:rsidRPr="00BE2C1D">
        <w:rPr>
          <w:rFonts w:cstheme="minorHAnsi"/>
          <w:shd w:val="clear" w:color="auto" w:fill="FFFFFF"/>
        </w:rPr>
        <w:t>.  Oxon: Ashgate.</w:t>
      </w:r>
    </w:p>
    <w:p w14:paraId="26DD5B61" w14:textId="77777777" w:rsidR="00BE2C1D" w:rsidRPr="00BE2C1D" w:rsidRDefault="00BE2C1D" w:rsidP="00BE2C1D">
      <w:pPr>
        <w:spacing w:line="360" w:lineRule="auto"/>
        <w:rPr>
          <w:rFonts w:cstheme="minorHAnsi"/>
          <w:shd w:val="clear" w:color="auto" w:fill="FFFFFF"/>
        </w:rPr>
      </w:pPr>
      <w:r w:rsidRPr="00BE2C1D">
        <w:rPr>
          <w:rFonts w:cstheme="minorHAnsi"/>
          <w:shd w:val="clear" w:color="auto" w:fill="FFFFFF"/>
        </w:rPr>
        <w:t>Slater, J., Ágústsdóttir, E. and Haraldsdóttir, F., 2018a. Becoming intelligible woman: Gender, disability and resistance at the border zone of youth. </w:t>
      </w:r>
      <w:r w:rsidRPr="00BE2C1D">
        <w:rPr>
          <w:rFonts w:cstheme="minorHAnsi"/>
          <w:i/>
          <w:iCs/>
          <w:shd w:val="clear" w:color="auto" w:fill="FFFFFF"/>
        </w:rPr>
        <w:t>Feminism &amp; psychology</w:t>
      </w:r>
      <w:r w:rsidRPr="00BE2C1D">
        <w:rPr>
          <w:rFonts w:cstheme="minorHAnsi"/>
          <w:shd w:val="clear" w:color="auto" w:fill="FFFFFF"/>
        </w:rPr>
        <w:t>. </w:t>
      </w:r>
      <w:r w:rsidRPr="00BE2C1D">
        <w:rPr>
          <w:rFonts w:cstheme="minorHAnsi"/>
          <w:b/>
          <w:bCs/>
          <w:shd w:val="clear" w:color="auto" w:fill="FFFFFF"/>
        </w:rPr>
        <w:t>28</w:t>
      </w:r>
      <w:r w:rsidRPr="00BE2C1D">
        <w:rPr>
          <w:rFonts w:cstheme="minorHAnsi"/>
          <w:shd w:val="clear" w:color="auto" w:fill="FFFFFF"/>
        </w:rPr>
        <w:t>(3), 409-426.</w:t>
      </w:r>
    </w:p>
    <w:p w14:paraId="15075F6C" w14:textId="77777777" w:rsidR="00BE2C1D" w:rsidRPr="00BE2C1D" w:rsidRDefault="00BE2C1D" w:rsidP="00BE2C1D">
      <w:pPr>
        <w:spacing w:line="360" w:lineRule="auto"/>
        <w:rPr>
          <w:rFonts w:cstheme="minorHAnsi"/>
          <w:shd w:val="clear" w:color="auto" w:fill="FFFFFF"/>
        </w:rPr>
      </w:pPr>
      <w:r w:rsidRPr="00BE2C1D">
        <w:rPr>
          <w:rFonts w:cstheme="minorHAnsi"/>
          <w:shd w:val="clear" w:color="auto" w:fill="FFFFFF"/>
        </w:rPr>
        <w:t>Slater, J., Jones, C. and Procter, L., 2018. School toilets: queer, disabled bodies and gendered lessons of embodiment. </w:t>
      </w:r>
      <w:r w:rsidRPr="00BE2C1D">
        <w:rPr>
          <w:rFonts w:cstheme="minorHAnsi"/>
          <w:i/>
          <w:iCs/>
          <w:shd w:val="clear" w:color="auto" w:fill="FFFFFF"/>
        </w:rPr>
        <w:t>Gender and Education</w:t>
      </w:r>
      <w:r w:rsidRPr="00BE2C1D">
        <w:rPr>
          <w:rFonts w:cstheme="minorHAnsi"/>
          <w:shd w:val="clear" w:color="auto" w:fill="FFFFFF"/>
        </w:rPr>
        <w:t>. </w:t>
      </w:r>
      <w:r w:rsidRPr="00BE2C1D">
        <w:rPr>
          <w:rFonts w:cstheme="minorHAnsi"/>
          <w:b/>
          <w:bCs/>
          <w:shd w:val="clear" w:color="auto" w:fill="FFFFFF"/>
        </w:rPr>
        <w:t>30</w:t>
      </w:r>
      <w:r w:rsidRPr="00BE2C1D">
        <w:rPr>
          <w:rFonts w:cstheme="minorHAnsi"/>
          <w:shd w:val="clear" w:color="auto" w:fill="FFFFFF"/>
        </w:rPr>
        <w:t>(8), 951-965.</w:t>
      </w:r>
    </w:p>
    <w:p w14:paraId="56E47B23" w14:textId="77777777" w:rsidR="00BE2C1D" w:rsidRPr="00BE2C1D" w:rsidRDefault="00BE2C1D" w:rsidP="00BE2C1D">
      <w:pPr>
        <w:spacing w:line="360" w:lineRule="auto"/>
        <w:rPr>
          <w:rFonts w:cstheme="minorHAnsi"/>
          <w:shd w:val="clear" w:color="auto" w:fill="FFFFFF"/>
        </w:rPr>
      </w:pPr>
      <w:r w:rsidRPr="00BE2C1D">
        <w:rPr>
          <w:rFonts w:cstheme="minorHAnsi"/>
          <w:shd w:val="clear" w:color="auto" w:fill="FFFFFF"/>
        </w:rPr>
        <w:t>Slater, J., Jones, C. and Procter, L., 2019. Troubling school toilets: resisting discourses of ‘development’ through a critical disability studies and critical psychology lens. </w:t>
      </w:r>
      <w:r w:rsidRPr="00BE2C1D">
        <w:rPr>
          <w:rFonts w:cstheme="minorHAnsi"/>
          <w:i/>
          <w:iCs/>
          <w:shd w:val="clear" w:color="auto" w:fill="FFFFFF"/>
        </w:rPr>
        <w:t>Discourse: Studies in the Cultural Politics of Education</w:t>
      </w:r>
      <w:r w:rsidRPr="00BE2C1D">
        <w:rPr>
          <w:rFonts w:cstheme="minorHAnsi"/>
          <w:shd w:val="clear" w:color="auto" w:fill="FFFFFF"/>
        </w:rPr>
        <w:t>. </w:t>
      </w:r>
      <w:r w:rsidRPr="00BE2C1D">
        <w:rPr>
          <w:rFonts w:cstheme="minorHAnsi"/>
          <w:b/>
          <w:bCs/>
          <w:shd w:val="clear" w:color="auto" w:fill="FFFFFF"/>
        </w:rPr>
        <w:t>40</w:t>
      </w:r>
      <w:r w:rsidRPr="00BE2C1D">
        <w:rPr>
          <w:rFonts w:cstheme="minorHAnsi"/>
          <w:shd w:val="clear" w:color="auto" w:fill="FFFFFF"/>
        </w:rPr>
        <w:t>(3), 412-423.</w:t>
      </w:r>
    </w:p>
    <w:p w14:paraId="1654E3CE" w14:textId="77777777" w:rsidR="00BE2C1D" w:rsidRPr="00BE2C1D" w:rsidRDefault="00BE2C1D" w:rsidP="00BE2C1D">
      <w:pPr>
        <w:spacing w:line="360" w:lineRule="auto"/>
        <w:rPr>
          <w:rFonts w:cstheme="minorHAnsi"/>
          <w:shd w:val="clear" w:color="auto" w:fill="FFFFFF"/>
        </w:rPr>
      </w:pPr>
      <w:r w:rsidRPr="00BE2C1D">
        <w:rPr>
          <w:rFonts w:cstheme="minorHAnsi"/>
          <w:shd w:val="clear" w:color="auto" w:fill="FFFFFF"/>
        </w:rPr>
        <w:t>Slee, R., 2006. Limits to and possibilities for educational reform. </w:t>
      </w:r>
      <w:r w:rsidRPr="00BE2C1D">
        <w:rPr>
          <w:rFonts w:cstheme="minorHAnsi"/>
          <w:i/>
          <w:iCs/>
          <w:shd w:val="clear" w:color="auto" w:fill="FFFFFF"/>
        </w:rPr>
        <w:t>International Journal of Inclusive Education</w:t>
      </w:r>
      <w:r w:rsidRPr="00BE2C1D">
        <w:rPr>
          <w:rFonts w:cstheme="minorHAnsi"/>
          <w:shd w:val="clear" w:color="auto" w:fill="FFFFFF"/>
        </w:rPr>
        <w:t>. </w:t>
      </w:r>
      <w:r w:rsidRPr="00BE2C1D">
        <w:rPr>
          <w:rFonts w:cstheme="minorHAnsi"/>
          <w:b/>
          <w:bCs/>
          <w:shd w:val="clear" w:color="auto" w:fill="FFFFFF"/>
        </w:rPr>
        <w:t>10</w:t>
      </w:r>
      <w:r w:rsidRPr="00BE2C1D">
        <w:rPr>
          <w:rFonts w:cstheme="minorHAnsi"/>
          <w:shd w:val="clear" w:color="auto" w:fill="FFFFFF"/>
        </w:rPr>
        <w:t>(02-03), 109-119.</w:t>
      </w:r>
    </w:p>
    <w:p w14:paraId="51B41380" w14:textId="77777777" w:rsidR="00BE2C1D" w:rsidRPr="00BE2C1D" w:rsidRDefault="00BE2C1D" w:rsidP="00BE2C1D">
      <w:pPr>
        <w:spacing w:line="360" w:lineRule="auto"/>
        <w:rPr>
          <w:rFonts w:cstheme="minorHAnsi"/>
          <w:shd w:val="clear" w:color="auto" w:fill="FFFFFF"/>
        </w:rPr>
      </w:pPr>
      <w:r w:rsidRPr="00BE2C1D">
        <w:rPr>
          <w:rFonts w:cstheme="minorHAnsi"/>
          <w:shd w:val="clear" w:color="auto" w:fill="FFFFFF"/>
        </w:rPr>
        <w:t>Slee, R., 2019. Belonging in an age of exclusion. </w:t>
      </w:r>
      <w:r w:rsidRPr="00BE2C1D">
        <w:rPr>
          <w:rFonts w:cstheme="minorHAnsi"/>
          <w:i/>
          <w:iCs/>
          <w:shd w:val="clear" w:color="auto" w:fill="FFFFFF"/>
        </w:rPr>
        <w:t>International Journal of Inclusive Education.</w:t>
      </w:r>
      <w:r w:rsidRPr="00BE2C1D">
        <w:rPr>
          <w:rFonts w:cstheme="minorHAnsi"/>
          <w:shd w:val="clear" w:color="auto" w:fill="FFFFFF"/>
        </w:rPr>
        <w:t> </w:t>
      </w:r>
      <w:r w:rsidRPr="00BE2C1D">
        <w:rPr>
          <w:rFonts w:cstheme="minorHAnsi"/>
          <w:b/>
          <w:bCs/>
          <w:shd w:val="clear" w:color="auto" w:fill="FFFFFF"/>
        </w:rPr>
        <w:t>23</w:t>
      </w:r>
      <w:r w:rsidRPr="00BE2C1D">
        <w:rPr>
          <w:rFonts w:cstheme="minorHAnsi"/>
          <w:shd w:val="clear" w:color="auto" w:fill="FFFFFF"/>
        </w:rPr>
        <w:t>(9), 909-922</w:t>
      </w:r>
    </w:p>
    <w:p w14:paraId="045D0226" w14:textId="77777777" w:rsidR="00BE2C1D" w:rsidRPr="00BE2C1D" w:rsidRDefault="00BE2C1D" w:rsidP="00BE2C1D">
      <w:pPr>
        <w:spacing w:line="360" w:lineRule="auto"/>
        <w:rPr>
          <w:rFonts w:cstheme="minorHAnsi"/>
          <w:lang w:eastAsia="en-GB"/>
        </w:rPr>
      </w:pPr>
      <w:r w:rsidRPr="00BE2C1D">
        <w:rPr>
          <w:rFonts w:cstheme="minorHAnsi"/>
          <w:shd w:val="clear" w:color="auto" w:fill="FFFFFF"/>
        </w:rPr>
        <w:t>Slee, R. and Allan, J., 2001. Excluding the included: A reconsideration of inclusive education. </w:t>
      </w:r>
      <w:r w:rsidRPr="00BE2C1D">
        <w:rPr>
          <w:rFonts w:cstheme="minorHAnsi"/>
          <w:i/>
          <w:iCs/>
          <w:shd w:val="clear" w:color="auto" w:fill="FFFFFF"/>
        </w:rPr>
        <w:t>International Studies in sociology of Education</w:t>
      </w:r>
      <w:r w:rsidRPr="00BE2C1D">
        <w:rPr>
          <w:rFonts w:cstheme="minorHAnsi"/>
          <w:shd w:val="clear" w:color="auto" w:fill="FFFFFF"/>
        </w:rPr>
        <w:t>. </w:t>
      </w:r>
      <w:r w:rsidRPr="00BE2C1D">
        <w:rPr>
          <w:rFonts w:cstheme="minorHAnsi"/>
          <w:b/>
          <w:bCs/>
          <w:shd w:val="clear" w:color="auto" w:fill="FFFFFF"/>
        </w:rPr>
        <w:t>11</w:t>
      </w:r>
      <w:r w:rsidRPr="00BE2C1D">
        <w:rPr>
          <w:rFonts w:cstheme="minorHAnsi"/>
          <w:shd w:val="clear" w:color="auto" w:fill="FFFFFF"/>
        </w:rPr>
        <w:t>(2), 173-192.</w:t>
      </w:r>
    </w:p>
    <w:p w14:paraId="7F282DD0" w14:textId="77777777" w:rsidR="00BE2C1D" w:rsidRPr="00BE2C1D" w:rsidRDefault="00BE2C1D" w:rsidP="00BE2C1D">
      <w:pPr>
        <w:spacing w:line="360" w:lineRule="auto"/>
        <w:rPr>
          <w:rFonts w:cstheme="minorHAnsi"/>
          <w:shd w:val="clear" w:color="auto" w:fill="FFFFFF"/>
        </w:rPr>
      </w:pPr>
      <w:r w:rsidRPr="00BE2C1D">
        <w:rPr>
          <w:rFonts w:cstheme="minorHAnsi"/>
          <w:shd w:val="clear" w:color="auto" w:fill="FFFFFF"/>
        </w:rPr>
        <w:t>Smith, A. and Thomas, N., 2006. Including pupils with special educational needs and disabilities in national curriculum physical education: A brief review. </w:t>
      </w:r>
      <w:r w:rsidRPr="00BE2C1D">
        <w:rPr>
          <w:rFonts w:cstheme="minorHAnsi"/>
          <w:i/>
          <w:iCs/>
          <w:shd w:val="clear" w:color="auto" w:fill="FFFFFF"/>
        </w:rPr>
        <w:t>European Journal of Special Needs Education</w:t>
      </w:r>
      <w:r w:rsidRPr="00BE2C1D">
        <w:rPr>
          <w:rFonts w:cstheme="minorHAnsi"/>
          <w:shd w:val="clear" w:color="auto" w:fill="FFFFFF"/>
        </w:rPr>
        <w:t>. </w:t>
      </w:r>
      <w:r w:rsidRPr="00BE2C1D">
        <w:rPr>
          <w:rFonts w:cstheme="minorHAnsi"/>
          <w:b/>
          <w:bCs/>
          <w:shd w:val="clear" w:color="auto" w:fill="FFFFFF"/>
        </w:rPr>
        <w:t>21</w:t>
      </w:r>
      <w:r w:rsidRPr="00BE2C1D">
        <w:rPr>
          <w:rFonts w:cstheme="minorHAnsi"/>
          <w:shd w:val="clear" w:color="auto" w:fill="FFFFFF"/>
        </w:rPr>
        <w:t>(1), 69-83.</w:t>
      </w:r>
    </w:p>
    <w:p w14:paraId="437285BD" w14:textId="77777777" w:rsidR="00BE2C1D" w:rsidRPr="00BE2C1D" w:rsidRDefault="00BE2C1D" w:rsidP="00BE2C1D">
      <w:pPr>
        <w:spacing w:line="360" w:lineRule="auto"/>
        <w:jc w:val="both"/>
        <w:rPr>
          <w:rFonts w:cstheme="minorHAnsi"/>
        </w:rPr>
      </w:pPr>
      <w:r w:rsidRPr="00BE2C1D">
        <w:rPr>
          <w:rFonts w:cstheme="minorHAnsi"/>
        </w:rPr>
        <w:t xml:space="preserve">Smith, B., 2007. The state of the art in narrative inquiry. </w:t>
      </w:r>
      <w:r w:rsidRPr="00BE2C1D">
        <w:rPr>
          <w:rFonts w:cstheme="minorHAnsi"/>
          <w:i/>
          <w:iCs/>
        </w:rPr>
        <w:t>Narrative inquiry</w:t>
      </w:r>
      <w:r w:rsidRPr="00BE2C1D">
        <w:rPr>
          <w:rFonts w:cstheme="minorHAnsi"/>
        </w:rPr>
        <w:t xml:space="preserve">. </w:t>
      </w:r>
      <w:r w:rsidRPr="00BE2C1D">
        <w:rPr>
          <w:rFonts w:cstheme="minorHAnsi"/>
          <w:b/>
          <w:bCs/>
        </w:rPr>
        <w:t>17</w:t>
      </w:r>
      <w:r w:rsidRPr="00BE2C1D">
        <w:rPr>
          <w:rFonts w:cstheme="minorHAnsi"/>
        </w:rPr>
        <w:t>(2), 391-398.</w:t>
      </w:r>
    </w:p>
    <w:p w14:paraId="1B818332" w14:textId="77777777" w:rsidR="00BE2C1D" w:rsidRPr="00BE2C1D" w:rsidRDefault="00BE2C1D" w:rsidP="00BE2C1D">
      <w:pPr>
        <w:spacing w:line="360" w:lineRule="auto"/>
        <w:rPr>
          <w:rFonts w:cstheme="minorHAnsi"/>
        </w:rPr>
      </w:pPr>
      <w:r w:rsidRPr="00BE2C1D">
        <w:rPr>
          <w:rFonts w:cstheme="minorHAnsi"/>
        </w:rPr>
        <w:t xml:space="preserve">Smith, B., and Sparkes, A. C., 2008. Changing bodies, changing narratives and the consequences of tellability: a case study of becoming disabled through sport. </w:t>
      </w:r>
      <w:r w:rsidRPr="00BE2C1D">
        <w:rPr>
          <w:rFonts w:cstheme="minorHAnsi"/>
          <w:i/>
          <w:iCs/>
        </w:rPr>
        <w:t>Sociology of Health and Illness</w:t>
      </w:r>
      <w:r w:rsidRPr="00BE2C1D">
        <w:rPr>
          <w:rFonts w:cstheme="minorHAnsi"/>
        </w:rPr>
        <w:t xml:space="preserve">. </w:t>
      </w:r>
      <w:r w:rsidRPr="00BE2C1D">
        <w:rPr>
          <w:rFonts w:cstheme="minorHAnsi"/>
          <w:b/>
          <w:bCs/>
        </w:rPr>
        <w:t>30</w:t>
      </w:r>
      <w:r w:rsidRPr="00BE2C1D">
        <w:rPr>
          <w:rFonts w:cstheme="minorHAnsi"/>
        </w:rPr>
        <w:t>, 217–236</w:t>
      </w:r>
    </w:p>
    <w:p w14:paraId="5292DF58" w14:textId="77777777" w:rsidR="00BE2C1D" w:rsidRPr="00BE2C1D" w:rsidRDefault="00BE2C1D" w:rsidP="00BE2C1D">
      <w:pPr>
        <w:spacing w:line="360" w:lineRule="auto"/>
        <w:jc w:val="both"/>
        <w:rPr>
          <w:rFonts w:cstheme="minorHAnsi"/>
        </w:rPr>
      </w:pPr>
      <w:r w:rsidRPr="00BE2C1D">
        <w:rPr>
          <w:rFonts w:cstheme="minorHAnsi"/>
        </w:rPr>
        <w:t xml:space="preserve">Smith, B. and Sparkes, A. C., 2009. </w:t>
      </w:r>
      <w:r w:rsidRPr="00BE2C1D">
        <w:rPr>
          <w:rFonts w:cstheme="minorHAnsi"/>
          <w:lang w:eastAsia="en-GB"/>
        </w:rPr>
        <w:t xml:space="preserve">Narrative inquiry in sport and exercise psychology: What can it mean, and why might we do it? </w:t>
      </w:r>
      <w:r w:rsidRPr="00BE2C1D">
        <w:rPr>
          <w:rFonts w:cstheme="minorHAnsi"/>
          <w:i/>
          <w:iCs/>
          <w:lang w:eastAsia="en-GB"/>
        </w:rPr>
        <w:t xml:space="preserve">Psychology of Sport and Exercise. </w:t>
      </w:r>
      <w:r w:rsidRPr="00BE2C1D">
        <w:rPr>
          <w:rFonts w:cstheme="minorHAnsi"/>
          <w:b/>
          <w:bCs/>
          <w:lang w:eastAsia="en-GB"/>
        </w:rPr>
        <w:t>10</w:t>
      </w:r>
      <w:r w:rsidRPr="00BE2C1D">
        <w:rPr>
          <w:rFonts w:cstheme="minorHAnsi"/>
          <w:lang w:eastAsia="en-GB"/>
        </w:rPr>
        <w:t xml:space="preserve">(1), 1-11. </w:t>
      </w:r>
    </w:p>
    <w:p w14:paraId="678F0610" w14:textId="77777777" w:rsidR="00BE2C1D" w:rsidRPr="00BE2C1D" w:rsidRDefault="00BE2C1D" w:rsidP="00BE2C1D">
      <w:pPr>
        <w:spacing w:line="360" w:lineRule="auto"/>
        <w:rPr>
          <w:rFonts w:cstheme="minorHAnsi"/>
          <w:shd w:val="clear" w:color="auto" w:fill="FFFFFF"/>
        </w:rPr>
      </w:pPr>
      <w:r w:rsidRPr="00BE2C1D">
        <w:rPr>
          <w:rFonts w:cstheme="minorHAnsi"/>
          <w:shd w:val="clear" w:color="auto" w:fill="FFFFFF"/>
        </w:rPr>
        <w:t>Smith, J. and Niemi, N., 2007. Exploring teacher perceptions of small boys in kindergarten. </w:t>
      </w:r>
      <w:r w:rsidRPr="00BE2C1D">
        <w:rPr>
          <w:rFonts w:cstheme="minorHAnsi"/>
          <w:i/>
          <w:iCs/>
          <w:shd w:val="clear" w:color="auto" w:fill="FFFFFF"/>
        </w:rPr>
        <w:t>The Journal of Educational Research</w:t>
      </w:r>
      <w:r w:rsidRPr="00BE2C1D">
        <w:rPr>
          <w:rFonts w:cstheme="minorHAnsi"/>
          <w:shd w:val="clear" w:color="auto" w:fill="FFFFFF"/>
        </w:rPr>
        <w:t>. </w:t>
      </w:r>
      <w:r w:rsidRPr="00BE2C1D">
        <w:rPr>
          <w:rFonts w:cstheme="minorHAnsi"/>
          <w:b/>
          <w:bCs/>
          <w:shd w:val="clear" w:color="auto" w:fill="FFFFFF"/>
        </w:rPr>
        <w:t>100</w:t>
      </w:r>
      <w:r w:rsidRPr="00BE2C1D">
        <w:rPr>
          <w:rFonts w:cstheme="minorHAnsi"/>
          <w:shd w:val="clear" w:color="auto" w:fill="FFFFFF"/>
        </w:rPr>
        <w:t>(6), 331-335.</w:t>
      </w:r>
    </w:p>
    <w:p w14:paraId="74E87E82" w14:textId="77777777" w:rsidR="00BE2C1D" w:rsidRPr="00BE2C1D" w:rsidRDefault="00BE2C1D" w:rsidP="00BE2C1D">
      <w:pPr>
        <w:spacing w:line="360" w:lineRule="auto"/>
        <w:jc w:val="both"/>
        <w:rPr>
          <w:rFonts w:cstheme="minorHAnsi"/>
        </w:rPr>
      </w:pPr>
      <w:r w:rsidRPr="00BE2C1D">
        <w:rPr>
          <w:rFonts w:cstheme="minorHAnsi"/>
        </w:rPr>
        <w:t xml:space="preserve">Smith, J. C., 2016. The embodied becoming of autism and childhood: a storytelling methodology, </w:t>
      </w:r>
      <w:r w:rsidRPr="00BE2C1D">
        <w:rPr>
          <w:rFonts w:cstheme="minorHAnsi"/>
          <w:i/>
          <w:iCs/>
        </w:rPr>
        <w:t xml:space="preserve">Disability &amp; Society. </w:t>
      </w:r>
      <w:r w:rsidRPr="00BE2C1D">
        <w:rPr>
          <w:rFonts w:cstheme="minorHAnsi"/>
          <w:b/>
          <w:bCs/>
        </w:rPr>
        <w:t>31</w:t>
      </w:r>
      <w:r w:rsidRPr="00BE2C1D">
        <w:rPr>
          <w:rFonts w:cstheme="minorHAnsi"/>
        </w:rPr>
        <w:t>(2), 180-191.</w:t>
      </w:r>
    </w:p>
    <w:p w14:paraId="164A343F" w14:textId="77777777" w:rsidR="00BE2C1D" w:rsidRPr="00BE2C1D" w:rsidRDefault="00BE2C1D" w:rsidP="00BE2C1D">
      <w:pPr>
        <w:spacing w:line="360" w:lineRule="auto"/>
        <w:rPr>
          <w:rFonts w:cstheme="minorHAnsi"/>
          <w:shd w:val="clear" w:color="auto" w:fill="FFFFFF"/>
        </w:rPr>
      </w:pPr>
      <w:r w:rsidRPr="00BE2C1D">
        <w:rPr>
          <w:rFonts w:cstheme="minorHAnsi"/>
          <w:shd w:val="clear" w:color="auto" w:fill="FFFFFF"/>
        </w:rPr>
        <w:t>Smith, P. K., Salmivalli, C. and Cowie, H., 2012. Effectiveness of school-based programs to reduce bullying: A commentary. </w:t>
      </w:r>
      <w:r w:rsidRPr="00BE2C1D">
        <w:rPr>
          <w:rFonts w:cstheme="minorHAnsi"/>
          <w:i/>
          <w:iCs/>
          <w:shd w:val="clear" w:color="auto" w:fill="FFFFFF"/>
        </w:rPr>
        <w:t>Journal of Experimental Criminology</w:t>
      </w:r>
      <w:r w:rsidRPr="00BE2C1D">
        <w:rPr>
          <w:rFonts w:cstheme="minorHAnsi"/>
          <w:shd w:val="clear" w:color="auto" w:fill="FFFFFF"/>
        </w:rPr>
        <w:t>. </w:t>
      </w:r>
      <w:r w:rsidRPr="00BE2C1D">
        <w:rPr>
          <w:rFonts w:cstheme="minorHAnsi"/>
          <w:b/>
          <w:bCs/>
          <w:shd w:val="clear" w:color="auto" w:fill="FFFFFF"/>
        </w:rPr>
        <w:t>8</w:t>
      </w:r>
      <w:r w:rsidRPr="00BE2C1D">
        <w:rPr>
          <w:rFonts w:cstheme="minorHAnsi"/>
          <w:shd w:val="clear" w:color="auto" w:fill="FFFFFF"/>
        </w:rPr>
        <w:t>(4), 433-441.</w:t>
      </w:r>
    </w:p>
    <w:p w14:paraId="37C30178" w14:textId="77777777" w:rsidR="00BE2C1D" w:rsidRPr="00BE2C1D" w:rsidRDefault="00BE2C1D" w:rsidP="00BE2C1D">
      <w:pPr>
        <w:spacing w:line="360" w:lineRule="auto"/>
        <w:rPr>
          <w:rFonts w:cstheme="minorHAnsi"/>
          <w:shd w:val="clear" w:color="auto" w:fill="FFFFFF"/>
        </w:rPr>
      </w:pPr>
      <w:r w:rsidRPr="00BE2C1D">
        <w:rPr>
          <w:rFonts w:cstheme="minorHAnsi"/>
          <w:shd w:val="clear" w:color="auto" w:fill="FFFFFF"/>
        </w:rPr>
        <w:lastRenderedPageBreak/>
        <w:t>Smith, P. K., Smith, C., Osborn, R. and Samara, M., 2008. A content analysis of school anti‐bullying policies: progress and limitations. </w:t>
      </w:r>
      <w:r w:rsidRPr="00BE2C1D">
        <w:rPr>
          <w:rFonts w:cstheme="minorHAnsi"/>
          <w:i/>
          <w:iCs/>
          <w:shd w:val="clear" w:color="auto" w:fill="FFFFFF"/>
        </w:rPr>
        <w:t>Educational Psychology in Practice</w:t>
      </w:r>
      <w:r w:rsidRPr="00BE2C1D">
        <w:rPr>
          <w:rFonts w:cstheme="minorHAnsi"/>
          <w:shd w:val="clear" w:color="auto" w:fill="FFFFFF"/>
        </w:rPr>
        <w:t>. </w:t>
      </w:r>
      <w:r w:rsidRPr="00BE2C1D">
        <w:rPr>
          <w:rFonts w:cstheme="minorHAnsi"/>
          <w:b/>
          <w:bCs/>
          <w:shd w:val="clear" w:color="auto" w:fill="FFFFFF"/>
        </w:rPr>
        <w:t>24</w:t>
      </w:r>
      <w:r w:rsidRPr="00BE2C1D">
        <w:rPr>
          <w:rFonts w:cstheme="minorHAnsi"/>
          <w:shd w:val="clear" w:color="auto" w:fill="FFFFFF"/>
        </w:rPr>
        <w:t>(1), 1-12.</w:t>
      </w:r>
    </w:p>
    <w:p w14:paraId="4F1C355B" w14:textId="77777777" w:rsidR="00BE2C1D" w:rsidRPr="00BE2C1D" w:rsidRDefault="00BE2C1D" w:rsidP="00BE2C1D">
      <w:pPr>
        <w:spacing w:line="360" w:lineRule="auto"/>
        <w:rPr>
          <w:rFonts w:cstheme="minorHAnsi"/>
          <w:shd w:val="clear" w:color="auto" w:fill="FFFFFF"/>
        </w:rPr>
      </w:pPr>
      <w:r w:rsidRPr="00BE2C1D">
        <w:rPr>
          <w:rFonts w:cstheme="minorHAnsi"/>
          <w:shd w:val="clear" w:color="auto" w:fill="FFFFFF"/>
        </w:rPr>
        <w:t>Smith, P. K. and Shu, S., 2000. What good schools can do about bullying: Findings from a survey in English schools after a decade of research and action. </w:t>
      </w:r>
      <w:r w:rsidRPr="00BE2C1D">
        <w:rPr>
          <w:rFonts w:cstheme="minorHAnsi"/>
          <w:i/>
          <w:iCs/>
          <w:shd w:val="clear" w:color="auto" w:fill="FFFFFF"/>
        </w:rPr>
        <w:t>Childhood</w:t>
      </w:r>
      <w:r w:rsidRPr="00BE2C1D">
        <w:rPr>
          <w:rFonts w:cstheme="minorHAnsi"/>
          <w:shd w:val="clear" w:color="auto" w:fill="FFFFFF"/>
        </w:rPr>
        <w:t>. </w:t>
      </w:r>
      <w:r w:rsidRPr="00BE2C1D">
        <w:rPr>
          <w:rFonts w:cstheme="minorHAnsi"/>
          <w:b/>
          <w:bCs/>
          <w:shd w:val="clear" w:color="auto" w:fill="FFFFFF"/>
        </w:rPr>
        <w:t>7</w:t>
      </w:r>
      <w:r w:rsidRPr="00BE2C1D">
        <w:rPr>
          <w:rFonts w:cstheme="minorHAnsi"/>
          <w:shd w:val="clear" w:color="auto" w:fill="FFFFFF"/>
        </w:rPr>
        <w:t>(2), 193-212.</w:t>
      </w:r>
    </w:p>
    <w:p w14:paraId="0837B8F5" w14:textId="77777777" w:rsidR="00BE2C1D" w:rsidRPr="00BE2C1D" w:rsidRDefault="00BE2C1D" w:rsidP="00BE2C1D">
      <w:pPr>
        <w:spacing w:line="360" w:lineRule="auto"/>
        <w:jc w:val="both"/>
        <w:rPr>
          <w:rFonts w:cstheme="minorHAnsi"/>
          <w:shd w:val="clear" w:color="auto" w:fill="FFFFFF"/>
        </w:rPr>
      </w:pPr>
      <w:r w:rsidRPr="00BE2C1D">
        <w:rPr>
          <w:rFonts w:cstheme="minorHAnsi"/>
          <w:shd w:val="clear" w:color="auto" w:fill="FFFFFF"/>
        </w:rPr>
        <w:t>Smithson, J., 2000. Using and analysing focus groups: limitations and possibilities. </w:t>
      </w:r>
      <w:r w:rsidRPr="00BE2C1D">
        <w:rPr>
          <w:rFonts w:cstheme="minorHAnsi"/>
          <w:i/>
          <w:iCs/>
          <w:shd w:val="clear" w:color="auto" w:fill="FFFFFF"/>
        </w:rPr>
        <w:t>International journal of social research methodology</w:t>
      </w:r>
      <w:r w:rsidRPr="00BE2C1D">
        <w:rPr>
          <w:rFonts w:cstheme="minorHAnsi"/>
          <w:shd w:val="clear" w:color="auto" w:fill="FFFFFF"/>
        </w:rPr>
        <w:t>. </w:t>
      </w:r>
      <w:r w:rsidRPr="00BE2C1D">
        <w:rPr>
          <w:rFonts w:cstheme="minorHAnsi"/>
          <w:b/>
          <w:bCs/>
          <w:shd w:val="clear" w:color="auto" w:fill="FFFFFF"/>
        </w:rPr>
        <w:t>3</w:t>
      </w:r>
      <w:r w:rsidRPr="00BE2C1D">
        <w:rPr>
          <w:rFonts w:cstheme="minorHAnsi"/>
          <w:shd w:val="clear" w:color="auto" w:fill="FFFFFF"/>
        </w:rPr>
        <w:t>(2), 103-119.</w:t>
      </w:r>
    </w:p>
    <w:p w14:paraId="5CBF3AC3" w14:textId="77777777" w:rsidR="00BE2C1D" w:rsidRPr="00BE2C1D" w:rsidRDefault="00BE2C1D" w:rsidP="00BE2C1D">
      <w:pPr>
        <w:spacing w:line="360" w:lineRule="auto"/>
        <w:rPr>
          <w:rFonts w:cstheme="minorHAnsi"/>
          <w:shd w:val="clear" w:color="auto" w:fill="FFFFFF"/>
        </w:rPr>
      </w:pPr>
      <w:r w:rsidRPr="00BE2C1D">
        <w:rPr>
          <w:rFonts w:cstheme="minorHAnsi"/>
          <w:shd w:val="clear" w:color="auto" w:fill="FFFFFF"/>
        </w:rPr>
        <w:t>Soley-Beltran, P., 2004. Modelling femininity. </w:t>
      </w:r>
      <w:r w:rsidRPr="00BE2C1D">
        <w:rPr>
          <w:rFonts w:cstheme="minorHAnsi"/>
          <w:i/>
          <w:iCs/>
          <w:shd w:val="clear" w:color="auto" w:fill="FFFFFF"/>
        </w:rPr>
        <w:t>European Journal of Women's Studies</w:t>
      </w:r>
      <w:r w:rsidRPr="00BE2C1D">
        <w:rPr>
          <w:rFonts w:cstheme="minorHAnsi"/>
          <w:shd w:val="clear" w:color="auto" w:fill="FFFFFF"/>
        </w:rPr>
        <w:t>. </w:t>
      </w:r>
      <w:r w:rsidRPr="00BE2C1D">
        <w:rPr>
          <w:rFonts w:cstheme="minorHAnsi"/>
          <w:b/>
          <w:bCs/>
          <w:shd w:val="clear" w:color="auto" w:fill="FFFFFF"/>
        </w:rPr>
        <w:t>11</w:t>
      </w:r>
      <w:r w:rsidRPr="00BE2C1D">
        <w:rPr>
          <w:rFonts w:cstheme="minorHAnsi"/>
          <w:shd w:val="clear" w:color="auto" w:fill="FFFFFF"/>
        </w:rPr>
        <w:t>(3), 309-326.</w:t>
      </w:r>
    </w:p>
    <w:p w14:paraId="2F3E27AD" w14:textId="77777777" w:rsidR="00BE2C1D" w:rsidRPr="00BE2C1D" w:rsidRDefault="00BE2C1D" w:rsidP="00BE2C1D">
      <w:pPr>
        <w:spacing w:line="360" w:lineRule="auto"/>
        <w:jc w:val="both"/>
        <w:rPr>
          <w:rFonts w:cstheme="minorHAnsi"/>
          <w:shd w:val="clear" w:color="auto" w:fill="FFFFFF"/>
        </w:rPr>
      </w:pPr>
      <w:r w:rsidRPr="00BE2C1D">
        <w:rPr>
          <w:rFonts w:cstheme="minorHAnsi"/>
          <w:shd w:val="clear" w:color="auto" w:fill="FFFFFF"/>
        </w:rPr>
        <w:t>Sparkes, A.C. and Smith, B., 2011. Inhabiting different bodies over time: Narrative and pedagogical challenges. </w:t>
      </w:r>
      <w:r w:rsidRPr="00BE2C1D">
        <w:rPr>
          <w:rFonts w:cstheme="minorHAnsi"/>
          <w:i/>
          <w:iCs/>
          <w:shd w:val="clear" w:color="auto" w:fill="FFFFFF"/>
        </w:rPr>
        <w:t>Sport, education and society</w:t>
      </w:r>
      <w:r w:rsidRPr="00BE2C1D">
        <w:rPr>
          <w:rFonts w:cstheme="minorHAnsi"/>
          <w:shd w:val="clear" w:color="auto" w:fill="FFFFFF"/>
        </w:rPr>
        <w:t>. </w:t>
      </w:r>
      <w:r w:rsidRPr="00BE2C1D">
        <w:rPr>
          <w:rFonts w:cstheme="minorHAnsi"/>
          <w:b/>
          <w:bCs/>
          <w:shd w:val="clear" w:color="auto" w:fill="FFFFFF"/>
        </w:rPr>
        <w:t>16</w:t>
      </w:r>
      <w:r w:rsidRPr="00BE2C1D">
        <w:rPr>
          <w:rFonts w:cstheme="minorHAnsi"/>
          <w:shd w:val="clear" w:color="auto" w:fill="FFFFFF"/>
        </w:rPr>
        <w:t>(3), 357-370.</w:t>
      </w:r>
    </w:p>
    <w:p w14:paraId="7E84F3B5" w14:textId="77777777" w:rsidR="00BE2C1D" w:rsidRPr="00BE2C1D" w:rsidRDefault="00BE2C1D" w:rsidP="00BE2C1D">
      <w:pPr>
        <w:spacing w:line="360" w:lineRule="auto"/>
        <w:rPr>
          <w:rFonts w:cstheme="minorHAnsi"/>
          <w:shd w:val="clear" w:color="auto" w:fill="FFFFFF"/>
        </w:rPr>
      </w:pPr>
      <w:r w:rsidRPr="00BE2C1D">
        <w:rPr>
          <w:rFonts w:cstheme="minorHAnsi"/>
          <w:shd w:val="clear" w:color="auto" w:fill="FFFFFF"/>
        </w:rPr>
        <w:t xml:space="preserve">Squire, C., Andrews, M. and Tamboukou, M. (2013). Introduction: What is narrative research? In: </w:t>
      </w:r>
      <w:bookmarkStart w:id="200" w:name="_Hlk37006009"/>
      <w:r w:rsidRPr="00BE2C1D">
        <w:rPr>
          <w:rFonts w:cstheme="minorHAnsi"/>
          <w:shd w:val="clear" w:color="auto" w:fill="FFFFFF"/>
        </w:rPr>
        <w:t>M. Andrews, C. Squire, M. Tamboukou, eds. </w:t>
      </w:r>
      <w:r w:rsidRPr="00BE2C1D">
        <w:rPr>
          <w:rFonts w:cstheme="minorHAnsi"/>
          <w:i/>
          <w:iCs/>
          <w:shd w:val="clear" w:color="auto" w:fill="FFFFFF"/>
        </w:rPr>
        <w:t>Doing narrative research</w:t>
      </w:r>
      <w:r w:rsidRPr="00BE2C1D">
        <w:rPr>
          <w:rFonts w:cstheme="minorHAnsi"/>
          <w:shd w:val="clear" w:color="auto" w:fill="FFFFFF"/>
        </w:rPr>
        <w:t>. London: Sag</w:t>
      </w:r>
      <w:bookmarkEnd w:id="200"/>
      <w:r w:rsidRPr="00BE2C1D">
        <w:rPr>
          <w:rFonts w:cstheme="minorHAnsi"/>
          <w:shd w:val="clear" w:color="auto" w:fill="FFFFFF"/>
        </w:rPr>
        <w:t>e. pp.1-26.</w:t>
      </w:r>
    </w:p>
    <w:p w14:paraId="4D865B1E" w14:textId="77777777" w:rsidR="00BE2C1D" w:rsidRPr="00BE2C1D" w:rsidRDefault="00BE2C1D" w:rsidP="00BE2C1D">
      <w:pPr>
        <w:spacing w:line="360" w:lineRule="auto"/>
        <w:rPr>
          <w:rFonts w:cstheme="minorHAnsi"/>
          <w:shd w:val="clear" w:color="auto" w:fill="FFFFFF"/>
        </w:rPr>
      </w:pPr>
      <w:r w:rsidRPr="00BE2C1D">
        <w:rPr>
          <w:rFonts w:cstheme="minorHAnsi"/>
          <w:shd w:val="clear" w:color="auto" w:fill="FFFFFF"/>
        </w:rPr>
        <w:t>Stabler, B., 2001. Impact of growth hormone (GH) therapy on quality of life along the lifespan of GH-treated patients. </w:t>
      </w:r>
      <w:r w:rsidRPr="00BE2C1D">
        <w:rPr>
          <w:rFonts w:cstheme="minorHAnsi"/>
          <w:i/>
          <w:iCs/>
          <w:shd w:val="clear" w:color="auto" w:fill="FFFFFF"/>
        </w:rPr>
        <w:t>Hormone Research in Paediatrics</w:t>
      </w:r>
      <w:r w:rsidRPr="00BE2C1D">
        <w:rPr>
          <w:rFonts w:cstheme="minorHAnsi"/>
          <w:shd w:val="clear" w:color="auto" w:fill="FFFFFF"/>
        </w:rPr>
        <w:t>. </w:t>
      </w:r>
      <w:r w:rsidRPr="00BE2C1D">
        <w:rPr>
          <w:rFonts w:cstheme="minorHAnsi"/>
          <w:b/>
          <w:bCs/>
          <w:shd w:val="clear" w:color="auto" w:fill="FFFFFF"/>
        </w:rPr>
        <w:t>56</w:t>
      </w:r>
      <w:r w:rsidRPr="00BE2C1D">
        <w:rPr>
          <w:rFonts w:cstheme="minorHAnsi"/>
          <w:shd w:val="clear" w:color="auto" w:fill="FFFFFF"/>
        </w:rPr>
        <w:t>(Suppl. 1), 55-58.</w:t>
      </w:r>
    </w:p>
    <w:p w14:paraId="36626B2F" w14:textId="77777777" w:rsidR="00BE2C1D" w:rsidRPr="00BE2C1D" w:rsidRDefault="00BE2C1D" w:rsidP="00BE2C1D">
      <w:pPr>
        <w:spacing w:line="360" w:lineRule="auto"/>
        <w:rPr>
          <w:rFonts w:cstheme="minorHAnsi"/>
          <w:shd w:val="clear" w:color="auto" w:fill="FFFFFF"/>
        </w:rPr>
      </w:pPr>
      <w:r w:rsidRPr="00BE2C1D">
        <w:rPr>
          <w:rFonts w:cstheme="minorHAnsi"/>
          <w:shd w:val="clear" w:color="auto" w:fill="FFFFFF"/>
        </w:rPr>
        <w:t>Stabler, B., Clopper, R.R., Siegel, P.T., Stoppani, C., Compton, P.G. and Underwood, L.E., 1994. Academic achievement and psychological adjustment in short children. </w:t>
      </w:r>
      <w:r w:rsidRPr="00BE2C1D">
        <w:rPr>
          <w:rFonts w:cstheme="minorHAnsi"/>
          <w:i/>
          <w:iCs/>
          <w:shd w:val="clear" w:color="auto" w:fill="FFFFFF"/>
        </w:rPr>
        <w:t>Journal of Developmental and Behavioral Pediatrics</w:t>
      </w:r>
      <w:r w:rsidRPr="00BE2C1D">
        <w:rPr>
          <w:rFonts w:cstheme="minorHAnsi"/>
          <w:shd w:val="clear" w:color="auto" w:fill="FFFFFF"/>
        </w:rPr>
        <w:t>.</w:t>
      </w:r>
      <w:r w:rsidRPr="00BE2C1D">
        <w:rPr>
          <w:rFonts w:eastAsiaTheme="majorEastAsia" w:cstheme="minorHAnsi"/>
          <w:shd w:val="clear" w:color="auto" w:fill="FFFFFF"/>
        </w:rPr>
        <w:t xml:space="preserve"> </w:t>
      </w:r>
      <w:r w:rsidRPr="00BE2C1D">
        <w:rPr>
          <w:rFonts w:cstheme="minorHAnsi"/>
          <w:b/>
          <w:bCs/>
          <w:shd w:val="clear" w:color="auto" w:fill="FFFFFF"/>
        </w:rPr>
        <w:t>15</w:t>
      </w:r>
      <w:r w:rsidRPr="00BE2C1D">
        <w:rPr>
          <w:rFonts w:cstheme="minorHAnsi"/>
          <w:shd w:val="clear" w:color="auto" w:fill="FFFFFF"/>
        </w:rPr>
        <w:t>(1), 1–6.</w:t>
      </w:r>
    </w:p>
    <w:p w14:paraId="78B6C961" w14:textId="77777777" w:rsidR="00BE2C1D" w:rsidRPr="00BE2C1D" w:rsidRDefault="00BE2C1D" w:rsidP="00BE2C1D">
      <w:pPr>
        <w:spacing w:line="360" w:lineRule="auto"/>
        <w:rPr>
          <w:rFonts w:cstheme="minorHAnsi"/>
          <w:shd w:val="clear" w:color="auto" w:fill="FFFFFF"/>
        </w:rPr>
      </w:pPr>
      <w:r w:rsidRPr="00BE2C1D">
        <w:rPr>
          <w:rFonts w:cstheme="minorHAnsi"/>
          <w:shd w:val="clear" w:color="auto" w:fill="FFFFFF"/>
        </w:rPr>
        <w:t>Stabler, B., Siegel, P.T., Clopper, R.R., Stoppani, C.E., Compton, P.G. and Underwood, L.E., 1998. Behavior change after growth hormone treatment of children with short stature. </w:t>
      </w:r>
      <w:r w:rsidRPr="00BE2C1D">
        <w:rPr>
          <w:rFonts w:cstheme="minorHAnsi"/>
          <w:i/>
          <w:iCs/>
          <w:shd w:val="clear" w:color="auto" w:fill="FFFFFF"/>
        </w:rPr>
        <w:t>The Journal of paediatrics</w:t>
      </w:r>
      <w:r w:rsidRPr="00BE2C1D">
        <w:rPr>
          <w:rFonts w:cstheme="minorHAnsi"/>
          <w:shd w:val="clear" w:color="auto" w:fill="FFFFFF"/>
        </w:rPr>
        <w:t>. </w:t>
      </w:r>
      <w:r w:rsidRPr="00BE2C1D">
        <w:rPr>
          <w:rFonts w:cstheme="minorHAnsi"/>
          <w:b/>
          <w:bCs/>
          <w:shd w:val="clear" w:color="auto" w:fill="FFFFFF"/>
        </w:rPr>
        <w:t>133</w:t>
      </w:r>
      <w:r w:rsidRPr="00BE2C1D">
        <w:rPr>
          <w:rFonts w:cstheme="minorHAnsi"/>
          <w:shd w:val="clear" w:color="auto" w:fill="FFFFFF"/>
        </w:rPr>
        <w:t>(3), 366-373.</w:t>
      </w:r>
    </w:p>
    <w:p w14:paraId="1758903E" w14:textId="77777777" w:rsidR="00BE2C1D" w:rsidRPr="00BE2C1D" w:rsidRDefault="00BE2C1D" w:rsidP="00BE2C1D">
      <w:pPr>
        <w:spacing w:line="360" w:lineRule="auto"/>
        <w:rPr>
          <w:rFonts w:cstheme="minorHAnsi"/>
          <w:shd w:val="clear" w:color="auto" w:fill="FFFFFF"/>
        </w:rPr>
      </w:pPr>
      <w:r w:rsidRPr="00BE2C1D">
        <w:rPr>
          <w:rFonts w:cstheme="minorHAnsi"/>
          <w:shd w:val="clear" w:color="auto" w:fill="FFFFFF"/>
        </w:rPr>
        <w:t>Stabler, B., Whitt, J.K., Moreault, D.M., D'ercole, A.J. and Underwood, L.E., 1980. Social judgments by children of short stature. </w:t>
      </w:r>
      <w:r w:rsidRPr="00BE2C1D">
        <w:rPr>
          <w:rFonts w:cstheme="minorHAnsi"/>
          <w:i/>
          <w:iCs/>
          <w:shd w:val="clear" w:color="auto" w:fill="FFFFFF"/>
        </w:rPr>
        <w:t>Psychological reports</w:t>
      </w:r>
      <w:r w:rsidRPr="00BE2C1D">
        <w:rPr>
          <w:rFonts w:cstheme="minorHAnsi"/>
          <w:shd w:val="clear" w:color="auto" w:fill="FFFFFF"/>
        </w:rPr>
        <w:t>. </w:t>
      </w:r>
      <w:r w:rsidRPr="00BE2C1D">
        <w:rPr>
          <w:rFonts w:cstheme="minorHAnsi"/>
          <w:b/>
          <w:bCs/>
          <w:shd w:val="clear" w:color="auto" w:fill="FFFFFF"/>
        </w:rPr>
        <w:t>46</w:t>
      </w:r>
      <w:r w:rsidRPr="00BE2C1D">
        <w:rPr>
          <w:rFonts w:cstheme="minorHAnsi"/>
          <w:shd w:val="clear" w:color="auto" w:fill="FFFFFF"/>
        </w:rPr>
        <w:t>(3), 743-746.</w:t>
      </w:r>
    </w:p>
    <w:p w14:paraId="3BA253B2" w14:textId="77777777" w:rsidR="00BE2C1D" w:rsidRPr="00BE2C1D" w:rsidRDefault="00BE2C1D" w:rsidP="00BE2C1D">
      <w:pPr>
        <w:spacing w:line="360" w:lineRule="auto"/>
        <w:rPr>
          <w:rFonts w:cstheme="minorHAnsi"/>
        </w:rPr>
      </w:pPr>
      <w:r w:rsidRPr="00BE2C1D">
        <w:rPr>
          <w:rFonts w:cstheme="minorHAnsi"/>
        </w:rPr>
        <w:t xml:space="preserve">Stace L, and Danks D M., A social study of dwarfing conditions III. 1981 The social and emotional experiences of adults with bone dysplasias. </w:t>
      </w:r>
      <w:r w:rsidRPr="00BE2C1D">
        <w:rPr>
          <w:rFonts w:cstheme="minorHAnsi"/>
          <w:i/>
          <w:iCs/>
        </w:rPr>
        <w:t>Austral Paediatric Journal</w:t>
      </w:r>
      <w:r w:rsidRPr="00BE2C1D">
        <w:rPr>
          <w:rFonts w:cstheme="minorHAnsi"/>
        </w:rPr>
        <w:t xml:space="preserve">. </w:t>
      </w:r>
      <w:r w:rsidRPr="00BE2C1D">
        <w:rPr>
          <w:rFonts w:cstheme="minorHAnsi"/>
          <w:b/>
          <w:bCs/>
        </w:rPr>
        <w:t>17</w:t>
      </w:r>
      <w:r w:rsidRPr="00BE2C1D">
        <w:rPr>
          <w:rFonts w:cstheme="minorHAnsi"/>
        </w:rPr>
        <w:t>, 177–182</w:t>
      </w:r>
    </w:p>
    <w:p w14:paraId="5D719DD7" w14:textId="77777777" w:rsidR="00BE2C1D" w:rsidRPr="00BE2C1D" w:rsidRDefault="00BE2C1D" w:rsidP="00BE2C1D">
      <w:pPr>
        <w:spacing w:line="360" w:lineRule="auto"/>
        <w:rPr>
          <w:rFonts w:cstheme="minorHAnsi"/>
          <w:shd w:val="clear" w:color="auto" w:fill="FFFFFF"/>
        </w:rPr>
      </w:pPr>
      <w:r w:rsidRPr="00BE2C1D">
        <w:rPr>
          <w:rFonts w:cstheme="minorHAnsi"/>
          <w:shd w:val="clear" w:color="auto" w:fill="FFFFFF"/>
        </w:rPr>
        <w:t>Stace, L. and Danks, D.M., 1981. A social study of dwarfing conditions II. The experience of children with bone dysplasias, and of their parents. </w:t>
      </w:r>
      <w:r w:rsidRPr="00BE2C1D">
        <w:rPr>
          <w:rFonts w:cstheme="minorHAnsi"/>
          <w:i/>
          <w:iCs/>
          <w:shd w:val="clear" w:color="auto" w:fill="FFFFFF"/>
        </w:rPr>
        <w:t>Journal of Paediatrics and Child Health</w:t>
      </w:r>
      <w:r w:rsidRPr="00BE2C1D">
        <w:rPr>
          <w:rFonts w:cstheme="minorHAnsi"/>
          <w:shd w:val="clear" w:color="auto" w:fill="FFFFFF"/>
        </w:rPr>
        <w:t>. </w:t>
      </w:r>
      <w:r w:rsidRPr="00BE2C1D">
        <w:rPr>
          <w:rFonts w:cstheme="minorHAnsi"/>
          <w:b/>
          <w:bCs/>
          <w:shd w:val="clear" w:color="auto" w:fill="FFFFFF"/>
        </w:rPr>
        <w:t>17</w:t>
      </w:r>
      <w:r w:rsidRPr="00BE2C1D">
        <w:rPr>
          <w:rFonts w:cstheme="minorHAnsi"/>
          <w:shd w:val="clear" w:color="auto" w:fill="FFFFFF"/>
        </w:rPr>
        <w:t>(3), 172-176.</w:t>
      </w:r>
    </w:p>
    <w:p w14:paraId="6AC13A90" w14:textId="77777777" w:rsidR="00BE2C1D" w:rsidRPr="00BE2C1D" w:rsidRDefault="00BE2C1D" w:rsidP="00BE2C1D">
      <w:pPr>
        <w:spacing w:line="360" w:lineRule="auto"/>
        <w:rPr>
          <w:rFonts w:cstheme="minorHAnsi"/>
          <w:shd w:val="clear" w:color="auto" w:fill="FFFFFF"/>
        </w:rPr>
      </w:pPr>
      <w:r w:rsidRPr="00BE2C1D">
        <w:rPr>
          <w:rFonts w:cstheme="minorHAnsi"/>
          <w:shd w:val="clear" w:color="auto" w:fill="FFFFFF"/>
        </w:rPr>
        <w:t xml:space="preserve">Steinhausen H. &amp; Stahnke N. (1976) Psychoendocrinological studies in dwarfed children and adolescents. </w:t>
      </w:r>
      <w:r w:rsidRPr="00BE2C1D">
        <w:rPr>
          <w:rFonts w:cstheme="minorHAnsi"/>
          <w:i/>
          <w:iCs/>
          <w:shd w:val="clear" w:color="auto" w:fill="FFFFFF"/>
        </w:rPr>
        <w:t>Archives of Diseases in Childhood.</w:t>
      </w:r>
      <w:r w:rsidRPr="00BE2C1D">
        <w:rPr>
          <w:rFonts w:cstheme="minorHAnsi"/>
          <w:shd w:val="clear" w:color="auto" w:fill="FFFFFF"/>
        </w:rPr>
        <w:t xml:space="preserve"> </w:t>
      </w:r>
      <w:r w:rsidRPr="00BE2C1D">
        <w:rPr>
          <w:rFonts w:cstheme="minorHAnsi"/>
          <w:b/>
          <w:bCs/>
          <w:shd w:val="clear" w:color="auto" w:fill="FFFFFF"/>
        </w:rPr>
        <w:t>51</w:t>
      </w:r>
      <w:r w:rsidRPr="00BE2C1D">
        <w:rPr>
          <w:rFonts w:cstheme="minorHAnsi"/>
          <w:shd w:val="clear" w:color="auto" w:fill="FFFFFF"/>
        </w:rPr>
        <w:t>, 778-783.</w:t>
      </w:r>
    </w:p>
    <w:p w14:paraId="11F09103" w14:textId="77777777" w:rsidR="00BE2C1D" w:rsidRPr="00BE2C1D" w:rsidRDefault="00BE2C1D" w:rsidP="00BE2C1D">
      <w:pPr>
        <w:spacing w:line="360" w:lineRule="auto"/>
        <w:rPr>
          <w:rFonts w:cstheme="minorHAnsi"/>
          <w:shd w:val="clear" w:color="auto" w:fill="FFFFFF"/>
        </w:rPr>
      </w:pPr>
      <w:r w:rsidRPr="00BE2C1D">
        <w:rPr>
          <w:rFonts w:cstheme="minorHAnsi"/>
          <w:shd w:val="clear" w:color="auto" w:fill="FFFFFF"/>
        </w:rPr>
        <w:t>Stephens, L., Ruddick, S. and McKeever, P., 2015. Disability and Deleuze: An exploration of becoming and embodiment in children’s everyday environments. </w:t>
      </w:r>
      <w:r w:rsidRPr="00BE2C1D">
        <w:rPr>
          <w:rFonts w:cstheme="minorHAnsi"/>
          <w:i/>
          <w:iCs/>
          <w:shd w:val="clear" w:color="auto" w:fill="FFFFFF"/>
        </w:rPr>
        <w:t>Body &amp; Society</w:t>
      </w:r>
      <w:r w:rsidRPr="00BE2C1D">
        <w:rPr>
          <w:rFonts w:cstheme="minorHAnsi"/>
          <w:shd w:val="clear" w:color="auto" w:fill="FFFFFF"/>
        </w:rPr>
        <w:t>. </w:t>
      </w:r>
      <w:r w:rsidRPr="00BE2C1D">
        <w:rPr>
          <w:rFonts w:cstheme="minorHAnsi"/>
          <w:b/>
          <w:bCs/>
          <w:shd w:val="clear" w:color="auto" w:fill="FFFFFF"/>
        </w:rPr>
        <w:t>21</w:t>
      </w:r>
      <w:r w:rsidRPr="00BE2C1D">
        <w:rPr>
          <w:rFonts w:cstheme="minorHAnsi"/>
          <w:shd w:val="clear" w:color="auto" w:fill="FFFFFF"/>
        </w:rPr>
        <w:t>(2), 194-220.</w:t>
      </w:r>
    </w:p>
    <w:p w14:paraId="54F7ECBE" w14:textId="77777777" w:rsidR="00BE2C1D" w:rsidRPr="00BE2C1D" w:rsidRDefault="00BE2C1D" w:rsidP="00BE2C1D">
      <w:pPr>
        <w:spacing w:line="360" w:lineRule="auto"/>
        <w:rPr>
          <w:rFonts w:cstheme="minorHAnsi"/>
          <w:shd w:val="clear" w:color="auto" w:fill="FFFFFF"/>
        </w:rPr>
      </w:pPr>
      <w:r w:rsidRPr="00BE2C1D">
        <w:rPr>
          <w:rFonts w:cstheme="minorHAnsi"/>
          <w:shd w:val="clear" w:color="auto" w:fill="FFFFFF"/>
        </w:rPr>
        <w:lastRenderedPageBreak/>
        <w:t>Stephens, L., Spalding, K., Aslam, H., Scott, H., Ruddick, S., Young, N.L. and McKeever, P., 2017. Inaccessible childhoods: evaluating accessibility in homes, schools and neighbourhoods with disabled children. </w:t>
      </w:r>
      <w:r w:rsidRPr="00BE2C1D">
        <w:rPr>
          <w:rFonts w:cstheme="minorHAnsi"/>
          <w:i/>
          <w:iCs/>
          <w:shd w:val="clear" w:color="auto" w:fill="FFFFFF"/>
        </w:rPr>
        <w:t>Children's geographies</w:t>
      </w:r>
      <w:r w:rsidRPr="00BE2C1D">
        <w:rPr>
          <w:rFonts w:cstheme="minorHAnsi"/>
          <w:shd w:val="clear" w:color="auto" w:fill="FFFFFF"/>
        </w:rPr>
        <w:t>. </w:t>
      </w:r>
      <w:r w:rsidRPr="00BE2C1D">
        <w:rPr>
          <w:rFonts w:cstheme="minorHAnsi"/>
          <w:b/>
          <w:bCs/>
          <w:shd w:val="clear" w:color="auto" w:fill="FFFFFF"/>
        </w:rPr>
        <w:t>15</w:t>
      </w:r>
      <w:r w:rsidRPr="00BE2C1D">
        <w:rPr>
          <w:rFonts w:cstheme="minorHAnsi"/>
          <w:shd w:val="clear" w:color="auto" w:fill="FFFFFF"/>
        </w:rPr>
        <w:t>(5), 583-599.</w:t>
      </w:r>
    </w:p>
    <w:p w14:paraId="464207E5" w14:textId="77777777" w:rsidR="00BE2C1D" w:rsidRPr="00BE2C1D" w:rsidRDefault="00BE2C1D" w:rsidP="00BE2C1D">
      <w:pPr>
        <w:spacing w:line="360" w:lineRule="auto"/>
        <w:rPr>
          <w:rFonts w:cstheme="minorHAnsi"/>
        </w:rPr>
      </w:pPr>
      <w:r w:rsidRPr="00BE2C1D">
        <w:rPr>
          <w:rFonts w:cstheme="minorHAnsi"/>
        </w:rPr>
        <w:t xml:space="preserve">Stone, E. and Priestley, M., 1996. Parasites, Pawns and Partners: Disability Research and the Role of Non-Disabled Researchers. </w:t>
      </w:r>
      <w:r w:rsidRPr="00BE2C1D">
        <w:rPr>
          <w:rFonts w:cstheme="minorHAnsi"/>
          <w:i/>
          <w:iCs/>
        </w:rPr>
        <w:t>The British Journal of</w:t>
      </w:r>
      <w:r w:rsidRPr="00BE2C1D">
        <w:rPr>
          <w:rFonts w:cstheme="minorHAnsi"/>
        </w:rPr>
        <w:t xml:space="preserve"> </w:t>
      </w:r>
      <w:r w:rsidRPr="00BE2C1D">
        <w:rPr>
          <w:rFonts w:cstheme="minorHAnsi"/>
          <w:i/>
          <w:iCs/>
        </w:rPr>
        <w:t>Sociology</w:t>
      </w:r>
      <w:r w:rsidRPr="00BE2C1D">
        <w:rPr>
          <w:rFonts w:cstheme="minorHAnsi"/>
        </w:rPr>
        <w:t xml:space="preserve">/ </w:t>
      </w:r>
      <w:r w:rsidRPr="00BE2C1D">
        <w:rPr>
          <w:rFonts w:cstheme="minorHAnsi"/>
          <w:b/>
          <w:bCs/>
        </w:rPr>
        <w:t>47(</w:t>
      </w:r>
      <w:r w:rsidRPr="00BE2C1D">
        <w:rPr>
          <w:rFonts w:cstheme="minorHAnsi"/>
        </w:rPr>
        <w:t>4), 699-716.</w:t>
      </w:r>
    </w:p>
    <w:p w14:paraId="6E35B1FB" w14:textId="77777777" w:rsidR="00BE2C1D" w:rsidRPr="00BE2C1D" w:rsidRDefault="00BE2C1D" w:rsidP="00BE2C1D">
      <w:pPr>
        <w:spacing w:line="360" w:lineRule="auto"/>
        <w:jc w:val="both"/>
        <w:rPr>
          <w:rFonts w:cstheme="minorHAnsi"/>
          <w:shd w:val="clear" w:color="auto" w:fill="FFFFFF"/>
        </w:rPr>
      </w:pPr>
      <w:r w:rsidRPr="00BE2C1D">
        <w:rPr>
          <w:rFonts w:cstheme="minorHAnsi"/>
          <w:shd w:val="clear" w:color="auto" w:fill="FFFFFF"/>
        </w:rPr>
        <w:t>Stone-Mediatore, S., (2003). </w:t>
      </w:r>
      <w:r w:rsidRPr="00BE2C1D">
        <w:rPr>
          <w:rFonts w:cstheme="minorHAnsi"/>
          <w:i/>
          <w:iCs/>
          <w:shd w:val="clear" w:color="auto" w:fill="FFFFFF"/>
        </w:rPr>
        <w:t>Reading across borders: Storytelling and postcolonial struggles</w:t>
      </w:r>
      <w:r w:rsidRPr="00BE2C1D">
        <w:rPr>
          <w:rFonts w:cstheme="minorHAnsi"/>
          <w:shd w:val="clear" w:color="auto" w:fill="FFFFFF"/>
        </w:rPr>
        <w:t>. Palgrave Macmillan.</w:t>
      </w:r>
    </w:p>
    <w:p w14:paraId="1CF9E990" w14:textId="77777777" w:rsidR="00BE2C1D" w:rsidRPr="00BE2C1D" w:rsidRDefault="00BE2C1D" w:rsidP="00BE2C1D">
      <w:pPr>
        <w:spacing w:line="360" w:lineRule="auto"/>
        <w:jc w:val="both"/>
        <w:rPr>
          <w:rFonts w:cstheme="minorHAnsi"/>
          <w:shd w:val="clear" w:color="auto" w:fill="FFFFFF"/>
        </w:rPr>
      </w:pPr>
      <w:r w:rsidRPr="00BE2C1D">
        <w:rPr>
          <w:rFonts w:cstheme="minorHAnsi"/>
          <w:shd w:val="clear" w:color="auto" w:fill="FFFFFF"/>
        </w:rPr>
        <w:t>Stone-Mediatore, S., (2016). Storytelling/Narrative. In: K. Disch, M. Hawkesworth, eds. </w:t>
      </w:r>
      <w:r w:rsidRPr="00BE2C1D">
        <w:rPr>
          <w:rFonts w:cstheme="minorHAnsi"/>
          <w:i/>
          <w:iCs/>
          <w:shd w:val="clear" w:color="auto" w:fill="FFFFFF"/>
        </w:rPr>
        <w:t>The Oxford Handbook of Feminist Theory</w:t>
      </w:r>
      <w:r w:rsidRPr="00BE2C1D">
        <w:rPr>
          <w:rFonts w:cstheme="minorHAnsi"/>
          <w:shd w:val="clear" w:color="auto" w:fill="FFFFFF"/>
        </w:rPr>
        <w:t>. Oxford: Oxford University Press. pp. 934.954.</w:t>
      </w:r>
    </w:p>
    <w:p w14:paraId="3A820B0F" w14:textId="77777777" w:rsidR="00BE2C1D" w:rsidRPr="00BE2C1D" w:rsidRDefault="00BE2C1D" w:rsidP="00BE2C1D">
      <w:pPr>
        <w:spacing w:line="360" w:lineRule="auto"/>
        <w:jc w:val="both"/>
        <w:rPr>
          <w:rFonts w:cstheme="minorHAnsi"/>
        </w:rPr>
      </w:pPr>
      <w:r w:rsidRPr="00BE2C1D">
        <w:rPr>
          <w:rFonts w:cstheme="minorHAnsi"/>
        </w:rPr>
        <w:t xml:space="preserve">Swain, J. &amp; French, S. (2000) Towards an Affirmation Model of Disability, </w:t>
      </w:r>
      <w:r w:rsidRPr="00BE2C1D">
        <w:rPr>
          <w:rFonts w:cstheme="minorHAnsi"/>
          <w:i/>
          <w:iCs/>
        </w:rPr>
        <w:t>Disability &amp; Society.</w:t>
      </w:r>
      <w:r w:rsidRPr="00BE2C1D">
        <w:rPr>
          <w:rFonts w:cstheme="minorHAnsi"/>
        </w:rPr>
        <w:t xml:space="preserve"> 15(4), 569-582. </w:t>
      </w:r>
    </w:p>
    <w:p w14:paraId="29EF1ECF" w14:textId="77777777" w:rsidR="00BE2C1D" w:rsidRPr="00BE2C1D" w:rsidRDefault="00BE2C1D" w:rsidP="00BE2C1D">
      <w:pPr>
        <w:spacing w:line="360" w:lineRule="auto"/>
        <w:rPr>
          <w:rFonts w:cstheme="minorHAnsi"/>
          <w:shd w:val="clear" w:color="auto" w:fill="FFFFFF"/>
        </w:rPr>
      </w:pPr>
      <w:r w:rsidRPr="00BE2C1D">
        <w:rPr>
          <w:rFonts w:cstheme="minorHAnsi"/>
          <w:shd w:val="clear" w:color="auto" w:fill="FFFFFF"/>
        </w:rPr>
        <w:t>Swearer, S.M. and Doll, B., 2001. Bullying in schools: An ecological framework. </w:t>
      </w:r>
      <w:r w:rsidRPr="00BE2C1D">
        <w:rPr>
          <w:rFonts w:cstheme="minorHAnsi"/>
          <w:i/>
          <w:iCs/>
          <w:shd w:val="clear" w:color="auto" w:fill="FFFFFF"/>
        </w:rPr>
        <w:t>Journal of Emotional Abuse</w:t>
      </w:r>
      <w:r w:rsidRPr="00BE2C1D">
        <w:rPr>
          <w:rFonts w:cstheme="minorHAnsi"/>
          <w:shd w:val="clear" w:color="auto" w:fill="FFFFFF"/>
        </w:rPr>
        <w:t>, </w:t>
      </w:r>
      <w:r w:rsidRPr="00BE2C1D">
        <w:rPr>
          <w:rFonts w:cstheme="minorHAnsi"/>
          <w:b/>
          <w:bCs/>
          <w:shd w:val="clear" w:color="auto" w:fill="FFFFFF"/>
        </w:rPr>
        <w:t>2</w:t>
      </w:r>
      <w:r w:rsidRPr="00BE2C1D">
        <w:rPr>
          <w:rFonts w:cstheme="minorHAnsi"/>
          <w:shd w:val="clear" w:color="auto" w:fill="FFFFFF"/>
        </w:rPr>
        <w:t>(2-3), 7-23.</w:t>
      </w:r>
    </w:p>
    <w:p w14:paraId="557DB54D" w14:textId="77777777" w:rsidR="00BE2C1D" w:rsidRPr="00BE2C1D" w:rsidRDefault="00BE2C1D" w:rsidP="00BE2C1D">
      <w:pPr>
        <w:spacing w:line="360" w:lineRule="auto"/>
        <w:rPr>
          <w:rFonts w:cstheme="minorHAnsi"/>
          <w:shd w:val="clear" w:color="auto" w:fill="FFFFFF"/>
        </w:rPr>
      </w:pPr>
      <w:r w:rsidRPr="00BE2C1D">
        <w:rPr>
          <w:rFonts w:cstheme="minorHAnsi"/>
          <w:shd w:val="clear" w:color="auto" w:fill="FFFFFF"/>
        </w:rPr>
        <w:t>Swearer, S.M., Espelage, D.L., Vaillancourt, T. and Hymel, S., 2010. What can be done about school bullying? Linking research to educational practice. </w:t>
      </w:r>
      <w:r w:rsidRPr="00BE2C1D">
        <w:rPr>
          <w:rFonts w:cstheme="minorHAnsi"/>
          <w:i/>
          <w:iCs/>
          <w:shd w:val="clear" w:color="auto" w:fill="FFFFFF"/>
        </w:rPr>
        <w:t>Educational researcher</w:t>
      </w:r>
      <w:r w:rsidRPr="00BE2C1D">
        <w:rPr>
          <w:rFonts w:cstheme="minorHAnsi"/>
          <w:shd w:val="clear" w:color="auto" w:fill="FFFFFF"/>
        </w:rPr>
        <w:t>. </w:t>
      </w:r>
      <w:r w:rsidRPr="00BE2C1D">
        <w:rPr>
          <w:rFonts w:cstheme="minorHAnsi"/>
          <w:b/>
          <w:bCs/>
          <w:shd w:val="clear" w:color="auto" w:fill="FFFFFF"/>
        </w:rPr>
        <w:t>39</w:t>
      </w:r>
      <w:r w:rsidRPr="00BE2C1D">
        <w:rPr>
          <w:rFonts w:cstheme="minorHAnsi"/>
          <w:shd w:val="clear" w:color="auto" w:fill="FFFFFF"/>
        </w:rPr>
        <w:t>(1), 38-47.</w:t>
      </w:r>
    </w:p>
    <w:p w14:paraId="52A13D76" w14:textId="77777777" w:rsidR="00BE2C1D" w:rsidRPr="00BE2C1D" w:rsidRDefault="00BE2C1D" w:rsidP="00BE2C1D">
      <w:pPr>
        <w:spacing w:line="360" w:lineRule="auto"/>
        <w:rPr>
          <w:rFonts w:cstheme="minorHAnsi"/>
          <w:shd w:val="clear" w:color="auto" w:fill="FFFFFF"/>
        </w:rPr>
      </w:pPr>
      <w:r w:rsidRPr="00BE2C1D">
        <w:rPr>
          <w:rFonts w:cstheme="minorHAnsi"/>
          <w:shd w:val="clear" w:color="auto" w:fill="FFFFFF"/>
        </w:rPr>
        <w:t>Swearer, S.M., Wang, C., Maag, J.W., Siebecker, A.B. and Frerichs, L.J., 2012. Understanding the bullying dynamic among students in special and general education. </w:t>
      </w:r>
      <w:r w:rsidRPr="00BE2C1D">
        <w:rPr>
          <w:rFonts w:cstheme="minorHAnsi"/>
          <w:i/>
          <w:iCs/>
          <w:shd w:val="clear" w:color="auto" w:fill="FFFFFF"/>
        </w:rPr>
        <w:t>Journal of School Psychology</w:t>
      </w:r>
      <w:r w:rsidRPr="00BE2C1D">
        <w:rPr>
          <w:rFonts w:cstheme="minorHAnsi"/>
          <w:shd w:val="clear" w:color="auto" w:fill="FFFFFF"/>
        </w:rPr>
        <w:t>. </w:t>
      </w:r>
      <w:r w:rsidRPr="00BE2C1D">
        <w:rPr>
          <w:rFonts w:cstheme="minorHAnsi"/>
          <w:b/>
          <w:bCs/>
          <w:shd w:val="clear" w:color="auto" w:fill="FFFFFF"/>
        </w:rPr>
        <w:t>50</w:t>
      </w:r>
      <w:r w:rsidRPr="00BE2C1D">
        <w:rPr>
          <w:rFonts w:cstheme="minorHAnsi"/>
          <w:shd w:val="clear" w:color="auto" w:fill="FFFFFF"/>
        </w:rPr>
        <w:t>(4), 503-520.</w:t>
      </w:r>
    </w:p>
    <w:p w14:paraId="0EBFC6B1" w14:textId="77777777" w:rsidR="00BE2C1D" w:rsidRPr="00BE2C1D" w:rsidRDefault="00BE2C1D" w:rsidP="00BE2C1D">
      <w:pPr>
        <w:spacing w:line="360" w:lineRule="auto"/>
        <w:rPr>
          <w:rFonts w:cstheme="minorHAnsi"/>
          <w:shd w:val="clear" w:color="auto" w:fill="FFFFFF"/>
        </w:rPr>
      </w:pPr>
      <w:r w:rsidRPr="00BE2C1D">
        <w:rPr>
          <w:rFonts w:cstheme="minorHAnsi"/>
          <w:shd w:val="clear" w:color="auto" w:fill="FFFFFF"/>
        </w:rPr>
        <w:t>Sydor, A., 2013. Conducting research into hidden or hard-to-reach populations. </w:t>
      </w:r>
      <w:r w:rsidRPr="00BE2C1D">
        <w:rPr>
          <w:rFonts w:cstheme="minorHAnsi"/>
          <w:i/>
          <w:iCs/>
          <w:shd w:val="clear" w:color="auto" w:fill="FFFFFF"/>
        </w:rPr>
        <w:t>Nurse researcher</w:t>
      </w:r>
      <w:r w:rsidRPr="00BE2C1D">
        <w:rPr>
          <w:rFonts w:cstheme="minorHAnsi"/>
          <w:shd w:val="clear" w:color="auto" w:fill="FFFFFF"/>
        </w:rPr>
        <w:t>. </w:t>
      </w:r>
      <w:r w:rsidRPr="00BE2C1D">
        <w:rPr>
          <w:rFonts w:cstheme="minorHAnsi"/>
          <w:b/>
          <w:bCs/>
          <w:shd w:val="clear" w:color="auto" w:fill="FFFFFF"/>
        </w:rPr>
        <w:t>20</w:t>
      </w:r>
      <w:r w:rsidRPr="00BE2C1D">
        <w:rPr>
          <w:rFonts w:cstheme="minorHAnsi"/>
          <w:shd w:val="clear" w:color="auto" w:fill="FFFFFF"/>
        </w:rPr>
        <w:t xml:space="preserve">(3), 33-37. </w:t>
      </w:r>
    </w:p>
    <w:p w14:paraId="6E361A36" w14:textId="77777777" w:rsidR="00BE2C1D" w:rsidRPr="00BE2C1D" w:rsidRDefault="00BE2C1D" w:rsidP="00BE2C1D">
      <w:pPr>
        <w:spacing w:line="360" w:lineRule="auto"/>
        <w:rPr>
          <w:rFonts w:cstheme="minorHAnsi"/>
          <w:shd w:val="clear" w:color="auto" w:fill="FFFFFF"/>
        </w:rPr>
      </w:pPr>
      <w:r w:rsidRPr="00BE2C1D">
        <w:rPr>
          <w:rFonts w:cstheme="minorHAnsi"/>
          <w:shd w:val="clear" w:color="auto" w:fill="FFFFFF"/>
        </w:rPr>
        <w:t>Talay, L., Akpinar, N. and Belkayali, N., 2010. Barriers to playground use for children with disabilities: A case from Ankara, Turkey. </w:t>
      </w:r>
      <w:r w:rsidRPr="00BE2C1D">
        <w:rPr>
          <w:rFonts w:cstheme="minorHAnsi"/>
          <w:i/>
          <w:iCs/>
          <w:shd w:val="clear" w:color="auto" w:fill="FFFFFF"/>
        </w:rPr>
        <w:t>African Journal of Agricultural Research</w:t>
      </w:r>
      <w:r w:rsidRPr="00BE2C1D">
        <w:rPr>
          <w:rFonts w:cstheme="minorHAnsi"/>
          <w:shd w:val="clear" w:color="auto" w:fill="FFFFFF"/>
        </w:rPr>
        <w:t>. </w:t>
      </w:r>
      <w:r w:rsidRPr="00BE2C1D">
        <w:rPr>
          <w:rFonts w:cstheme="minorHAnsi"/>
          <w:b/>
          <w:bCs/>
          <w:shd w:val="clear" w:color="auto" w:fill="FFFFFF"/>
        </w:rPr>
        <w:t>5</w:t>
      </w:r>
      <w:r w:rsidRPr="00BE2C1D">
        <w:rPr>
          <w:rFonts w:cstheme="minorHAnsi"/>
          <w:shd w:val="clear" w:color="auto" w:fill="FFFFFF"/>
        </w:rPr>
        <w:t>(9), 848-855.</w:t>
      </w:r>
    </w:p>
    <w:p w14:paraId="2C988660" w14:textId="77777777" w:rsidR="00BE2C1D" w:rsidRPr="00BE2C1D" w:rsidRDefault="00BE2C1D" w:rsidP="00BE2C1D">
      <w:pPr>
        <w:spacing w:line="360" w:lineRule="auto"/>
        <w:rPr>
          <w:rFonts w:cstheme="minorHAnsi"/>
          <w:shd w:val="clear" w:color="auto" w:fill="FFFFFF"/>
        </w:rPr>
      </w:pPr>
      <w:r w:rsidRPr="00BE2C1D">
        <w:rPr>
          <w:rFonts w:cstheme="minorHAnsi"/>
          <w:shd w:val="clear" w:color="auto" w:fill="FFFFFF"/>
        </w:rPr>
        <w:t>Tamboukou, M., (2013). A Foucauldian approach to narratives. In: M. Andrews, C. Squire, M. Tamboukou, eds. </w:t>
      </w:r>
      <w:r w:rsidRPr="00BE2C1D">
        <w:rPr>
          <w:rFonts w:cstheme="minorHAnsi"/>
          <w:i/>
          <w:iCs/>
          <w:shd w:val="clear" w:color="auto" w:fill="FFFFFF"/>
        </w:rPr>
        <w:t>Doing narrative research</w:t>
      </w:r>
      <w:r w:rsidRPr="00BE2C1D">
        <w:rPr>
          <w:rFonts w:cstheme="minorHAnsi"/>
          <w:shd w:val="clear" w:color="auto" w:fill="FFFFFF"/>
        </w:rPr>
        <w:t>. London: Sage. pp. 88-107.</w:t>
      </w:r>
    </w:p>
    <w:p w14:paraId="7267D4FB" w14:textId="77777777" w:rsidR="00BE2C1D" w:rsidRPr="00BE2C1D" w:rsidRDefault="00BE2C1D" w:rsidP="00BE2C1D">
      <w:pPr>
        <w:spacing w:line="360" w:lineRule="auto"/>
        <w:rPr>
          <w:rFonts w:cstheme="minorHAnsi"/>
          <w:shd w:val="clear" w:color="auto" w:fill="FFFFFF"/>
        </w:rPr>
      </w:pPr>
      <w:r w:rsidRPr="00BE2C1D">
        <w:rPr>
          <w:rFonts w:cstheme="minorHAnsi"/>
          <w:shd w:val="clear" w:color="auto" w:fill="FFFFFF"/>
        </w:rPr>
        <w:t>Tamm, M. &amp; Skär, L., 2000. How I play: Roles and relations in the play situations of children with restricted mobility. </w:t>
      </w:r>
      <w:r w:rsidRPr="00BE2C1D">
        <w:rPr>
          <w:rFonts w:cstheme="minorHAnsi"/>
          <w:i/>
          <w:iCs/>
          <w:shd w:val="clear" w:color="auto" w:fill="FFFFFF"/>
        </w:rPr>
        <w:t>Scandinavian journal of occupational therapy</w:t>
      </w:r>
      <w:r w:rsidRPr="00BE2C1D">
        <w:rPr>
          <w:rFonts w:cstheme="minorHAnsi"/>
          <w:shd w:val="clear" w:color="auto" w:fill="FFFFFF"/>
        </w:rPr>
        <w:t>. </w:t>
      </w:r>
      <w:r w:rsidRPr="00BE2C1D">
        <w:rPr>
          <w:rFonts w:cstheme="minorHAnsi"/>
          <w:b/>
          <w:bCs/>
          <w:shd w:val="clear" w:color="auto" w:fill="FFFFFF"/>
        </w:rPr>
        <w:t>7</w:t>
      </w:r>
      <w:r w:rsidRPr="00BE2C1D">
        <w:rPr>
          <w:rFonts w:cstheme="minorHAnsi"/>
          <w:shd w:val="clear" w:color="auto" w:fill="FFFFFF"/>
        </w:rPr>
        <w:t>(4), 174-182.</w:t>
      </w:r>
    </w:p>
    <w:p w14:paraId="1462A5A9" w14:textId="77777777" w:rsidR="00BE2C1D" w:rsidRPr="00BE2C1D" w:rsidRDefault="00BE2C1D" w:rsidP="00BE2C1D">
      <w:pPr>
        <w:spacing w:line="360" w:lineRule="auto"/>
        <w:rPr>
          <w:rFonts w:cstheme="minorHAnsi"/>
          <w:shd w:val="clear" w:color="auto" w:fill="FFFFFF"/>
        </w:rPr>
      </w:pPr>
      <w:r w:rsidRPr="00BE2C1D">
        <w:rPr>
          <w:rFonts w:cstheme="minorHAnsi"/>
          <w:shd w:val="clear" w:color="auto" w:fill="FFFFFF"/>
        </w:rPr>
        <w:t>Tanner, J.M., 1986. 1 Normal growth and techniques of growth assessment. </w:t>
      </w:r>
      <w:r w:rsidRPr="00BE2C1D">
        <w:rPr>
          <w:rFonts w:cstheme="minorHAnsi"/>
          <w:i/>
          <w:iCs/>
          <w:shd w:val="clear" w:color="auto" w:fill="FFFFFF"/>
        </w:rPr>
        <w:t>Clinics in endocrinology and metabolism</w:t>
      </w:r>
      <w:r w:rsidRPr="00BE2C1D">
        <w:rPr>
          <w:rFonts w:cstheme="minorHAnsi"/>
          <w:shd w:val="clear" w:color="auto" w:fill="FFFFFF"/>
        </w:rPr>
        <w:t>. </w:t>
      </w:r>
      <w:r w:rsidRPr="00BE2C1D">
        <w:rPr>
          <w:rFonts w:cstheme="minorHAnsi"/>
          <w:b/>
          <w:bCs/>
          <w:shd w:val="clear" w:color="auto" w:fill="FFFFFF"/>
        </w:rPr>
        <w:t>15</w:t>
      </w:r>
      <w:r w:rsidRPr="00BE2C1D">
        <w:rPr>
          <w:rFonts w:cstheme="minorHAnsi"/>
          <w:shd w:val="clear" w:color="auto" w:fill="FFFFFF"/>
        </w:rPr>
        <w:t>(3), 411-451.</w:t>
      </w:r>
    </w:p>
    <w:p w14:paraId="2779FD44" w14:textId="77777777" w:rsidR="00BE2C1D" w:rsidRPr="00BE2C1D" w:rsidRDefault="00BE2C1D" w:rsidP="00BE2C1D">
      <w:pPr>
        <w:spacing w:line="360" w:lineRule="auto"/>
        <w:rPr>
          <w:rFonts w:cstheme="minorHAnsi"/>
          <w:shd w:val="clear" w:color="auto" w:fill="FFFFFF"/>
        </w:rPr>
      </w:pPr>
      <w:r w:rsidRPr="00BE2C1D">
        <w:rPr>
          <w:rFonts w:cstheme="minorHAnsi"/>
          <w:shd w:val="clear" w:color="auto" w:fill="FFFFFF"/>
        </w:rPr>
        <w:lastRenderedPageBreak/>
        <w:t>Taylor, E., (2013). Surveillance Schools: A New Era in Education. In </w:t>
      </w:r>
      <w:r w:rsidRPr="00BE2C1D">
        <w:rPr>
          <w:rFonts w:cstheme="minorHAnsi"/>
          <w:i/>
          <w:iCs/>
          <w:shd w:val="clear" w:color="auto" w:fill="FFFFFF"/>
        </w:rPr>
        <w:t>Surveillance Schools: Security, Discipline and Control in Contemporary Education</w:t>
      </w:r>
      <w:r w:rsidRPr="00BE2C1D">
        <w:rPr>
          <w:rFonts w:cstheme="minorHAnsi"/>
          <w:shd w:val="clear" w:color="auto" w:fill="FFFFFF"/>
        </w:rPr>
        <w:t>. London: Palgrave Pivot. pp. 15-39.</w:t>
      </w:r>
    </w:p>
    <w:p w14:paraId="0DF5EE60" w14:textId="77777777" w:rsidR="00BE2C1D" w:rsidRPr="00BE2C1D" w:rsidRDefault="00BE2C1D" w:rsidP="00BE2C1D">
      <w:pPr>
        <w:spacing w:line="360" w:lineRule="auto"/>
        <w:rPr>
          <w:rFonts w:cstheme="minorHAnsi"/>
          <w:shd w:val="clear" w:color="auto" w:fill="FFFFFF"/>
        </w:rPr>
      </w:pPr>
      <w:r w:rsidRPr="00BE2C1D">
        <w:rPr>
          <w:rFonts w:cstheme="minorHAnsi"/>
          <w:shd w:val="clear" w:color="auto" w:fill="FFFFFF"/>
        </w:rPr>
        <w:t>Teasdale, T.W., Owen, D.R. and Sørensen, T.I.A., 1991. Intelligence and educational level in adult males at the extremes of stature. </w:t>
      </w:r>
      <w:r w:rsidRPr="00BE2C1D">
        <w:rPr>
          <w:rFonts w:cstheme="minorHAnsi"/>
          <w:i/>
          <w:iCs/>
          <w:shd w:val="clear" w:color="auto" w:fill="FFFFFF"/>
        </w:rPr>
        <w:t>Human Biology</w:t>
      </w:r>
      <w:r w:rsidRPr="00BE2C1D">
        <w:rPr>
          <w:rFonts w:cstheme="minorHAnsi"/>
          <w:shd w:val="clear" w:color="auto" w:fill="FFFFFF"/>
        </w:rPr>
        <w:t xml:space="preserve">. </w:t>
      </w:r>
      <w:r w:rsidRPr="00BE2C1D">
        <w:rPr>
          <w:rFonts w:cstheme="minorHAnsi"/>
          <w:b/>
          <w:bCs/>
          <w:shd w:val="clear" w:color="auto" w:fill="FFFFFF"/>
        </w:rPr>
        <w:t>63</w:t>
      </w:r>
      <w:r w:rsidRPr="00BE2C1D">
        <w:rPr>
          <w:rFonts w:cstheme="minorHAnsi"/>
          <w:shd w:val="clear" w:color="auto" w:fill="FFFFFF"/>
        </w:rPr>
        <w:t>(1), 19-30.</w:t>
      </w:r>
    </w:p>
    <w:p w14:paraId="2EC69618" w14:textId="77777777" w:rsidR="00BE2C1D" w:rsidRPr="00BE2C1D" w:rsidRDefault="00BE2C1D" w:rsidP="00BE2C1D">
      <w:pPr>
        <w:spacing w:line="360" w:lineRule="auto"/>
        <w:rPr>
          <w:rFonts w:cstheme="minorHAnsi"/>
          <w:shd w:val="clear" w:color="auto" w:fill="FFFFFF"/>
        </w:rPr>
      </w:pPr>
      <w:r w:rsidRPr="00BE2C1D">
        <w:rPr>
          <w:rFonts w:cstheme="minorHAnsi"/>
          <w:shd w:val="clear" w:color="auto" w:fill="FFFFFF"/>
        </w:rPr>
        <w:t>Tews, L. and Lupart, J., 2008. Students With Disabilities' Perspectives of the Role and Impact of Paraprofessionals in Inclusive Education Settings. </w:t>
      </w:r>
      <w:r w:rsidRPr="00BE2C1D">
        <w:rPr>
          <w:rFonts w:cstheme="minorHAnsi"/>
          <w:i/>
          <w:iCs/>
          <w:shd w:val="clear" w:color="auto" w:fill="FFFFFF"/>
        </w:rPr>
        <w:t>Journal of Policy and Practice in Intellectual Disabilities</w:t>
      </w:r>
      <w:r w:rsidRPr="00BE2C1D">
        <w:rPr>
          <w:rFonts w:cstheme="minorHAnsi"/>
          <w:shd w:val="clear" w:color="auto" w:fill="FFFFFF"/>
        </w:rPr>
        <w:t>. </w:t>
      </w:r>
      <w:r w:rsidRPr="00BE2C1D">
        <w:rPr>
          <w:rFonts w:cstheme="minorHAnsi"/>
          <w:b/>
          <w:bCs/>
          <w:shd w:val="clear" w:color="auto" w:fill="FFFFFF"/>
        </w:rPr>
        <w:t>5</w:t>
      </w:r>
      <w:r w:rsidRPr="00BE2C1D">
        <w:rPr>
          <w:rFonts w:cstheme="minorHAnsi"/>
          <w:shd w:val="clear" w:color="auto" w:fill="FFFFFF"/>
        </w:rPr>
        <w:t>(1), 39-46.</w:t>
      </w:r>
    </w:p>
    <w:p w14:paraId="1378D98F" w14:textId="77777777" w:rsidR="00BE2C1D" w:rsidRPr="00BE2C1D" w:rsidRDefault="00BE2C1D" w:rsidP="00BE2C1D">
      <w:pPr>
        <w:spacing w:line="360" w:lineRule="auto"/>
        <w:rPr>
          <w:rFonts w:cstheme="minorHAnsi"/>
          <w:shd w:val="clear" w:color="auto" w:fill="FFFFFF"/>
        </w:rPr>
      </w:pPr>
      <w:r w:rsidRPr="00BE2C1D">
        <w:rPr>
          <w:rFonts w:cstheme="minorHAnsi"/>
          <w:shd w:val="clear" w:color="auto" w:fill="FFFFFF"/>
        </w:rPr>
        <w:t>Thapa, A., Cohen, J., Guffey, S. and Higgins-D’Alessandro, A., 2013. A review of school climate research. </w:t>
      </w:r>
      <w:r w:rsidRPr="00BE2C1D">
        <w:rPr>
          <w:rFonts w:cstheme="minorHAnsi"/>
          <w:i/>
          <w:iCs/>
          <w:shd w:val="clear" w:color="auto" w:fill="FFFFFF"/>
        </w:rPr>
        <w:t>Review of educational research</w:t>
      </w:r>
      <w:r w:rsidRPr="00BE2C1D">
        <w:rPr>
          <w:rFonts w:cstheme="minorHAnsi"/>
          <w:shd w:val="clear" w:color="auto" w:fill="FFFFFF"/>
        </w:rPr>
        <w:t>. </w:t>
      </w:r>
      <w:r w:rsidRPr="00BE2C1D">
        <w:rPr>
          <w:rFonts w:cstheme="minorHAnsi"/>
          <w:b/>
          <w:bCs/>
          <w:shd w:val="clear" w:color="auto" w:fill="FFFFFF"/>
        </w:rPr>
        <w:t>83</w:t>
      </w:r>
      <w:r w:rsidRPr="00BE2C1D">
        <w:rPr>
          <w:rFonts w:cstheme="minorHAnsi"/>
          <w:shd w:val="clear" w:color="auto" w:fill="FFFFFF"/>
        </w:rPr>
        <w:t>(3), 357-385.</w:t>
      </w:r>
    </w:p>
    <w:p w14:paraId="1E3EF754" w14:textId="77777777" w:rsidR="00BE2C1D" w:rsidRPr="00BE2C1D" w:rsidRDefault="00BE2C1D" w:rsidP="00BE2C1D">
      <w:pPr>
        <w:spacing w:line="360" w:lineRule="auto"/>
        <w:rPr>
          <w:rFonts w:cstheme="minorHAnsi"/>
          <w:shd w:val="clear" w:color="auto" w:fill="FFFFFF"/>
        </w:rPr>
      </w:pPr>
      <w:r w:rsidRPr="00BE2C1D">
        <w:rPr>
          <w:rFonts w:cstheme="minorHAnsi"/>
          <w:shd w:val="clear" w:color="auto" w:fill="FFFFFF"/>
        </w:rPr>
        <w:t>Theunissen, N.C., Kamp, G.A., Koopman, H.M., Zwinderman, K.A., Vogels, T. and Wit, J.M., 2002. Quality of life and self-esteem in children treated for idiopathic short stature. </w:t>
      </w:r>
      <w:r w:rsidRPr="00BE2C1D">
        <w:rPr>
          <w:rFonts w:cstheme="minorHAnsi"/>
          <w:i/>
          <w:iCs/>
          <w:shd w:val="clear" w:color="auto" w:fill="FFFFFF"/>
        </w:rPr>
        <w:t>The journal of paediatrics</w:t>
      </w:r>
      <w:r w:rsidRPr="00BE2C1D">
        <w:rPr>
          <w:rFonts w:cstheme="minorHAnsi"/>
          <w:shd w:val="clear" w:color="auto" w:fill="FFFFFF"/>
        </w:rPr>
        <w:t>. </w:t>
      </w:r>
      <w:r w:rsidRPr="00BE2C1D">
        <w:rPr>
          <w:rFonts w:cstheme="minorHAnsi"/>
          <w:b/>
          <w:bCs/>
          <w:shd w:val="clear" w:color="auto" w:fill="FFFFFF"/>
        </w:rPr>
        <w:t>140</w:t>
      </w:r>
      <w:r w:rsidRPr="00BE2C1D">
        <w:rPr>
          <w:rFonts w:cstheme="minorHAnsi"/>
          <w:shd w:val="clear" w:color="auto" w:fill="FFFFFF"/>
        </w:rPr>
        <w:t>(5), 507-515.</w:t>
      </w:r>
    </w:p>
    <w:p w14:paraId="70A303B7" w14:textId="77777777" w:rsidR="00BE2C1D" w:rsidRPr="00BE2C1D" w:rsidRDefault="00BE2C1D" w:rsidP="00BE2C1D">
      <w:pPr>
        <w:spacing w:line="360" w:lineRule="auto"/>
        <w:rPr>
          <w:rFonts w:cstheme="minorHAnsi"/>
          <w:shd w:val="clear" w:color="auto" w:fill="FFFFFF"/>
        </w:rPr>
      </w:pPr>
      <w:r w:rsidRPr="00BE2C1D">
        <w:rPr>
          <w:rFonts w:cstheme="minorHAnsi"/>
          <w:shd w:val="clear" w:color="auto" w:fill="FFFFFF"/>
        </w:rPr>
        <w:t>Tholander, M., Lindberg, A. and Svensson, D., 2019. “A freak that no one can love”: difficult knowledge in testimonials on school bullying. </w:t>
      </w:r>
      <w:r w:rsidRPr="00BE2C1D">
        <w:rPr>
          <w:rFonts w:cstheme="minorHAnsi"/>
          <w:i/>
          <w:iCs/>
          <w:shd w:val="clear" w:color="auto" w:fill="FFFFFF"/>
        </w:rPr>
        <w:t>Research Papers in Education</w:t>
      </w:r>
      <w:r w:rsidRPr="00BE2C1D">
        <w:rPr>
          <w:rFonts w:cstheme="minorHAnsi"/>
          <w:shd w:val="clear" w:color="auto" w:fill="FFFFFF"/>
        </w:rPr>
        <w:t>. 1-19.</w:t>
      </w:r>
    </w:p>
    <w:p w14:paraId="38D27825" w14:textId="77777777" w:rsidR="00BE2C1D" w:rsidRPr="00BE2C1D" w:rsidRDefault="00BE2C1D" w:rsidP="00BE2C1D">
      <w:pPr>
        <w:spacing w:line="360" w:lineRule="auto"/>
        <w:rPr>
          <w:rFonts w:cstheme="minorHAnsi"/>
          <w:shd w:val="clear" w:color="auto" w:fill="FFFFFF"/>
        </w:rPr>
      </w:pPr>
      <w:r w:rsidRPr="00BE2C1D">
        <w:rPr>
          <w:rFonts w:cstheme="minorHAnsi"/>
          <w:shd w:val="clear" w:color="auto" w:fill="FFFFFF"/>
        </w:rPr>
        <w:t>Thomas, C., (1999). </w:t>
      </w:r>
      <w:r w:rsidRPr="00BE2C1D">
        <w:rPr>
          <w:rFonts w:cstheme="minorHAnsi"/>
          <w:i/>
          <w:iCs/>
          <w:shd w:val="clear" w:color="auto" w:fill="FFFFFF"/>
        </w:rPr>
        <w:t>Female forms: Experiencing and understanding disability</w:t>
      </w:r>
      <w:r w:rsidRPr="00BE2C1D">
        <w:rPr>
          <w:rFonts w:cstheme="minorHAnsi"/>
          <w:shd w:val="clear" w:color="auto" w:fill="FFFFFF"/>
        </w:rPr>
        <w:t xml:space="preserve">. Buckingham: Open University Press. </w:t>
      </w:r>
    </w:p>
    <w:p w14:paraId="7D57F63C" w14:textId="77777777" w:rsidR="00BE2C1D" w:rsidRPr="00BE2C1D" w:rsidRDefault="00BE2C1D" w:rsidP="00BE2C1D">
      <w:pPr>
        <w:spacing w:line="360" w:lineRule="auto"/>
        <w:rPr>
          <w:rFonts w:cstheme="minorHAnsi"/>
          <w:shd w:val="clear" w:color="auto" w:fill="FFFFFF"/>
        </w:rPr>
      </w:pPr>
      <w:r w:rsidRPr="00BE2C1D">
        <w:rPr>
          <w:rFonts w:cstheme="minorHAnsi"/>
          <w:shd w:val="clear" w:color="auto" w:fill="FFFFFF"/>
        </w:rPr>
        <w:t>Thomas, C., 2004. How is disability understood? An examination of sociological approaches. </w:t>
      </w:r>
      <w:r w:rsidRPr="00BE2C1D">
        <w:rPr>
          <w:rFonts w:cstheme="minorHAnsi"/>
          <w:i/>
          <w:iCs/>
          <w:shd w:val="clear" w:color="auto" w:fill="FFFFFF"/>
        </w:rPr>
        <w:t>Disability &amp; society</w:t>
      </w:r>
      <w:r w:rsidRPr="00BE2C1D">
        <w:rPr>
          <w:rFonts w:cstheme="minorHAnsi"/>
          <w:shd w:val="clear" w:color="auto" w:fill="FFFFFF"/>
        </w:rPr>
        <w:t>. </w:t>
      </w:r>
      <w:r w:rsidRPr="00BE2C1D">
        <w:rPr>
          <w:rFonts w:cstheme="minorHAnsi"/>
          <w:b/>
          <w:bCs/>
          <w:shd w:val="clear" w:color="auto" w:fill="FFFFFF"/>
        </w:rPr>
        <w:t>19</w:t>
      </w:r>
      <w:r w:rsidRPr="00BE2C1D">
        <w:rPr>
          <w:rFonts w:cstheme="minorHAnsi"/>
          <w:shd w:val="clear" w:color="auto" w:fill="FFFFFF"/>
        </w:rPr>
        <w:t>(6), 569-583.</w:t>
      </w:r>
    </w:p>
    <w:p w14:paraId="328E50FC" w14:textId="77777777" w:rsidR="00BE2C1D" w:rsidRPr="00BE2C1D" w:rsidRDefault="00BE2C1D" w:rsidP="00BE2C1D">
      <w:pPr>
        <w:spacing w:line="360" w:lineRule="auto"/>
        <w:rPr>
          <w:rFonts w:cstheme="minorHAnsi"/>
          <w:shd w:val="clear" w:color="auto" w:fill="FFFFFF"/>
        </w:rPr>
      </w:pPr>
      <w:r w:rsidRPr="00BE2C1D">
        <w:rPr>
          <w:rFonts w:cstheme="minorHAnsi"/>
          <w:shd w:val="clear" w:color="auto" w:fill="FFFFFF"/>
        </w:rPr>
        <w:t>Thomas, C., (2007). </w:t>
      </w:r>
      <w:r w:rsidRPr="00BE2C1D">
        <w:rPr>
          <w:rFonts w:cstheme="minorHAnsi"/>
          <w:i/>
          <w:iCs/>
          <w:shd w:val="clear" w:color="auto" w:fill="FFFFFF"/>
        </w:rPr>
        <w:t>Sociologies of disability and illness: Contested ideas in disability studies and medical sociology</w:t>
      </w:r>
      <w:r w:rsidRPr="00BE2C1D">
        <w:rPr>
          <w:rFonts w:cstheme="minorHAnsi"/>
          <w:shd w:val="clear" w:color="auto" w:fill="FFFFFF"/>
        </w:rPr>
        <w:t xml:space="preserve">. London: Springer. </w:t>
      </w:r>
    </w:p>
    <w:p w14:paraId="18C5B0AF" w14:textId="77777777" w:rsidR="00BE2C1D" w:rsidRPr="00BE2C1D" w:rsidRDefault="00BE2C1D" w:rsidP="00BE2C1D">
      <w:pPr>
        <w:spacing w:line="360" w:lineRule="auto"/>
        <w:rPr>
          <w:rFonts w:cstheme="minorHAnsi"/>
          <w:shd w:val="clear" w:color="auto" w:fill="FFFFFF"/>
        </w:rPr>
      </w:pPr>
      <w:r w:rsidRPr="00BE2C1D">
        <w:rPr>
          <w:rFonts w:cstheme="minorHAnsi"/>
          <w:shd w:val="clear" w:color="auto" w:fill="FFFFFF"/>
        </w:rPr>
        <w:t>Thomas, C., 2012. Theorising disability and chronic illness: Where next for perspectives in medical sociology?. </w:t>
      </w:r>
      <w:r w:rsidRPr="00BE2C1D">
        <w:rPr>
          <w:rFonts w:cstheme="minorHAnsi"/>
          <w:i/>
          <w:iCs/>
          <w:shd w:val="clear" w:color="auto" w:fill="FFFFFF"/>
        </w:rPr>
        <w:t>Social Theory &amp; Health</w:t>
      </w:r>
      <w:r w:rsidRPr="00BE2C1D">
        <w:rPr>
          <w:rFonts w:cstheme="minorHAnsi"/>
          <w:shd w:val="clear" w:color="auto" w:fill="FFFFFF"/>
        </w:rPr>
        <w:t>. </w:t>
      </w:r>
      <w:r w:rsidRPr="00BE2C1D">
        <w:rPr>
          <w:rFonts w:cstheme="minorHAnsi"/>
          <w:b/>
          <w:bCs/>
          <w:shd w:val="clear" w:color="auto" w:fill="FFFFFF"/>
        </w:rPr>
        <w:t>10</w:t>
      </w:r>
      <w:r w:rsidRPr="00BE2C1D">
        <w:rPr>
          <w:rFonts w:cstheme="minorHAnsi"/>
          <w:shd w:val="clear" w:color="auto" w:fill="FFFFFF"/>
        </w:rPr>
        <w:t>(3), 209-228.</w:t>
      </w:r>
    </w:p>
    <w:p w14:paraId="7317FAF2" w14:textId="77777777" w:rsidR="00BE2C1D" w:rsidRPr="00BE2C1D" w:rsidRDefault="00BE2C1D" w:rsidP="00BE2C1D">
      <w:pPr>
        <w:spacing w:line="360" w:lineRule="auto"/>
        <w:rPr>
          <w:rFonts w:cstheme="minorHAnsi"/>
          <w:shd w:val="clear" w:color="auto" w:fill="FFFFFF"/>
        </w:rPr>
      </w:pPr>
      <w:r w:rsidRPr="00BE2C1D">
        <w:rPr>
          <w:rFonts w:cstheme="minorHAnsi"/>
          <w:shd w:val="clear" w:color="auto" w:fill="FFFFFF"/>
        </w:rPr>
        <w:t xml:space="preserve">Thomas, M.K.E. and Whitburn, B.J., 2019. Time for inclusion?. </w:t>
      </w:r>
      <w:r w:rsidRPr="00BE2C1D">
        <w:rPr>
          <w:rFonts w:cstheme="minorHAnsi"/>
          <w:i/>
          <w:iCs/>
          <w:shd w:val="clear" w:color="auto" w:fill="FFFFFF"/>
        </w:rPr>
        <w:t>British Journal of Sociology of Education</w:t>
      </w:r>
      <w:r w:rsidRPr="00BE2C1D">
        <w:rPr>
          <w:rFonts w:cstheme="minorHAnsi"/>
          <w:shd w:val="clear" w:color="auto" w:fill="FFFFFF"/>
        </w:rPr>
        <w:t xml:space="preserve">. </w:t>
      </w:r>
      <w:r w:rsidRPr="00BE2C1D">
        <w:rPr>
          <w:rFonts w:cstheme="minorHAnsi"/>
          <w:b/>
          <w:bCs/>
          <w:shd w:val="clear" w:color="auto" w:fill="FFFFFF"/>
        </w:rPr>
        <w:t>40</w:t>
      </w:r>
      <w:r w:rsidRPr="00BE2C1D">
        <w:rPr>
          <w:rFonts w:cstheme="minorHAnsi"/>
          <w:shd w:val="clear" w:color="auto" w:fill="FFFFFF"/>
        </w:rPr>
        <w:t>(2), 159-173.</w:t>
      </w:r>
    </w:p>
    <w:p w14:paraId="7A02F9CA" w14:textId="77777777" w:rsidR="00BE2C1D" w:rsidRPr="00BE2C1D" w:rsidRDefault="00BE2C1D" w:rsidP="00BE2C1D">
      <w:pPr>
        <w:spacing w:line="360" w:lineRule="auto"/>
        <w:rPr>
          <w:rFonts w:cstheme="minorHAnsi"/>
          <w:shd w:val="clear" w:color="auto" w:fill="FFFFFF"/>
        </w:rPr>
      </w:pPr>
      <w:r w:rsidRPr="00BE2C1D">
        <w:rPr>
          <w:rFonts w:cstheme="minorHAnsi"/>
          <w:shd w:val="clear" w:color="auto" w:fill="FFFFFF"/>
        </w:rPr>
        <w:t>Thompson, K., 2003. Forms of resistance: Foucault on tactical reversal and self-formation. </w:t>
      </w:r>
      <w:r w:rsidRPr="00BE2C1D">
        <w:rPr>
          <w:rFonts w:cstheme="minorHAnsi"/>
          <w:i/>
          <w:iCs/>
          <w:shd w:val="clear" w:color="auto" w:fill="FFFFFF"/>
        </w:rPr>
        <w:t>Continental Philosophy Review</w:t>
      </w:r>
      <w:r w:rsidRPr="00BE2C1D">
        <w:rPr>
          <w:rFonts w:cstheme="minorHAnsi"/>
          <w:shd w:val="clear" w:color="auto" w:fill="FFFFFF"/>
        </w:rPr>
        <w:t>. </w:t>
      </w:r>
      <w:r w:rsidRPr="00BE2C1D">
        <w:rPr>
          <w:rFonts w:cstheme="minorHAnsi"/>
          <w:b/>
          <w:bCs/>
          <w:shd w:val="clear" w:color="auto" w:fill="FFFFFF"/>
        </w:rPr>
        <w:t>36</w:t>
      </w:r>
      <w:r w:rsidRPr="00BE2C1D">
        <w:rPr>
          <w:rFonts w:cstheme="minorHAnsi"/>
          <w:shd w:val="clear" w:color="auto" w:fill="FFFFFF"/>
        </w:rPr>
        <w:t>(2), 113-138.</w:t>
      </w:r>
    </w:p>
    <w:p w14:paraId="5F35BF87" w14:textId="77777777" w:rsidR="00BE2C1D" w:rsidRPr="00BE2C1D" w:rsidRDefault="00BE2C1D" w:rsidP="00BE2C1D">
      <w:pPr>
        <w:spacing w:before="240" w:line="360" w:lineRule="auto"/>
        <w:jc w:val="both"/>
        <w:rPr>
          <w:rFonts w:cstheme="minorHAnsi"/>
          <w:lang w:val="en-US"/>
        </w:rPr>
      </w:pPr>
      <w:r w:rsidRPr="00BE2C1D">
        <w:rPr>
          <w:rFonts w:cstheme="minorHAnsi"/>
          <w:lang w:val="en-US"/>
        </w:rPr>
        <w:t xml:space="preserve">Thompson, P., and Gunter, H. 2011. Inside, outside, upside, down: The fluidity of academic researcher “identity” inworking with/in school. </w:t>
      </w:r>
      <w:r w:rsidRPr="00BE2C1D">
        <w:rPr>
          <w:rFonts w:cstheme="minorHAnsi"/>
          <w:i/>
          <w:iCs/>
          <w:lang w:val="en-US"/>
        </w:rPr>
        <w:t>International Journal of Research &amp;Method in Education</w:t>
      </w:r>
      <w:r w:rsidRPr="00BE2C1D">
        <w:rPr>
          <w:rFonts w:cstheme="minorHAnsi"/>
          <w:lang w:val="en-US"/>
        </w:rPr>
        <w:t xml:space="preserve">. </w:t>
      </w:r>
      <w:r w:rsidRPr="00BE2C1D">
        <w:rPr>
          <w:rFonts w:cstheme="minorHAnsi"/>
          <w:b/>
          <w:bCs/>
          <w:lang w:val="en-US"/>
        </w:rPr>
        <w:t>34</w:t>
      </w:r>
      <w:r w:rsidRPr="00BE2C1D">
        <w:rPr>
          <w:rFonts w:cstheme="minorHAnsi"/>
          <w:lang w:val="en-US"/>
        </w:rPr>
        <w:t>(1), 17–30.</w:t>
      </w:r>
    </w:p>
    <w:p w14:paraId="2C0195B4" w14:textId="77777777" w:rsidR="00BE2C1D" w:rsidRPr="00BE2C1D" w:rsidRDefault="00BE2C1D" w:rsidP="00BE2C1D">
      <w:pPr>
        <w:spacing w:line="360" w:lineRule="auto"/>
        <w:rPr>
          <w:rFonts w:cstheme="minorHAnsi"/>
          <w:shd w:val="clear" w:color="auto" w:fill="FFFFFF"/>
        </w:rPr>
      </w:pPr>
      <w:r w:rsidRPr="00BE2C1D">
        <w:rPr>
          <w:rFonts w:cstheme="minorHAnsi"/>
          <w:shd w:val="clear" w:color="auto" w:fill="FFFFFF"/>
        </w:rPr>
        <w:lastRenderedPageBreak/>
        <w:t>Thomson, S., 2005. ‘Territorialising’ the primary school playground: Deconstructing the geography of playtime. </w:t>
      </w:r>
      <w:r w:rsidRPr="00BE2C1D">
        <w:rPr>
          <w:rFonts w:cstheme="minorHAnsi"/>
          <w:i/>
          <w:iCs/>
          <w:shd w:val="clear" w:color="auto" w:fill="FFFFFF"/>
        </w:rPr>
        <w:t>Children's Geographies</w:t>
      </w:r>
      <w:r w:rsidRPr="00BE2C1D">
        <w:rPr>
          <w:rFonts w:cstheme="minorHAnsi"/>
          <w:shd w:val="clear" w:color="auto" w:fill="FFFFFF"/>
        </w:rPr>
        <w:t>, </w:t>
      </w:r>
      <w:r w:rsidRPr="00BE2C1D">
        <w:rPr>
          <w:rFonts w:cstheme="minorHAnsi"/>
          <w:b/>
          <w:bCs/>
          <w:shd w:val="clear" w:color="auto" w:fill="FFFFFF"/>
        </w:rPr>
        <w:t>3</w:t>
      </w:r>
      <w:r w:rsidRPr="00BE2C1D">
        <w:rPr>
          <w:rFonts w:cstheme="minorHAnsi"/>
          <w:shd w:val="clear" w:color="auto" w:fill="FFFFFF"/>
        </w:rPr>
        <w:t>(1), 63-78.</w:t>
      </w:r>
    </w:p>
    <w:p w14:paraId="53D8F74D" w14:textId="77777777" w:rsidR="00BE2C1D" w:rsidRPr="00BE2C1D" w:rsidRDefault="00BE2C1D" w:rsidP="00BE2C1D">
      <w:pPr>
        <w:spacing w:line="360" w:lineRule="auto"/>
        <w:rPr>
          <w:rFonts w:cstheme="minorHAnsi"/>
          <w:shd w:val="clear" w:color="auto" w:fill="FFFFFF"/>
        </w:rPr>
      </w:pPr>
      <w:r w:rsidRPr="00BE2C1D">
        <w:rPr>
          <w:rFonts w:cstheme="minorHAnsi"/>
          <w:shd w:val="clear" w:color="auto" w:fill="FFFFFF"/>
        </w:rPr>
        <w:t>Thompson, S., Shakespeare, T. and Wright, M.J., 2008. Medical and social aspects of the life course for adults with a skeletal dysplasia: a review of current knowledge. </w:t>
      </w:r>
      <w:r w:rsidRPr="00BE2C1D">
        <w:rPr>
          <w:rFonts w:cstheme="minorHAnsi"/>
          <w:i/>
          <w:iCs/>
          <w:shd w:val="clear" w:color="auto" w:fill="FFFFFF"/>
        </w:rPr>
        <w:t>Disability and rehabilitation</w:t>
      </w:r>
      <w:r w:rsidRPr="00BE2C1D">
        <w:rPr>
          <w:rFonts w:cstheme="minorHAnsi"/>
          <w:shd w:val="clear" w:color="auto" w:fill="FFFFFF"/>
        </w:rPr>
        <w:t>. </w:t>
      </w:r>
      <w:r w:rsidRPr="00BE2C1D">
        <w:rPr>
          <w:rFonts w:cstheme="minorHAnsi"/>
          <w:b/>
          <w:bCs/>
          <w:shd w:val="clear" w:color="auto" w:fill="FFFFFF"/>
        </w:rPr>
        <w:t>30</w:t>
      </w:r>
      <w:r w:rsidRPr="00BE2C1D">
        <w:rPr>
          <w:rFonts w:cstheme="minorHAnsi"/>
          <w:shd w:val="clear" w:color="auto" w:fill="FFFFFF"/>
        </w:rPr>
        <w:t>(1), 1-12.</w:t>
      </w:r>
    </w:p>
    <w:p w14:paraId="459427CE" w14:textId="77777777" w:rsidR="00BE2C1D" w:rsidRPr="00BE2C1D" w:rsidRDefault="00BE2C1D" w:rsidP="00BE2C1D">
      <w:pPr>
        <w:spacing w:line="360" w:lineRule="auto"/>
        <w:rPr>
          <w:rFonts w:cstheme="minorHAnsi"/>
          <w:shd w:val="clear" w:color="auto" w:fill="FFFFFF"/>
        </w:rPr>
      </w:pPr>
      <w:r w:rsidRPr="00BE2C1D">
        <w:rPr>
          <w:rFonts w:cstheme="minorHAnsi"/>
          <w:shd w:val="clear" w:color="auto" w:fill="FFFFFF"/>
        </w:rPr>
        <w:t>Thornberg, R., 2015a. Distressed bullies, social positioning and odd victims: Young people's explanations of bullying. </w:t>
      </w:r>
      <w:r w:rsidRPr="00BE2C1D">
        <w:rPr>
          <w:rFonts w:cstheme="minorHAnsi"/>
          <w:i/>
          <w:iCs/>
          <w:shd w:val="clear" w:color="auto" w:fill="FFFFFF"/>
        </w:rPr>
        <w:t>Children &amp; Society</w:t>
      </w:r>
      <w:r w:rsidRPr="00BE2C1D">
        <w:rPr>
          <w:rFonts w:cstheme="minorHAnsi"/>
          <w:shd w:val="clear" w:color="auto" w:fill="FFFFFF"/>
        </w:rPr>
        <w:t>. </w:t>
      </w:r>
      <w:r w:rsidRPr="00BE2C1D">
        <w:rPr>
          <w:rFonts w:cstheme="minorHAnsi"/>
          <w:b/>
          <w:bCs/>
          <w:shd w:val="clear" w:color="auto" w:fill="FFFFFF"/>
        </w:rPr>
        <w:t>29</w:t>
      </w:r>
      <w:r w:rsidRPr="00BE2C1D">
        <w:rPr>
          <w:rFonts w:cstheme="minorHAnsi"/>
          <w:shd w:val="clear" w:color="auto" w:fill="FFFFFF"/>
        </w:rPr>
        <w:t>(1), 15-25.</w:t>
      </w:r>
    </w:p>
    <w:p w14:paraId="5FC7D3B7" w14:textId="77777777" w:rsidR="00BE2C1D" w:rsidRPr="00BE2C1D" w:rsidRDefault="00BE2C1D" w:rsidP="00BE2C1D">
      <w:pPr>
        <w:spacing w:line="360" w:lineRule="auto"/>
        <w:rPr>
          <w:rFonts w:cstheme="minorHAnsi"/>
          <w:shd w:val="clear" w:color="auto" w:fill="FFFFFF"/>
        </w:rPr>
      </w:pPr>
      <w:r w:rsidRPr="00BE2C1D">
        <w:rPr>
          <w:rFonts w:cstheme="minorHAnsi"/>
          <w:shd w:val="clear" w:color="auto" w:fill="FFFFFF"/>
        </w:rPr>
        <w:t>Thornberg, R., 2015b. The social dynamics of school bullying: The necessary dialogue between the blind men around the elephant and the possible meeting point at the social-ecological square. </w:t>
      </w:r>
      <w:r w:rsidRPr="00BE2C1D">
        <w:rPr>
          <w:rFonts w:cstheme="minorHAnsi"/>
          <w:i/>
          <w:iCs/>
          <w:shd w:val="clear" w:color="auto" w:fill="FFFFFF"/>
        </w:rPr>
        <w:t>Confero: Essays on Education, Philosophy and Politics</w:t>
      </w:r>
      <w:r w:rsidRPr="00BE2C1D">
        <w:rPr>
          <w:rFonts w:cstheme="minorHAnsi"/>
          <w:shd w:val="clear" w:color="auto" w:fill="FFFFFF"/>
        </w:rPr>
        <w:t>. </w:t>
      </w:r>
      <w:r w:rsidRPr="00BE2C1D">
        <w:rPr>
          <w:rFonts w:cstheme="minorHAnsi"/>
          <w:b/>
          <w:bCs/>
          <w:shd w:val="clear" w:color="auto" w:fill="FFFFFF"/>
        </w:rPr>
        <w:t>3</w:t>
      </w:r>
      <w:r w:rsidRPr="00BE2C1D">
        <w:rPr>
          <w:rFonts w:cstheme="minorHAnsi"/>
          <w:shd w:val="clear" w:color="auto" w:fill="FFFFFF"/>
        </w:rPr>
        <w:t>(2), 161-203.</w:t>
      </w:r>
    </w:p>
    <w:p w14:paraId="1011F112" w14:textId="77777777" w:rsidR="00BE2C1D" w:rsidRPr="00BE2C1D" w:rsidRDefault="00BE2C1D" w:rsidP="00BE2C1D">
      <w:pPr>
        <w:spacing w:line="360" w:lineRule="auto"/>
        <w:rPr>
          <w:rFonts w:cstheme="minorHAnsi"/>
          <w:shd w:val="clear" w:color="auto" w:fill="FFFFFF"/>
        </w:rPr>
      </w:pPr>
      <w:r w:rsidRPr="00BE2C1D">
        <w:rPr>
          <w:rFonts w:cstheme="minorHAnsi"/>
          <w:shd w:val="clear" w:color="auto" w:fill="FFFFFF"/>
        </w:rPr>
        <w:t>Thornberg, R., 2018. School bullying and fitting into the peer landscape: a grounded theory field study. </w:t>
      </w:r>
      <w:r w:rsidRPr="00BE2C1D">
        <w:rPr>
          <w:rFonts w:cstheme="minorHAnsi"/>
          <w:i/>
          <w:iCs/>
          <w:shd w:val="clear" w:color="auto" w:fill="FFFFFF"/>
        </w:rPr>
        <w:t>British journal of sociology of education</w:t>
      </w:r>
      <w:r w:rsidRPr="00BE2C1D">
        <w:rPr>
          <w:rFonts w:cstheme="minorHAnsi"/>
          <w:shd w:val="clear" w:color="auto" w:fill="FFFFFF"/>
        </w:rPr>
        <w:t>. </w:t>
      </w:r>
      <w:r w:rsidRPr="00BE2C1D">
        <w:rPr>
          <w:rFonts w:cstheme="minorHAnsi"/>
          <w:b/>
          <w:bCs/>
          <w:shd w:val="clear" w:color="auto" w:fill="FFFFFF"/>
        </w:rPr>
        <w:t>39</w:t>
      </w:r>
      <w:r w:rsidRPr="00BE2C1D">
        <w:rPr>
          <w:rFonts w:cstheme="minorHAnsi"/>
          <w:shd w:val="clear" w:color="auto" w:fill="FFFFFF"/>
        </w:rPr>
        <w:t>(1), 144-158.</w:t>
      </w:r>
    </w:p>
    <w:p w14:paraId="1B59EDFF" w14:textId="77777777" w:rsidR="00BE2C1D" w:rsidRPr="00BE2C1D" w:rsidRDefault="00BE2C1D" w:rsidP="00BE2C1D">
      <w:pPr>
        <w:spacing w:line="360" w:lineRule="auto"/>
        <w:rPr>
          <w:rFonts w:cstheme="minorHAnsi"/>
          <w:shd w:val="clear" w:color="auto" w:fill="FFFFFF"/>
        </w:rPr>
      </w:pPr>
      <w:r w:rsidRPr="00BE2C1D">
        <w:rPr>
          <w:rFonts w:cstheme="minorHAnsi"/>
          <w:shd w:val="clear" w:color="auto" w:fill="FFFFFF"/>
        </w:rPr>
        <w:t>Thornberg, R., Halldin, K., Bolmsjö, N. and Petersson, A., 2013. Victimising of school bullying: A grounded theory. </w:t>
      </w:r>
      <w:r w:rsidRPr="00BE2C1D">
        <w:rPr>
          <w:rFonts w:cstheme="minorHAnsi"/>
          <w:i/>
          <w:iCs/>
          <w:shd w:val="clear" w:color="auto" w:fill="FFFFFF"/>
        </w:rPr>
        <w:t>Research Papers in Education</w:t>
      </w:r>
      <w:r w:rsidRPr="00BE2C1D">
        <w:rPr>
          <w:rFonts w:cstheme="minorHAnsi"/>
          <w:shd w:val="clear" w:color="auto" w:fill="FFFFFF"/>
        </w:rPr>
        <w:t>. </w:t>
      </w:r>
      <w:r w:rsidRPr="00BE2C1D">
        <w:rPr>
          <w:rFonts w:cstheme="minorHAnsi"/>
          <w:b/>
          <w:bCs/>
          <w:shd w:val="clear" w:color="auto" w:fill="FFFFFF"/>
        </w:rPr>
        <w:t>28</w:t>
      </w:r>
      <w:r w:rsidRPr="00BE2C1D">
        <w:rPr>
          <w:rFonts w:cstheme="minorHAnsi"/>
          <w:shd w:val="clear" w:color="auto" w:fill="FFFFFF"/>
        </w:rPr>
        <w:t>(3), 309-329.</w:t>
      </w:r>
    </w:p>
    <w:p w14:paraId="640C1ACA" w14:textId="77777777" w:rsidR="00BE2C1D" w:rsidRPr="00BE2C1D" w:rsidRDefault="00BE2C1D" w:rsidP="00BE2C1D">
      <w:pPr>
        <w:spacing w:line="360" w:lineRule="auto"/>
        <w:rPr>
          <w:rFonts w:cstheme="minorHAnsi"/>
          <w:shd w:val="clear" w:color="auto" w:fill="FFFFFF"/>
        </w:rPr>
      </w:pPr>
      <w:r w:rsidRPr="00BE2C1D">
        <w:rPr>
          <w:rFonts w:cstheme="minorHAnsi"/>
          <w:shd w:val="clear" w:color="auto" w:fill="FFFFFF"/>
        </w:rPr>
        <w:t xml:space="preserve">Tingle, R., (2016). Dwarf who was tossed by drunken England rugby fan before being made a cause célèbre by Game of Thrones star Peter Dinklage dies aged 42. </w:t>
      </w:r>
      <w:r w:rsidRPr="00BE2C1D">
        <w:rPr>
          <w:rFonts w:cstheme="minorHAnsi"/>
          <w:i/>
          <w:iCs/>
          <w:shd w:val="clear" w:color="auto" w:fill="FFFFFF"/>
        </w:rPr>
        <w:t xml:space="preserve">MailOnline. </w:t>
      </w:r>
      <w:r w:rsidRPr="00BE2C1D">
        <w:rPr>
          <w:rFonts w:cstheme="minorHAnsi"/>
          <w:shd w:val="clear" w:color="auto" w:fill="FFFFFF"/>
        </w:rPr>
        <w:t xml:space="preserve">17 December 2016 [Viewed 20 December 2018]. Available from: </w:t>
      </w:r>
      <w:hyperlink r:id="rId29" w:history="1">
        <w:r w:rsidRPr="00BE2C1D">
          <w:rPr>
            <w:rFonts w:cstheme="minorHAnsi"/>
            <w:u w:val="single"/>
          </w:rPr>
          <w:t>https://www.dailymail.co.uk/news/article-4043436/Dwarf-tossed-drunken-England-rugby-fan-famous-Game-Thrones-star-died-aged-42.html</w:t>
        </w:r>
      </w:hyperlink>
      <w:r w:rsidRPr="00BE2C1D">
        <w:rPr>
          <w:rFonts w:cstheme="minorHAnsi"/>
        </w:rPr>
        <w:t xml:space="preserve"> </w:t>
      </w:r>
    </w:p>
    <w:p w14:paraId="3F6C9857" w14:textId="77777777" w:rsidR="00BE2C1D" w:rsidRPr="00BE2C1D" w:rsidRDefault="00BE2C1D" w:rsidP="00BE2C1D">
      <w:pPr>
        <w:spacing w:line="360" w:lineRule="auto"/>
        <w:jc w:val="both"/>
        <w:rPr>
          <w:rFonts w:cstheme="minorHAnsi"/>
          <w:lang w:eastAsia="en-GB"/>
        </w:rPr>
      </w:pPr>
      <w:r w:rsidRPr="00BE2C1D">
        <w:rPr>
          <w:rFonts w:cstheme="minorHAnsi"/>
          <w:shd w:val="clear" w:color="auto" w:fill="FFFFFF"/>
        </w:rPr>
        <w:t>Tinker, C. and Armstrong, N., 2008. From the Outside Looking in: How an Awareness of Difference Can Benefit the Qualitative Research Process. </w:t>
      </w:r>
      <w:r w:rsidRPr="00BE2C1D">
        <w:rPr>
          <w:rFonts w:cstheme="minorHAnsi"/>
          <w:i/>
          <w:iCs/>
          <w:shd w:val="clear" w:color="auto" w:fill="FFFFFF"/>
        </w:rPr>
        <w:t>Qualitative Report</w:t>
      </w:r>
      <w:r w:rsidRPr="00BE2C1D">
        <w:rPr>
          <w:rFonts w:cstheme="minorHAnsi"/>
          <w:shd w:val="clear" w:color="auto" w:fill="FFFFFF"/>
        </w:rPr>
        <w:t>. </w:t>
      </w:r>
      <w:r w:rsidRPr="00BE2C1D">
        <w:rPr>
          <w:rFonts w:cstheme="minorHAnsi"/>
          <w:b/>
          <w:bCs/>
          <w:shd w:val="clear" w:color="auto" w:fill="FFFFFF"/>
        </w:rPr>
        <w:t>13</w:t>
      </w:r>
      <w:r w:rsidRPr="00BE2C1D">
        <w:rPr>
          <w:rFonts w:cstheme="minorHAnsi"/>
          <w:shd w:val="clear" w:color="auto" w:fill="FFFFFF"/>
        </w:rPr>
        <w:t>(1), 53-60.</w:t>
      </w:r>
    </w:p>
    <w:p w14:paraId="441D1D18" w14:textId="77777777" w:rsidR="00BE2C1D" w:rsidRPr="00BE2C1D" w:rsidRDefault="00BE2C1D" w:rsidP="00BE2C1D">
      <w:pPr>
        <w:spacing w:line="360" w:lineRule="auto"/>
        <w:rPr>
          <w:rFonts w:cstheme="minorHAnsi"/>
          <w:shd w:val="clear" w:color="auto" w:fill="FFFFFF"/>
        </w:rPr>
      </w:pPr>
      <w:r w:rsidRPr="00BE2C1D">
        <w:rPr>
          <w:rFonts w:cstheme="minorHAnsi"/>
          <w:shd w:val="clear" w:color="auto" w:fill="FFFFFF"/>
        </w:rPr>
        <w:t>Tisdall, E.K.M., (2001). Social inclusion or exclusion? Recent policy trends in Scottish children’s services for disabled children. In: S. Riddell, L. Tett, eds</w:t>
      </w:r>
      <w:r w:rsidRPr="00BE2C1D">
        <w:rPr>
          <w:rFonts w:cstheme="minorHAnsi"/>
          <w:i/>
          <w:iCs/>
          <w:shd w:val="clear" w:color="auto" w:fill="FFFFFF"/>
        </w:rPr>
        <w:t>. Education, Social Justice and Inter-Agency Working: Joined-up or Fractured Policy</w:t>
      </w:r>
      <w:r w:rsidRPr="00BE2C1D">
        <w:rPr>
          <w:rFonts w:cstheme="minorHAnsi"/>
          <w:shd w:val="clear" w:color="auto" w:fill="FFFFFF"/>
        </w:rPr>
        <w:t xml:space="preserve">. London. Routlegde. pp. 188-200. </w:t>
      </w:r>
    </w:p>
    <w:p w14:paraId="2BF1F33E" w14:textId="77777777" w:rsidR="00BE2C1D" w:rsidRPr="00BE2C1D" w:rsidRDefault="00BE2C1D" w:rsidP="00BE2C1D">
      <w:pPr>
        <w:spacing w:line="360" w:lineRule="auto"/>
        <w:jc w:val="both"/>
        <w:rPr>
          <w:rFonts w:cstheme="minorHAnsi"/>
          <w:shd w:val="clear" w:color="auto" w:fill="FFFFFF"/>
        </w:rPr>
      </w:pPr>
      <w:r w:rsidRPr="00BE2C1D">
        <w:rPr>
          <w:rFonts w:cstheme="minorHAnsi"/>
          <w:shd w:val="clear" w:color="auto" w:fill="FFFFFF"/>
        </w:rPr>
        <w:t>Titchkosky, T., 2001. Disability: A rose by any other name? “People‐First” language in Canadian society. </w:t>
      </w:r>
      <w:r w:rsidRPr="00BE2C1D">
        <w:rPr>
          <w:rFonts w:cstheme="minorHAnsi"/>
          <w:i/>
          <w:iCs/>
          <w:shd w:val="clear" w:color="auto" w:fill="FFFFFF"/>
        </w:rPr>
        <w:t>Canadian Review of Sociology/Revue canadienne de sociologie.</w:t>
      </w:r>
      <w:r w:rsidRPr="00BE2C1D">
        <w:rPr>
          <w:rFonts w:cstheme="minorHAnsi"/>
          <w:shd w:val="clear" w:color="auto" w:fill="FFFFFF"/>
        </w:rPr>
        <w:t> </w:t>
      </w:r>
      <w:r w:rsidRPr="00BE2C1D">
        <w:rPr>
          <w:rFonts w:cstheme="minorHAnsi"/>
          <w:b/>
          <w:bCs/>
          <w:shd w:val="clear" w:color="auto" w:fill="FFFFFF"/>
        </w:rPr>
        <w:t>38</w:t>
      </w:r>
      <w:r w:rsidRPr="00BE2C1D">
        <w:rPr>
          <w:rFonts w:cstheme="minorHAnsi"/>
          <w:shd w:val="clear" w:color="auto" w:fill="FFFFFF"/>
        </w:rPr>
        <w:t>(2), 125-140.</w:t>
      </w:r>
    </w:p>
    <w:p w14:paraId="7C0D5CF9" w14:textId="77777777" w:rsidR="00BE2C1D" w:rsidRPr="00BE2C1D" w:rsidRDefault="00BE2C1D" w:rsidP="00BE2C1D">
      <w:pPr>
        <w:spacing w:line="360" w:lineRule="auto"/>
        <w:rPr>
          <w:rFonts w:cstheme="minorHAnsi"/>
          <w:shd w:val="clear" w:color="auto" w:fill="FFFFFF"/>
        </w:rPr>
      </w:pPr>
      <w:r w:rsidRPr="00BE2C1D">
        <w:rPr>
          <w:rFonts w:cstheme="minorHAnsi"/>
          <w:shd w:val="clear" w:color="auto" w:fill="FFFFFF"/>
        </w:rPr>
        <w:t>Titchkosky, T., (2011). </w:t>
      </w:r>
      <w:r w:rsidRPr="00BE2C1D">
        <w:rPr>
          <w:rFonts w:cstheme="minorHAnsi"/>
          <w:i/>
          <w:iCs/>
          <w:shd w:val="clear" w:color="auto" w:fill="FFFFFF"/>
        </w:rPr>
        <w:t>The question of access: Disability, space, meaning</w:t>
      </w:r>
      <w:r w:rsidRPr="00BE2C1D">
        <w:rPr>
          <w:rFonts w:cstheme="minorHAnsi"/>
          <w:shd w:val="clear" w:color="auto" w:fill="FFFFFF"/>
        </w:rPr>
        <w:t>. Toronto: University of Toronto Press.</w:t>
      </w:r>
    </w:p>
    <w:p w14:paraId="27B4B94A" w14:textId="77777777" w:rsidR="00BE2C1D" w:rsidRPr="00BE2C1D" w:rsidRDefault="00BE2C1D" w:rsidP="00BE2C1D">
      <w:pPr>
        <w:spacing w:line="360" w:lineRule="auto"/>
        <w:rPr>
          <w:rFonts w:cstheme="minorHAnsi"/>
          <w:shd w:val="clear" w:color="auto" w:fill="FFFFFF"/>
        </w:rPr>
      </w:pPr>
      <w:r w:rsidRPr="00BE2C1D">
        <w:rPr>
          <w:rFonts w:cstheme="minorHAnsi"/>
          <w:shd w:val="clear" w:color="auto" w:fill="FFFFFF"/>
        </w:rPr>
        <w:t>Titchkosky, T. and Michalko, R., (2012). The body as a problem of individuality: A phenomenological disability studies approach.</w:t>
      </w:r>
      <w:r w:rsidRPr="00BE2C1D">
        <w:rPr>
          <w:rFonts w:cstheme="minorHAnsi"/>
        </w:rPr>
        <w:t xml:space="preserve"> In: D. Goodley, B. Hughes, L. Davis, eds. </w:t>
      </w:r>
      <w:r w:rsidRPr="00BE2C1D">
        <w:rPr>
          <w:rFonts w:cstheme="minorHAnsi"/>
          <w:i/>
          <w:iCs/>
          <w:shd w:val="clear" w:color="auto" w:fill="FFFFFF"/>
        </w:rPr>
        <w:t>Disability and social theory</w:t>
      </w:r>
      <w:r w:rsidRPr="00BE2C1D">
        <w:rPr>
          <w:rFonts w:cstheme="minorHAnsi"/>
          <w:shd w:val="clear" w:color="auto" w:fill="FFFFFF"/>
        </w:rPr>
        <w:t>. Basingstoke: Palgrave Macmillan. pp. 127-142.</w:t>
      </w:r>
    </w:p>
    <w:p w14:paraId="5B351709" w14:textId="77777777" w:rsidR="00BE2C1D" w:rsidRPr="00BE2C1D" w:rsidRDefault="00BE2C1D" w:rsidP="00BE2C1D">
      <w:pPr>
        <w:spacing w:line="360" w:lineRule="auto"/>
        <w:jc w:val="both"/>
        <w:rPr>
          <w:rFonts w:cstheme="minorHAnsi"/>
          <w:bCs/>
        </w:rPr>
      </w:pPr>
      <w:r w:rsidRPr="00BE2C1D">
        <w:rPr>
          <w:rFonts w:cstheme="minorHAnsi"/>
          <w:bCs/>
        </w:rPr>
        <w:lastRenderedPageBreak/>
        <w:t xml:space="preserve">Titchkosky, T., and Michalko, R. (2014). “Narrative.” In: C. Cameron, ed.  </w:t>
      </w:r>
      <w:r w:rsidRPr="00BE2C1D">
        <w:rPr>
          <w:rFonts w:cstheme="minorHAnsi"/>
          <w:bCs/>
          <w:i/>
          <w:iCs/>
        </w:rPr>
        <w:t>Disability Studies: A Student’s Guide</w:t>
      </w:r>
      <w:r w:rsidRPr="00BE2C1D">
        <w:rPr>
          <w:rFonts w:cstheme="minorHAnsi"/>
          <w:bCs/>
        </w:rPr>
        <w:t>. London: Sage. 101-104.</w:t>
      </w:r>
    </w:p>
    <w:p w14:paraId="1EC1953B" w14:textId="77777777" w:rsidR="00BE2C1D" w:rsidRPr="00BE2C1D" w:rsidRDefault="00BE2C1D" w:rsidP="00BE2C1D">
      <w:pPr>
        <w:spacing w:line="360" w:lineRule="auto"/>
        <w:rPr>
          <w:rFonts w:cstheme="minorHAnsi"/>
          <w:shd w:val="clear" w:color="auto" w:fill="FFFFFF"/>
        </w:rPr>
      </w:pPr>
      <w:r w:rsidRPr="00BE2C1D">
        <w:rPr>
          <w:rFonts w:cstheme="minorHAnsi"/>
          <w:shd w:val="clear" w:color="auto" w:fill="FFFFFF"/>
        </w:rPr>
        <w:t>Todorov, A.B., Scott Jr, C.I., Warren, A.E., Leeper, J.D. and Opitz, J.M., 1981. Developmental screening tests in achondroplastic children. </w:t>
      </w:r>
      <w:r w:rsidRPr="00BE2C1D">
        <w:rPr>
          <w:rFonts w:cstheme="minorHAnsi"/>
          <w:i/>
          <w:iCs/>
          <w:shd w:val="clear" w:color="auto" w:fill="FFFFFF"/>
        </w:rPr>
        <w:t>American journal of medical genetics</w:t>
      </w:r>
      <w:r w:rsidRPr="00BE2C1D">
        <w:rPr>
          <w:rFonts w:cstheme="minorHAnsi"/>
          <w:shd w:val="clear" w:color="auto" w:fill="FFFFFF"/>
        </w:rPr>
        <w:t>. </w:t>
      </w:r>
      <w:r w:rsidRPr="00BE2C1D">
        <w:rPr>
          <w:rFonts w:cstheme="minorHAnsi"/>
          <w:b/>
          <w:bCs/>
          <w:shd w:val="clear" w:color="auto" w:fill="FFFFFF"/>
        </w:rPr>
        <w:t>9</w:t>
      </w:r>
      <w:r w:rsidRPr="00BE2C1D">
        <w:rPr>
          <w:rFonts w:cstheme="minorHAnsi"/>
          <w:shd w:val="clear" w:color="auto" w:fill="FFFFFF"/>
        </w:rPr>
        <w:t>(1), 19-23.</w:t>
      </w:r>
    </w:p>
    <w:p w14:paraId="0386AD90" w14:textId="77777777" w:rsidR="00BE2C1D" w:rsidRPr="00BE2C1D" w:rsidRDefault="00BE2C1D" w:rsidP="00BE2C1D">
      <w:pPr>
        <w:spacing w:line="360" w:lineRule="auto"/>
        <w:rPr>
          <w:rFonts w:cstheme="minorHAnsi"/>
          <w:shd w:val="clear" w:color="auto" w:fill="FFFFFF"/>
        </w:rPr>
      </w:pPr>
      <w:r w:rsidRPr="00BE2C1D">
        <w:rPr>
          <w:rFonts w:cstheme="minorHAnsi"/>
          <w:shd w:val="clear" w:color="auto" w:fill="FFFFFF"/>
        </w:rPr>
        <w:t>Tomlinson, S., (2017). </w:t>
      </w:r>
      <w:r w:rsidRPr="00BE2C1D">
        <w:rPr>
          <w:rFonts w:cstheme="minorHAnsi"/>
          <w:i/>
          <w:iCs/>
          <w:shd w:val="clear" w:color="auto" w:fill="FFFFFF"/>
        </w:rPr>
        <w:t>A sociology of special and inclusive education: Exploring the manufacture of inability</w:t>
      </w:r>
      <w:r w:rsidRPr="00BE2C1D">
        <w:rPr>
          <w:rFonts w:cstheme="minorHAnsi"/>
          <w:shd w:val="clear" w:color="auto" w:fill="FFFFFF"/>
        </w:rPr>
        <w:t xml:space="preserve">. Abingdon: Routledge. </w:t>
      </w:r>
    </w:p>
    <w:p w14:paraId="60BD1878" w14:textId="77777777" w:rsidR="00BE2C1D" w:rsidRPr="00BE2C1D" w:rsidRDefault="00BE2C1D" w:rsidP="00BE2C1D">
      <w:pPr>
        <w:spacing w:line="360" w:lineRule="auto"/>
        <w:rPr>
          <w:rFonts w:cstheme="minorHAnsi"/>
          <w:shd w:val="clear" w:color="auto" w:fill="FFFFFF"/>
        </w:rPr>
      </w:pPr>
      <w:r w:rsidRPr="00BE2C1D">
        <w:rPr>
          <w:rFonts w:cstheme="minorHAnsi"/>
          <w:shd w:val="clear" w:color="auto" w:fill="FFFFFF"/>
        </w:rPr>
        <w:t xml:space="preserve">Tremain, S., ed. (2005). </w:t>
      </w:r>
      <w:r w:rsidRPr="00BE2C1D">
        <w:rPr>
          <w:rFonts w:cstheme="minorHAnsi"/>
          <w:i/>
          <w:iCs/>
          <w:shd w:val="clear" w:color="auto" w:fill="FFFFFF"/>
        </w:rPr>
        <w:t xml:space="preserve">Foucault and The Government of Disability. </w:t>
      </w:r>
      <w:r w:rsidRPr="00BE2C1D">
        <w:rPr>
          <w:rFonts w:cstheme="minorHAnsi"/>
          <w:shd w:val="clear" w:color="auto" w:fill="FFFFFF"/>
        </w:rPr>
        <w:t xml:space="preserve">University of Michigan Press.  </w:t>
      </w:r>
    </w:p>
    <w:p w14:paraId="5160A569" w14:textId="77777777" w:rsidR="00BE2C1D" w:rsidRPr="00BE2C1D" w:rsidRDefault="00BE2C1D" w:rsidP="00BE2C1D">
      <w:pPr>
        <w:spacing w:line="360" w:lineRule="auto"/>
        <w:rPr>
          <w:rFonts w:cstheme="minorHAnsi"/>
          <w:shd w:val="clear" w:color="auto" w:fill="FFFFFF"/>
        </w:rPr>
      </w:pPr>
      <w:r w:rsidRPr="00BE2C1D">
        <w:rPr>
          <w:rFonts w:cstheme="minorHAnsi"/>
          <w:shd w:val="clear" w:color="auto" w:fill="FFFFFF"/>
        </w:rPr>
        <w:t>Tseng, F.T., 2017. From medicalisation to riskisation: governing early childhood development. </w:t>
      </w:r>
      <w:r w:rsidRPr="00BE2C1D">
        <w:rPr>
          <w:rFonts w:cstheme="minorHAnsi"/>
          <w:i/>
          <w:iCs/>
          <w:shd w:val="clear" w:color="auto" w:fill="FFFFFF"/>
        </w:rPr>
        <w:t>Sociology of health &amp; illness</w:t>
      </w:r>
      <w:r w:rsidRPr="00BE2C1D">
        <w:rPr>
          <w:rFonts w:cstheme="minorHAnsi"/>
          <w:shd w:val="clear" w:color="auto" w:fill="FFFFFF"/>
        </w:rPr>
        <w:t>. </w:t>
      </w:r>
      <w:r w:rsidRPr="00BE2C1D">
        <w:rPr>
          <w:rFonts w:cstheme="minorHAnsi"/>
          <w:b/>
          <w:bCs/>
          <w:shd w:val="clear" w:color="auto" w:fill="FFFFFF"/>
        </w:rPr>
        <w:t>39</w:t>
      </w:r>
      <w:r w:rsidRPr="00BE2C1D">
        <w:rPr>
          <w:rFonts w:cstheme="minorHAnsi"/>
          <w:shd w:val="clear" w:color="auto" w:fill="FFFFFF"/>
        </w:rPr>
        <w:t>(1), 112-126.</w:t>
      </w:r>
    </w:p>
    <w:p w14:paraId="03B6839E" w14:textId="77777777" w:rsidR="00BE2C1D" w:rsidRPr="00BE2C1D" w:rsidRDefault="00BE2C1D" w:rsidP="00BE2C1D">
      <w:pPr>
        <w:spacing w:line="360" w:lineRule="auto"/>
        <w:jc w:val="both"/>
        <w:rPr>
          <w:rFonts w:cstheme="minorHAnsi"/>
        </w:rPr>
      </w:pPr>
      <w:r w:rsidRPr="00BE2C1D">
        <w:rPr>
          <w:rFonts w:cstheme="minorHAnsi"/>
          <w:lang w:val="en-US"/>
        </w:rPr>
        <w:t xml:space="preserve">Turner and Norwood (2013) Body of Research: Impetus, Instrument and Impediment, Qualitative Inquiry. </w:t>
      </w:r>
      <w:r w:rsidRPr="00BE2C1D">
        <w:rPr>
          <w:rFonts w:cstheme="minorHAnsi"/>
          <w:b/>
          <w:bCs/>
          <w:lang w:val="en-US"/>
        </w:rPr>
        <w:t>19</w:t>
      </w:r>
      <w:r w:rsidRPr="00BE2C1D">
        <w:rPr>
          <w:rFonts w:cstheme="minorHAnsi"/>
          <w:lang w:val="en-US"/>
        </w:rPr>
        <w:t>(9), 696-711.</w:t>
      </w:r>
    </w:p>
    <w:p w14:paraId="0BE3E90B" w14:textId="77777777" w:rsidR="00BE2C1D" w:rsidRPr="00BE2C1D" w:rsidRDefault="00BE2C1D" w:rsidP="00BE2C1D">
      <w:pPr>
        <w:spacing w:line="360" w:lineRule="auto"/>
        <w:rPr>
          <w:rFonts w:cstheme="minorHAnsi"/>
        </w:rPr>
      </w:pPr>
      <w:r w:rsidRPr="00BE2C1D">
        <w:rPr>
          <w:rFonts w:cstheme="minorHAnsi"/>
        </w:rPr>
        <w:t xml:space="preserve">United Nation Convention on the Rights of Persons with Disabilities (2006). </w:t>
      </w:r>
      <w:r w:rsidRPr="00BE2C1D">
        <w:rPr>
          <w:rFonts w:cstheme="minorHAnsi"/>
          <w:i/>
          <w:iCs/>
        </w:rPr>
        <w:t>Article 7: Children with Disabilities</w:t>
      </w:r>
      <w:r w:rsidRPr="00BE2C1D">
        <w:rPr>
          <w:rFonts w:cstheme="minorHAnsi"/>
        </w:rPr>
        <w:t xml:space="preserve">. Available at: </w:t>
      </w:r>
      <w:hyperlink r:id="rId30" w:history="1">
        <w:r w:rsidRPr="00BE2C1D">
          <w:rPr>
            <w:rFonts w:cstheme="minorHAnsi"/>
            <w:u w:val="single"/>
          </w:rPr>
          <w:t>https://www.un.org/development/desa/disabilities/convention-on-the-rights-of-persons-with-disabilities/article-7-children-with-disabilities.html</w:t>
        </w:r>
      </w:hyperlink>
      <w:r w:rsidRPr="00BE2C1D">
        <w:rPr>
          <w:rFonts w:cstheme="minorHAnsi"/>
        </w:rPr>
        <w:t xml:space="preserve"> </w:t>
      </w:r>
    </w:p>
    <w:p w14:paraId="416FF7A7" w14:textId="77777777" w:rsidR="00BE2C1D" w:rsidRPr="00BE2C1D" w:rsidRDefault="00BE2C1D" w:rsidP="00BE2C1D">
      <w:pPr>
        <w:spacing w:line="360" w:lineRule="auto"/>
        <w:rPr>
          <w:rFonts w:eastAsiaTheme="minorEastAsia" w:cstheme="minorHAnsi"/>
          <w:lang w:eastAsia="zh-CN"/>
        </w:rPr>
      </w:pPr>
      <w:r w:rsidRPr="00BE2C1D">
        <w:rPr>
          <w:rFonts w:eastAsiaTheme="minorEastAsia" w:cstheme="minorHAnsi"/>
          <w:highlight w:val="white"/>
          <w:lang w:eastAsia="zh-CN"/>
        </w:rPr>
        <w:t xml:space="preserve">University of Sheffield (2017). </w:t>
      </w:r>
      <w:r w:rsidRPr="00BE2C1D">
        <w:rPr>
          <w:rFonts w:eastAsiaTheme="minorEastAsia" w:cstheme="minorHAnsi"/>
          <w:i/>
          <w:iCs/>
          <w:lang w:eastAsia="zh-CN"/>
        </w:rPr>
        <w:t xml:space="preserve">Ethics policy governing research involving human participants. Available at: </w:t>
      </w:r>
      <w:hyperlink r:id="rId31" w:history="1">
        <w:r w:rsidRPr="00BE2C1D">
          <w:rPr>
            <w:rFonts w:eastAsiaTheme="minorEastAsia" w:cstheme="minorHAnsi"/>
            <w:i/>
            <w:iCs/>
            <w:u w:val="single"/>
            <w:lang w:eastAsia="zh-CN"/>
          </w:rPr>
          <w:t>https://www.sheffield.ac.uk/media/3499/download</w:t>
        </w:r>
      </w:hyperlink>
      <w:r w:rsidRPr="00BE2C1D">
        <w:rPr>
          <w:rFonts w:eastAsiaTheme="minorEastAsia" w:cstheme="minorHAnsi"/>
          <w:i/>
          <w:iCs/>
          <w:lang w:eastAsia="zh-CN"/>
        </w:rPr>
        <w:t xml:space="preserve"> </w:t>
      </w:r>
    </w:p>
    <w:p w14:paraId="7F7CA565" w14:textId="77777777" w:rsidR="00BE2C1D" w:rsidRPr="00BE2C1D" w:rsidRDefault="00BE2C1D" w:rsidP="00BE2C1D">
      <w:pPr>
        <w:spacing w:line="360" w:lineRule="auto"/>
        <w:jc w:val="both"/>
        <w:rPr>
          <w:rFonts w:eastAsiaTheme="minorEastAsia" w:cstheme="minorHAnsi"/>
          <w:lang w:eastAsia="zh-CN"/>
        </w:rPr>
      </w:pPr>
      <w:r w:rsidRPr="00BE2C1D">
        <w:rPr>
          <w:rFonts w:eastAsiaTheme="minorEastAsia" w:cstheme="minorHAnsi"/>
          <w:highlight w:val="white"/>
          <w:lang w:eastAsia="zh-CN"/>
        </w:rPr>
        <w:t>Underwood, K., Moreno-Angarita, M.M., Curran, T., Runswick-Cole, K. and Wertlieb, D.  (2020</w:t>
      </w:r>
      <w:r w:rsidRPr="00BE2C1D">
        <w:rPr>
          <w:rFonts w:eastAsiaTheme="minorEastAsia" w:cstheme="minorHAnsi"/>
          <w:lang w:eastAsia="zh-CN"/>
        </w:rPr>
        <w:t xml:space="preserve">).  Theory, ethics and methods: International Disabled Children’s Childhoods. In: D. Goodley, K. Runswick-Cole and K. Liddiard, eds. </w:t>
      </w:r>
      <w:r w:rsidRPr="00BE2C1D">
        <w:rPr>
          <w:rFonts w:eastAsiaTheme="minorEastAsia" w:cstheme="minorHAnsi"/>
          <w:i/>
          <w:iCs/>
          <w:lang w:eastAsia="zh-CN"/>
        </w:rPr>
        <w:t>Interventions in Disabled Childhood Studies</w:t>
      </w:r>
      <w:r w:rsidRPr="00BE2C1D">
        <w:rPr>
          <w:rFonts w:eastAsiaTheme="minorEastAsia" w:cstheme="minorHAnsi"/>
          <w:lang w:eastAsia="zh-CN"/>
        </w:rPr>
        <w:t>. Sheffield: iHuman Press. 2020. Chapter 11.</w:t>
      </w:r>
    </w:p>
    <w:p w14:paraId="6BE20AD3" w14:textId="77777777" w:rsidR="00BE2C1D" w:rsidRPr="00BE2C1D" w:rsidRDefault="00BE2C1D" w:rsidP="00BE2C1D">
      <w:pPr>
        <w:spacing w:line="360" w:lineRule="auto"/>
        <w:rPr>
          <w:rFonts w:cstheme="minorHAnsi"/>
          <w:shd w:val="clear" w:color="auto" w:fill="FFFFFF"/>
        </w:rPr>
      </w:pPr>
      <w:r w:rsidRPr="00BE2C1D">
        <w:rPr>
          <w:rFonts w:cstheme="minorHAnsi"/>
          <w:shd w:val="clear" w:color="auto" w:fill="FFFFFF"/>
        </w:rPr>
        <w:t>Unnever, J.D. and Cornell, D.G., 2003. Bullying, self-control, and ADHD. </w:t>
      </w:r>
      <w:r w:rsidRPr="00BE2C1D">
        <w:rPr>
          <w:rFonts w:cstheme="minorHAnsi"/>
          <w:i/>
          <w:iCs/>
          <w:shd w:val="clear" w:color="auto" w:fill="FFFFFF"/>
        </w:rPr>
        <w:t>Journal of interpersonal violence</w:t>
      </w:r>
      <w:r w:rsidRPr="00BE2C1D">
        <w:rPr>
          <w:rFonts w:cstheme="minorHAnsi"/>
          <w:shd w:val="clear" w:color="auto" w:fill="FFFFFF"/>
        </w:rPr>
        <w:t>. </w:t>
      </w:r>
      <w:r w:rsidRPr="00BE2C1D">
        <w:rPr>
          <w:rFonts w:cstheme="minorHAnsi"/>
          <w:b/>
          <w:bCs/>
          <w:shd w:val="clear" w:color="auto" w:fill="FFFFFF"/>
        </w:rPr>
        <w:t>18</w:t>
      </w:r>
      <w:r w:rsidRPr="00BE2C1D">
        <w:rPr>
          <w:rFonts w:cstheme="minorHAnsi"/>
          <w:shd w:val="clear" w:color="auto" w:fill="FFFFFF"/>
        </w:rPr>
        <w:t>(2), 129-147.</w:t>
      </w:r>
    </w:p>
    <w:p w14:paraId="59C639A9" w14:textId="77777777" w:rsidR="00BE2C1D" w:rsidRPr="00BE2C1D" w:rsidRDefault="00BE2C1D" w:rsidP="00BE2C1D">
      <w:pPr>
        <w:spacing w:line="360" w:lineRule="auto"/>
        <w:rPr>
          <w:rFonts w:cstheme="minorHAnsi"/>
        </w:rPr>
      </w:pPr>
      <w:r w:rsidRPr="00BE2C1D">
        <w:rPr>
          <w:rFonts w:cstheme="minorHAnsi"/>
        </w:rPr>
        <w:t xml:space="preserve">UPIAS. (1976). </w:t>
      </w:r>
      <w:r w:rsidRPr="00BE2C1D">
        <w:rPr>
          <w:rFonts w:cstheme="minorHAnsi"/>
          <w:i/>
          <w:iCs/>
        </w:rPr>
        <w:t>Fundamental Principles of Disability.</w:t>
      </w:r>
      <w:r w:rsidRPr="00BE2C1D">
        <w:rPr>
          <w:rFonts w:cstheme="minorHAnsi"/>
        </w:rPr>
        <w:t xml:space="preserve"> London: Union of the Physically Impaired Against Segregation.</w:t>
      </w:r>
    </w:p>
    <w:p w14:paraId="249EEFB9" w14:textId="77777777" w:rsidR="00BE2C1D" w:rsidRPr="00BE2C1D" w:rsidRDefault="00BE2C1D" w:rsidP="00BE2C1D">
      <w:pPr>
        <w:spacing w:line="360" w:lineRule="auto"/>
        <w:rPr>
          <w:rFonts w:cstheme="minorHAnsi"/>
          <w:shd w:val="clear" w:color="auto" w:fill="FFFFFF"/>
        </w:rPr>
      </w:pPr>
      <w:r w:rsidRPr="00BE2C1D">
        <w:rPr>
          <w:rFonts w:cstheme="minorHAnsi"/>
          <w:shd w:val="clear" w:color="auto" w:fill="FFFFFF"/>
        </w:rPr>
        <w:t>Vaillancourt, T., Trinh, V., McDougall, P., Duku, E., Cunningham, L., Cunningham, C., Hymel, S. and Short, K., 2010. Optimizing population screening of bullying in school-aged children. </w:t>
      </w:r>
      <w:r w:rsidRPr="00BE2C1D">
        <w:rPr>
          <w:rFonts w:cstheme="minorHAnsi"/>
          <w:i/>
          <w:iCs/>
          <w:shd w:val="clear" w:color="auto" w:fill="FFFFFF"/>
        </w:rPr>
        <w:t>Journal of School Violence</w:t>
      </w:r>
      <w:r w:rsidRPr="00BE2C1D">
        <w:rPr>
          <w:rFonts w:cstheme="minorHAnsi"/>
          <w:shd w:val="clear" w:color="auto" w:fill="FFFFFF"/>
        </w:rPr>
        <w:t>. </w:t>
      </w:r>
      <w:r w:rsidRPr="00BE2C1D">
        <w:rPr>
          <w:rFonts w:cstheme="minorHAnsi"/>
          <w:b/>
          <w:bCs/>
          <w:shd w:val="clear" w:color="auto" w:fill="FFFFFF"/>
        </w:rPr>
        <w:t>9</w:t>
      </w:r>
      <w:r w:rsidRPr="00BE2C1D">
        <w:rPr>
          <w:rFonts w:cstheme="minorHAnsi"/>
          <w:shd w:val="clear" w:color="auto" w:fill="FFFFFF"/>
        </w:rPr>
        <w:t>(3), 233-250.</w:t>
      </w:r>
    </w:p>
    <w:p w14:paraId="005F5232" w14:textId="77777777" w:rsidR="00BE2C1D" w:rsidRPr="00BE2C1D" w:rsidRDefault="00BE2C1D" w:rsidP="00BE2C1D">
      <w:pPr>
        <w:spacing w:line="360" w:lineRule="auto"/>
        <w:rPr>
          <w:rFonts w:cstheme="minorHAnsi"/>
          <w:shd w:val="clear" w:color="auto" w:fill="FFFFFF"/>
        </w:rPr>
      </w:pPr>
      <w:r w:rsidRPr="00BE2C1D">
        <w:rPr>
          <w:rFonts w:cstheme="minorHAnsi"/>
          <w:shd w:val="clear" w:color="auto" w:fill="FFFFFF"/>
        </w:rPr>
        <w:t>Vallone, L., (2017). </w:t>
      </w:r>
      <w:r w:rsidRPr="00BE2C1D">
        <w:rPr>
          <w:rFonts w:cstheme="minorHAnsi"/>
          <w:i/>
          <w:iCs/>
          <w:shd w:val="clear" w:color="auto" w:fill="FFFFFF"/>
        </w:rPr>
        <w:t>Big and Small: A Cultural History of Extraordinary Bodies</w:t>
      </w:r>
      <w:r w:rsidRPr="00BE2C1D">
        <w:rPr>
          <w:rFonts w:cstheme="minorHAnsi"/>
          <w:shd w:val="clear" w:color="auto" w:fill="FFFFFF"/>
        </w:rPr>
        <w:t>. Wales: Yale University Press.</w:t>
      </w:r>
    </w:p>
    <w:p w14:paraId="63E0EE4D" w14:textId="77777777" w:rsidR="00BE2C1D" w:rsidRPr="00BE2C1D" w:rsidRDefault="00BE2C1D" w:rsidP="00BE2C1D">
      <w:pPr>
        <w:spacing w:line="360" w:lineRule="auto"/>
        <w:rPr>
          <w:rFonts w:cstheme="minorHAnsi"/>
          <w:shd w:val="clear" w:color="auto" w:fill="FFFFFF"/>
        </w:rPr>
      </w:pPr>
      <w:r w:rsidRPr="00BE2C1D">
        <w:rPr>
          <w:rFonts w:cstheme="minorHAnsi"/>
          <w:shd w:val="clear" w:color="auto" w:fill="FFFFFF"/>
        </w:rPr>
        <w:lastRenderedPageBreak/>
        <w:t>Van Cleave, J. and Davis, M.M., 2006. Bullying and peer victimization among children with special health care needs. </w:t>
      </w:r>
      <w:r w:rsidRPr="00BE2C1D">
        <w:rPr>
          <w:rFonts w:cstheme="minorHAnsi"/>
          <w:i/>
          <w:iCs/>
          <w:shd w:val="clear" w:color="auto" w:fill="FFFFFF"/>
        </w:rPr>
        <w:t>Pediatrics</w:t>
      </w:r>
      <w:r w:rsidRPr="00BE2C1D">
        <w:rPr>
          <w:rFonts w:cstheme="minorHAnsi"/>
          <w:shd w:val="clear" w:color="auto" w:fill="FFFFFF"/>
        </w:rPr>
        <w:t>. </w:t>
      </w:r>
      <w:r w:rsidRPr="00BE2C1D">
        <w:rPr>
          <w:rFonts w:cstheme="minorHAnsi"/>
          <w:b/>
          <w:bCs/>
          <w:shd w:val="clear" w:color="auto" w:fill="FFFFFF"/>
        </w:rPr>
        <w:t>118</w:t>
      </w:r>
      <w:r w:rsidRPr="00BE2C1D">
        <w:rPr>
          <w:rFonts w:cstheme="minorHAnsi"/>
          <w:shd w:val="clear" w:color="auto" w:fill="FFFFFF"/>
        </w:rPr>
        <w:t>(4), e1212-e1219.</w:t>
      </w:r>
    </w:p>
    <w:p w14:paraId="4722EB45" w14:textId="77777777" w:rsidR="00BE2C1D" w:rsidRPr="00BE2C1D" w:rsidRDefault="00BE2C1D" w:rsidP="00BE2C1D">
      <w:pPr>
        <w:spacing w:line="360" w:lineRule="auto"/>
        <w:jc w:val="both"/>
        <w:rPr>
          <w:rFonts w:eastAsiaTheme="minorEastAsia" w:cstheme="minorHAnsi"/>
          <w:lang w:eastAsia="zh-CN"/>
        </w:rPr>
      </w:pPr>
      <w:r w:rsidRPr="00BE2C1D">
        <w:rPr>
          <w:rFonts w:eastAsiaTheme="minorEastAsia" w:cstheme="minorHAnsi"/>
          <w:lang w:eastAsia="zh-CN"/>
        </w:rPr>
        <w:t>Van Hove, G. and De Schauwer, E. (2020) Relational Ethics as beginning and end when doing research with (disabled) children. In: D. Goodley, K. Runswick-Cole and K. Liddiard, eds</w:t>
      </w:r>
      <w:r w:rsidRPr="00BE2C1D">
        <w:rPr>
          <w:rFonts w:eastAsiaTheme="minorEastAsia" w:cstheme="minorHAnsi"/>
          <w:i/>
          <w:iCs/>
          <w:lang w:eastAsia="zh-CN"/>
        </w:rPr>
        <w:t>. Interventions in Disabled Childhood Studies.</w:t>
      </w:r>
      <w:r w:rsidRPr="00BE2C1D">
        <w:rPr>
          <w:rFonts w:eastAsiaTheme="minorEastAsia" w:cstheme="minorHAnsi"/>
          <w:lang w:eastAsia="zh-CN"/>
        </w:rPr>
        <w:t xml:space="preserve"> Sheffield: iHuman Press. 2020. Chapter 7. </w:t>
      </w:r>
    </w:p>
    <w:p w14:paraId="21A8A27D" w14:textId="77777777" w:rsidR="00BE2C1D" w:rsidRPr="00BE2C1D" w:rsidRDefault="00BE2C1D" w:rsidP="00BE2C1D">
      <w:pPr>
        <w:spacing w:line="360" w:lineRule="auto"/>
        <w:rPr>
          <w:rFonts w:cstheme="minorHAnsi"/>
          <w:shd w:val="clear" w:color="auto" w:fill="FFFFFF"/>
        </w:rPr>
      </w:pPr>
      <w:r w:rsidRPr="00BE2C1D">
        <w:rPr>
          <w:rFonts w:cstheme="minorHAnsi"/>
          <w:shd w:val="clear" w:color="auto" w:fill="FFFFFF"/>
        </w:rPr>
        <w:t>Vehmas, S. and Watson, N., 2014. Moral wrongs, disadvantages, and disability: a critique of critical disability studies. </w:t>
      </w:r>
      <w:r w:rsidRPr="00BE2C1D">
        <w:rPr>
          <w:rFonts w:cstheme="minorHAnsi"/>
          <w:i/>
          <w:iCs/>
          <w:shd w:val="clear" w:color="auto" w:fill="FFFFFF"/>
        </w:rPr>
        <w:t>Disability &amp; Society</w:t>
      </w:r>
      <w:r w:rsidRPr="00BE2C1D">
        <w:rPr>
          <w:rFonts w:cstheme="minorHAnsi"/>
          <w:shd w:val="clear" w:color="auto" w:fill="FFFFFF"/>
        </w:rPr>
        <w:t>, </w:t>
      </w:r>
      <w:r w:rsidRPr="00BE2C1D">
        <w:rPr>
          <w:rFonts w:cstheme="minorHAnsi"/>
          <w:i/>
          <w:iCs/>
          <w:shd w:val="clear" w:color="auto" w:fill="FFFFFF"/>
        </w:rPr>
        <w:t>29</w:t>
      </w:r>
      <w:r w:rsidRPr="00BE2C1D">
        <w:rPr>
          <w:rFonts w:cstheme="minorHAnsi"/>
          <w:shd w:val="clear" w:color="auto" w:fill="FFFFFF"/>
        </w:rPr>
        <w:t>(4), 638-650.</w:t>
      </w:r>
    </w:p>
    <w:p w14:paraId="5D6E68E1" w14:textId="77777777" w:rsidR="00BE2C1D" w:rsidRPr="00BE2C1D" w:rsidRDefault="00BE2C1D" w:rsidP="00BE2C1D">
      <w:pPr>
        <w:spacing w:line="360" w:lineRule="auto"/>
        <w:rPr>
          <w:rFonts w:cstheme="minorHAnsi"/>
          <w:shd w:val="clear" w:color="auto" w:fill="FFFFFF"/>
        </w:rPr>
      </w:pPr>
      <w:r w:rsidRPr="00BE2C1D">
        <w:rPr>
          <w:rFonts w:cstheme="minorHAnsi"/>
          <w:shd w:val="clear" w:color="auto" w:fill="FFFFFF"/>
        </w:rPr>
        <w:t>Vickerman, P. and Blundell, M., 2012. English learning support assistants’ experiences of including children with special educational needs in physical education. </w:t>
      </w:r>
      <w:r w:rsidRPr="00BE2C1D">
        <w:rPr>
          <w:rFonts w:cstheme="minorHAnsi"/>
          <w:i/>
          <w:iCs/>
          <w:shd w:val="clear" w:color="auto" w:fill="FFFFFF"/>
        </w:rPr>
        <w:t>European journal of special needs education</w:t>
      </w:r>
      <w:r w:rsidRPr="00BE2C1D">
        <w:rPr>
          <w:rFonts w:cstheme="minorHAnsi"/>
          <w:shd w:val="clear" w:color="auto" w:fill="FFFFFF"/>
        </w:rPr>
        <w:t>. </w:t>
      </w:r>
      <w:r w:rsidRPr="00BE2C1D">
        <w:rPr>
          <w:rFonts w:cstheme="minorHAnsi"/>
          <w:b/>
          <w:bCs/>
          <w:shd w:val="clear" w:color="auto" w:fill="FFFFFF"/>
        </w:rPr>
        <w:t>27</w:t>
      </w:r>
      <w:r w:rsidRPr="00BE2C1D">
        <w:rPr>
          <w:rFonts w:cstheme="minorHAnsi"/>
          <w:shd w:val="clear" w:color="auto" w:fill="FFFFFF"/>
        </w:rPr>
        <w:t>(2),143-156.</w:t>
      </w:r>
    </w:p>
    <w:p w14:paraId="6FBA66E9" w14:textId="77777777" w:rsidR="00BE2C1D" w:rsidRPr="00BE2C1D" w:rsidRDefault="00BE2C1D" w:rsidP="00BE2C1D">
      <w:pPr>
        <w:spacing w:line="360" w:lineRule="auto"/>
        <w:rPr>
          <w:rFonts w:cstheme="minorHAnsi"/>
          <w:shd w:val="clear" w:color="auto" w:fill="FFFFFF"/>
        </w:rPr>
      </w:pPr>
      <w:r w:rsidRPr="00BE2C1D">
        <w:rPr>
          <w:rFonts w:cstheme="minorHAnsi"/>
          <w:shd w:val="clear" w:color="auto" w:fill="FFFFFF"/>
        </w:rPr>
        <w:t>Vickerman, P., Hayes, S. and Whetherly, A., (2003). Special educational needs and national curriculum physical education. In: S. Hayes, G. Stidder, eds. </w:t>
      </w:r>
      <w:r w:rsidRPr="00BE2C1D">
        <w:rPr>
          <w:rFonts w:cstheme="minorHAnsi"/>
          <w:i/>
          <w:iCs/>
          <w:shd w:val="clear" w:color="auto" w:fill="FFFFFF"/>
        </w:rPr>
        <w:t>Equity and inclusion in physical education and sport</w:t>
      </w:r>
      <w:r w:rsidRPr="00BE2C1D">
        <w:rPr>
          <w:rFonts w:cstheme="minorHAnsi"/>
          <w:shd w:val="clear" w:color="auto" w:fill="FFFFFF"/>
        </w:rPr>
        <w:t>. Place of publication: Psychology Press. pp.47-64.</w:t>
      </w:r>
    </w:p>
    <w:p w14:paraId="5D0AFD6A" w14:textId="77777777" w:rsidR="00BE2C1D" w:rsidRPr="00BE2C1D" w:rsidRDefault="00BE2C1D" w:rsidP="00BE2C1D">
      <w:pPr>
        <w:spacing w:line="360" w:lineRule="auto"/>
        <w:rPr>
          <w:rFonts w:cstheme="minorHAnsi"/>
          <w:shd w:val="clear" w:color="auto" w:fill="FFFFFF"/>
        </w:rPr>
      </w:pPr>
      <w:r w:rsidRPr="00BE2C1D">
        <w:rPr>
          <w:rFonts w:cstheme="minorHAnsi"/>
          <w:shd w:val="clear" w:color="auto" w:fill="FFFFFF"/>
        </w:rPr>
        <w:t>Villimez, C., Eisenberg, N. and Carroll, J.L., 1986. Sex differences in the relation of children's height and weight to academic performance and others' attributions of competence. </w:t>
      </w:r>
      <w:r w:rsidRPr="00BE2C1D">
        <w:rPr>
          <w:rFonts w:cstheme="minorHAnsi"/>
          <w:i/>
          <w:iCs/>
          <w:shd w:val="clear" w:color="auto" w:fill="FFFFFF"/>
        </w:rPr>
        <w:t>Sex Roles</w:t>
      </w:r>
      <w:r w:rsidRPr="00BE2C1D">
        <w:rPr>
          <w:rFonts w:cstheme="minorHAnsi"/>
          <w:shd w:val="clear" w:color="auto" w:fill="FFFFFF"/>
        </w:rPr>
        <w:t>. </w:t>
      </w:r>
      <w:r w:rsidRPr="00BE2C1D">
        <w:rPr>
          <w:rFonts w:cstheme="minorHAnsi"/>
          <w:b/>
          <w:bCs/>
          <w:shd w:val="clear" w:color="auto" w:fill="FFFFFF"/>
        </w:rPr>
        <w:t>15</w:t>
      </w:r>
      <w:r w:rsidRPr="00BE2C1D">
        <w:rPr>
          <w:rFonts w:cstheme="minorHAnsi"/>
          <w:shd w:val="clear" w:color="auto" w:fill="FFFFFF"/>
        </w:rPr>
        <w:t>(11-12), 667-681.</w:t>
      </w:r>
    </w:p>
    <w:p w14:paraId="09A8C69E" w14:textId="77777777" w:rsidR="00BE2C1D" w:rsidRPr="00BE2C1D" w:rsidRDefault="00BE2C1D" w:rsidP="00BE2C1D">
      <w:pPr>
        <w:spacing w:line="360" w:lineRule="auto"/>
        <w:rPr>
          <w:rFonts w:cstheme="minorHAnsi"/>
          <w:shd w:val="clear" w:color="auto" w:fill="FFFFFF"/>
        </w:rPr>
      </w:pPr>
      <w:r w:rsidRPr="00BE2C1D">
        <w:rPr>
          <w:rFonts w:cstheme="minorHAnsi"/>
          <w:shd w:val="clear" w:color="auto" w:fill="FFFFFF"/>
        </w:rPr>
        <w:t>Visser‐van Balen, H., Geenen, R., Kamp, G.A., Huisman, J., Wit, J.M. and Sinnema, G., 2007. Long‐term psychosocial consequences of hormone treatment for short stature. </w:t>
      </w:r>
      <w:r w:rsidRPr="00BE2C1D">
        <w:rPr>
          <w:rFonts w:cstheme="minorHAnsi"/>
          <w:i/>
          <w:iCs/>
          <w:shd w:val="clear" w:color="auto" w:fill="FFFFFF"/>
        </w:rPr>
        <w:t>Acta Paediatrica</w:t>
      </w:r>
      <w:r w:rsidRPr="00BE2C1D">
        <w:rPr>
          <w:rFonts w:cstheme="minorHAnsi"/>
          <w:shd w:val="clear" w:color="auto" w:fill="FFFFFF"/>
        </w:rPr>
        <w:t>. </w:t>
      </w:r>
      <w:r w:rsidRPr="00BE2C1D">
        <w:rPr>
          <w:rFonts w:cstheme="minorHAnsi"/>
          <w:b/>
          <w:bCs/>
          <w:shd w:val="clear" w:color="auto" w:fill="FFFFFF"/>
        </w:rPr>
        <w:t>96</w:t>
      </w:r>
      <w:r w:rsidRPr="00BE2C1D">
        <w:rPr>
          <w:rFonts w:cstheme="minorHAnsi"/>
          <w:shd w:val="clear" w:color="auto" w:fill="FFFFFF"/>
        </w:rPr>
        <w:t>(5), 715-719.</w:t>
      </w:r>
    </w:p>
    <w:p w14:paraId="2AD85F96" w14:textId="77777777" w:rsidR="00BE2C1D" w:rsidRPr="00BE2C1D" w:rsidRDefault="00BE2C1D" w:rsidP="00BE2C1D">
      <w:pPr>
        <w:spacing w:line="360" w:lineRule="auto"/>
        <w:rPr>
          <w:rFonts w:cstheme="minorHAnsi"/>
          <w:shd w:val="clear" w:color="auto" w:fill="FFFFFF"/>
        </w:rPr>
      </w:pPr>
      <w:r w:rsidRPr="00BE2C1D">
        <w:rPr>
          <w:rFonts w:cstheme="minorHAnsi"/>
          <w:shd w:val="clear" w:color="auto" w:fill="FFFFFF"/>
        </w:rPr>
        <w:t>Voss, L. D., Wilkin, T.J., Bailey, B.J. and Betts, P.R., 1991. The reliability of height and height velocity in the assessment of growth (the Wessex Growth Study). </w:t>
      </w:r>
      <w:r w:rsidRPr="00BE2C1D">
        <w:rPr>
          <w:rFonts w:cstheme="minorHAnsi"/>
          <w:i/>
          <w:iCs/>
          <w:shd w:val="clear" w:color="auto" w:fill="FFFFFF"/>
        </w:rPr>
        <w:t>Archives of Disease in Childhood</w:t>
      </w:r>
      <w:r w:rsidRPr="00BE2C1D">
        <w:rPr>
          <w:rFonts w:cstheme="minorHAnsi"/>
          <w:shd w:val="clear" w:color="auto" w:fill="FFFFFF"/>
        </w:rPr>
        <w:t>. </w:t>
      </w:r>
      <w:r w:rsidRPr="00BE2C1D">
        <w:rPr>
          <w:rFonts w:cstheme="minorHAnsi"/>
          <w:b/>
          <w:bCs/>
          <w:shd w:val="clear" w:color="auto" w:fill="FFFFFF"/>
        </w:rPr>
        <w:t>66</w:t>
      </w:r>
      <w:r w:rsidRPr="00BE2C1D">
        <w:rPr>
          <w:rFonts w:cstheme="minorHAnsi"/>
          <w:shd w:val="clear" w:color="auto" w:fill="FFFFFF"/>
        </w:rPr>
        <w:t>(7), 833-837.</w:t>
      </w:r>
    </w:p>
    <w:p w14:paraId="49D7BC35" w14:textId="77777777" w:rsidR="00BE2C1D" w:rsidRPr="00BE2C1D" w:rsidRDefault="00BE2C1D" w:rsidP="00BE2C1D">
      <w:pPr>
        <w:spacing w:line="360" w:lineRule="auto"/>
        <w:rPr>
          <w:rFonts w:cstheme="minorHAnsi"/>
          <w:shd w:val="clear" w:color="auto" w:fill="FFFFFF"/>
        </w:rPr>
      </w:pPr>
      <w:r w:rsidRPr="00BE2C1D">
        <w:rPr>
          <w:rFonts w:cstheme="minorHAnsi"/>
          <w:shd w:val="clear" w:color="auto" w:fill="FFFFFF"/>
        </w:rPr>
        <w:t>Waheed, W., Hughes-Morley, A., Woodham, A., Allen, G. and Bower, P., 2015. Overcoming barriers to recruiting ethnic minorities to mental health research: a typology of recruitment strategies. </w:t>
      </w:r>
      <w:r w:rsidRPr="00BE2C1D">
        <w:rPr>
          <w:rFonts w:cstheme="minorHAnsi"/>
          <w:i/>
          <w:iCs/>
          <w:shd w:val="clear" w:color="auto" w:fill="FFFFFF"/>
        </w:rPr>
        <w:t>BMC psychiatry</w:t>
      </w:r>
      <w:r w:rsidRPr="00BE2C1D">
        <w:rPr>
          <w:rFonts w:cstheme="minorHAnsi"/>
          <w:shd w:val="clear" w:color="auto" w:fill="FFFFFF"/>
        </w:rPr>
        <w:t>. </w:t>
      </w:r>
      <w:r w:rsidRPr="00BE2C1D">
        <w:rPr>
          <w:rFonts w:cstheme="minorHAnsi"/>
          <w:b/>
          <w:bCs/>
          <w:shd w:val="clear" w:color="auto" w:fill="FFFFFF"/>
        </w:rPr>
        <w:t>15</w:t>
      </w:r>
      <w:r w:rsidRPr="00BE2C1D">
        <w:rPr>
          <w:rFonts w:cstheme="minorHAnsi"/>
          <w:shd w:val="clear" w:color="auto" w:fill="FFFFFF"/>
        </w:rPr>
        <w:t>(1), 101.</w:t>
      </w:r>
    </w:p>
    <w:p w14:paraId="745C185D" w14:textId="77777777" w:rsidR="00BE2C1D" w:rsidRPr="00BE2C1D" w:rsidRDefault="00BE2C1D" w:rsidP="00BE2C1D">
      <w:pPr>
        <w:spacing w:line="360" w:lineRule="auto"/>
        <w:rPr>
          <w:rFonts w:cstheme="minorHAnsi"/>
          <w:shd w:val="clear" w:color="auto" w:fill="FFFFFF"/>
        </w:rPr>
      </w:pPr>
      <w:r w:rsidRPr="00BE2C1D">
        <w:rPr>
          <w:rFonts w:cstheme="minorHAnsi"/>
        </w:rPr>
        <w:t xml:space="preserve">Wake, M., Coghlan, D. and Hesketh, K. 2000. Does height influence progression through primary school grades? </w:t>
      </w:r>
      <w:r w:rsidRPr="00BE2C1D">
        <w:rPr>
          <w:rFonts w:cstheme="minorHAnsi"/>
          <w:i/>
          <w:iCs/>
        </w:rPr>
        <w:t>Archives of Disease in Childhood.</w:t>
      </w:r>
      <w:r w:rsidRPr="00BE2C1D">
        <w:rPr>
          <w:rFonts w:cstheme="minorHAnsi"/>
        </w:rPr>
        <w:t xml:space="preserve"> </w:t>
      </w:r>
      <w:r w:rsidRPr="00BE2C1D">
        <w:rPr>
          <w:rFonts w:cstheme="minorHAnsi"/>
          <w:b/>
          <w:bCs/>
        </w:rPr>
        <w:t>82</w:t>
      </w:r>
      <w:r w:rsidRPr="00BE2C1D">
        <w:rPr>
          <w:rFonts w:cstheme="minorHAnsi"/>
        </w:rPr>
        <w:t>, 298–301.</w:t>
      </w:r>
    </w:p>
    <w:p w14:paraId="0C1FA332" w14:textId="77777777" w:rsidR="00BE2C1D" w:rsidRPr="00BE2C1D" w:rsidRDefault="00BE2C1D" w:rsidP="00BE2C1D">
      <w:pPr>
        <w:spacing w:line="360" w:lineRule="auto"/>
        <w:rPr>
          <w:rFonts w:cstheme="minorHAnsi"/>
          <w:shd w:val="clear" w:color="auto" w:fill="FFFFFF"/>
        </w:rPr>
      </w:pPr>
      <w:r w:rsidRPr="00BE2C1D">
        <w:rPr>
          <w:rFonts w:cstheme="minorHAnsi"/>
          <w:shd w:val="clear" w:color="auto" w:fill="FFFFFF"/>
        </w:rPr>
        <w:t>Walton, G., 2005a. Bullying widespread: A critical analysis of research and public discourse on bullying. </w:t>
      </w:r>
      <w:r w:rsidRPr="00BE2C1D">
        <w:rPr>
          <w:rFonts w:cstheme="minorHAnsi"/>
          <w:i/>
          <w:iCs/>
          <w:shd w:val="clear" w:color="auto" w:fill="FFFFFF"/>
        </w:rPr>
        <w:t>Journal of school violence</w:t>
      </w:r>
      <w:r w:rsidRPr="00BE2C1D">
        <w:rPr>
          <w:rFonts w:cstheme="minorHAnsi"/>
          <w:shd w:val="clear" w:color="auto" w:fill="FFFFFF"/>
        </w:rPr>
        <w:t>. </w:t>
      </w:r>
      <w:r w:rsidRPr="00BE2C1D">
        <w:rPr>
          <w:rFonts w:cstheme="minorHAnsi"/>
          <w:b/>
          <w:bCs/>
          <w:i/>
          <w:iCs/>
          <w:shd w:val="clear" w:color="auto" w:fill="FFFFFF"/>
        </w:rPr>
        <w:t>4</w:t>
      </w:r>
      <w:r w:rsidRPr="00BE2C1D">
        <w:rPr>
          <w:rFonts w:cstheme="minorHAnsi"/>
          <w:b/>
          <w:bCs/>
          <w:shd w:val="clear" w:color="auto" w:fill="FFFFFF"/>
        </w:rPr>
        <w:t>(</w:t>
      </w:r>
      <w:r w:rsidRPr="00BE2C1D">
        <w:rPr>
          <w:rFonts w:cstheme="minorHAnsi"/>
          <w:shd w:val="clear" w:color="auto" w:fill="FFFFFF"/>
        </w:rPr>
        <w:t>1), 91-118.</w:t>
      </w:r>
    </w:p>
    <w:p w14:paraId="34C46EEF" w14:textId="77777777" w:rsidR="00BE2C1D" w:rsidRPr="00BE2C1D" w:rsidRDefault="00BE2C1D" w:rsidP="00BE2C1D">
      <w:pPr>
        <w:spacing w:line="360" w:lineRule="auto"/>
        <w:rPr>
          <w:rFonts w:cstheme="minorHAnsi"/>
          <w:shd w:val="clear" w:color="auto" w:fill="FFFFFF"/>
        </w:rPr>
      </w:pPr>
      <w:r w:rsidRPr="00BE2C1D">
        <w:rPr>
          <w:rFonts w:cstheme="minorHAnsi"/>
          <w:shd w:val="clear" w:color="auto" w:fill="FFFFFF"/>
        </w:rPr>
        <w:lastRenderedPageBreak/>
        <w:t>Walton, G., 2005b. The notion of bullying through the lens of Foucault and critical theory. </w:t>
      </w:r>
      <w:r w:rsidRPr="00BE2C1D">
        <w:rPr>
          <w:rFonts w:cstheme="minorHAnsi"/>
          <w:i/>
          <w:iCs/>
          <w:shd w:val="clear" w:color="auto" w:fill="FFFFFF"/>
        </w:rPr>
        <w:t>The Journal of Educational Thought (JET)/Revue de la Pensée Educative</w:t>
      </w:r>
      <w:r w:rsidRPr="00BE2C1D">
        <w:rPr>
          <w:rFonts w:cstheme="minorHAnsi"/>
          <w:shd w:val="clear" w:color="auto" w:fill="FFFFFF"/>
        </w:rPr>
        <w:t>. 55-73.</w:t>
      </w:r>
    </w:p>
    <w:p w14:paraId="6EE0A262" w14:textId="77777777" w:rsidR="00BE2C1D" w:rsidRPr="00BE2C1D" w:rsidRDefault="00BE2C1D" w:rsidP="00BE2C1D">
      <w:pPr>
        <w:spacing w:line="360" w:lineRule="auto"/>
        <w:rPr>
          <w:rFonts w:cstheme="minorHAnsi"/>
          <w:shd w:val="clear" w:color="auto" w:fill="FFFFFF"/>
        </w:rPr>
      </w:pPr>
      <w:r w:rsidRPr="00BE2C1D">
        <w:rPr>
          <w:rFonts w:cstheme="minorHAnsi"/>
          <w:shd w:val="clear" w:color="auto" w:fill="FFFFFF"/>
        </w:rPr>
        <w:t>Walton, G., 2015. Bullying and the philosophy of shooting freaks. </w:t>
      </w:r>
      <w:r w:rsidRPr="00BE2C1D">
        <w:rPr>
          <w:rFonts w:cstheme="minorHAnsi"/>
          <w:i/>
          <w:iCs/>
          <w:shd w:val="clear" w:color="auto" w:fill="FFFFFF"/>
        </w:rPr>
        <w:t>Confero: Essays on Education, Philosophy and Politics</w:t>
      </w:r>
      <w:r w:rsidRPr="00BE2C1D">
        <w:rPr>
          <w:rFonts w:cstheme="minorHAnsi"/>
          <w:shd w:val="clear" w:color="auto" w:fill="FFFFFF"/>
        </w:rPr>
        <w:t>. </w:t>
      </w:r>
      <w:r w:rsidRPr="00BE2C1D">
        <w:rPr>
          <w:rFonts w:cstheme="minorHAnsi"/>
          <w:b/>
          <w:bCs/>
          <w:shd w:val="clear" w:color="auto" w:fill="FFFFFF"/>
        </w:rPr>
        <w:t>3</w:t>
      </w:r>
      <w:r w:rsidRPr="00BE2C1D">
        <w:rPr>
          <w:rFonts w:cstheme="minorHAnsi"/>
          <w:shd w:val="clear" w:color="auto" w:fill="FFFFFF"/>
        </w:rPr>
        <w:t>(2), 17-35.</w:t>
      </w:r>
    </w:p>
    <w:p w14:paraId="3AC28875" w14:textId="77777777" w:rsidR="00BE2C1D" w:rsidRPr="00BE2C1D" w:rsidRDefault="00BE2C1D" w:rsidP="00BE2C1D">
      <w:pPr>
        <w:spacing w:line="360" w:lineRule="auto"/>
        <w:rPr>
          <w:rFonts w:cstheme="minorHAnsi"/>
          <w:shd w:val="clear" w:color="auto" w:fill="FFFFFF"/>
        </w:rPr>
      </w:pPr>
      <w:r w:rsidRPr="00BE2C1D">
        <w:rPr>
          <w:rFonts w:cstheme="minorHAnsi"/>
          <w:shd w:val="clear" w:color="auto" w:fill="FFFFFF"/>
        </w:rPr>
        <w:t>Warren, J.T., 1999. The body politic: Performance, pedagogy, and the power of enfleshment. </w:t>
      </w:r>
      <w:r w:rsidRPr="00BE2C1D">
        <w:rPr>
          <w:rFonts w:cstheme="minorHAnsi"/>
          <w:i/>
          <w:iCs/>
          <w:shd w:val="clear" w:color="auto" w:fill="FFFFFF"/>
        </w:rPr>
        <w:t>Text and performance quarterly</w:t>
      </w:r>
      <w:r w:rsidRPr="00BE2C1D">
        <w:rPr>
          <w:rFonts w:cstheme="minorHAnsi"/>
          <w:shd w:val="clear" w:color="auto" w:fill="FFFFFF"/>
        </w:rPr>
        <w:t>. </w:t>
      </w:r>
      <w:r w:rsidRPr="00BE2C1D">
        <w:rPr>
          <w:rFonts w:cstheme="minorHAnsi"/>
          <w:b/>
          <w:bCs/>
          <w:shd w:val="clear" w:color="auto" w:fill="FFFFFF"/>
        </w:rPr>
        <w:t>19</w:t>
      </w:r>
      <w:r w:rsidRPr="00BE2C1D">
        <w:rPr>
          <w:rFonts w:cstheme="minorHAnsi"/>
          <w:shd w:val="clear" w:color="auto" w:fill="FFFFFF"/>
        </w:rPr>
        <w:t>(3), 257-266.</w:t>
      </w:r>
    </w:p>
    <w:p w14:paraId="53F9B7E9" w14:textId="77777777" w:rsidR="00BE2C1D" w:rsidRPr="00BE2C1D" w:rsidRDefault="00BE2C1D" w:rsidP="00BE2C1D">
      <w:pPr>
        <w:spacing w:line="360" w:lineRule="auto"/>
        <w:rPr>
          <w:rFonts w:cstheme="minorHAnsi"/>
          <w:shd w:val="clear" w:color="auto" w:fill="FFFFFF"/>
        </w:rPr>
      </w:pPr>
      <w:r w:rsidRPr="00BE2C1D">
        <w:rPr>
          <w:rFonts w:cstheme="minorHAnsi"/>
          <w:shd w:val="clear" w:color="auto" w:fill="FFFFFF"/>
        </w:rPr>
        <w:t xml:space="preserve">Warren, J. T., (2005). Bodily Excess and the Desire for Absence: Whiteness and the Makings of (Raced) Educational Subjectivities. In: B.K. Alexander, G. L. Anderson, and B.P. Gallegos, eds. </w:t>
      </w:r>
      <w:r w:rsidRPr="00BE2C1D">
        <w:rPr>
          <w:rFonts w:cstheme="minorHAnsi"/>
          <w:i/>
          <w:iCs/>
          <w:shd w:val="clear" w:color="auto" w:fill="FFFFFF"/>
        </w:rPr>
        <w:t>Performance Theories in Education: Power, Pedagogy, and the Politics of Identity</w:t>
      </w:r>
      <w:r w:rsidRPr="00BE2C1D">
        <w:rPr>
          <w:rFonts w:cstheme="minorHAnsi"/>
          <w:shd w:val="clear" w:color="auto" w:fill="FFFFFF"/>
        </w:rPr>
        <w:t xml:space="preserve">. New Jersey: Lawrence Erlbaum Associates. pp. 79-102.  </w:t>
      </w:r>
    </w:p>
    <w:p w14:paraId="2E114375" w14:textId="77777777" w:rsidR="00BE2C1D" w:rsidRPr="00BE2C1D" w:rsidRDefault="00BE2C1D" w:rsidP="00BE2C1D">
      <w:pPr>
        <w:spacing w:line="360" w:lineRule="auto"/>
        <w:rPr>
          <w:rFonts w:cstheme="minorHAnsi"/>
          <w:shd w:val="clear" w:color="auto" w:fill="FFFFFF"/>
        </w:rPr>
      </w:pPr>
      <w:r w:rsidRPr="00BE2C1D">
        <w:rPr>
          <w:rFonts w:cstheme="minorHAnsi"/>
          <w:shd w:val="clear" w:color="auto" w:fill="FFFFFF"/>
        </w:rPr>
        <w:t>Watermeyer, B. and Swartz, L., 2008. Conceptualising the psycho‐emotional aspects of disability and impairment: the distortion of personal and psychic boundaries. </w:t>
      </w:r>
      <w:r w:rsidRPr="00BE2C1D">
        <w:rPr>
          <w:rFonts w:cstheme="minorHAnsi"/>
          <w:i/>
          <w:iCs/>
          <w:shd w:val="clear" w:color="auto" w:fill="FFFFFF"/>
        </w:rPr>
        <w:t>Disability &amp; Society</w:t>
      </w:r>
      <w:r w:rsidRPr="00BE2C1D">
        <w:rPr>
          <w:rFonts w:cstheme="minorHAnsi"/>
          <w:shd w:val="clear" w:color="auto" w:fill="FFFFFF"/>
        </w:rPr>
        <w:t>. </w:t>
      </w:r>
      <w:r w:rsidRPr="00BE2C1D">
        <w:rPr>
          <w:rFonts w:cstheme="minorHAnsi"/>
          <w:b/>
          <w:bCs/>
          <w:shd w:val="clear" w:color="auto" w:fill="FFFFFF"/>
        </w:rPr>
        <w:t>23</w:t>
      </w:r>
      <w:r w:rsidRPr="00BE2C1D">
        <w:rPr>
          <w:rFonts w:cstheme="minorHAnsi"/>
          <w:shd w:val="clear" w:color="auto" w:fill="FFFFFF"/>
        </w:rPr>
        <w:t>(6), 599-610.</w:t>
      </w:r>
    </w:p>
    <w:p w14:paraId="6755A2DD" w14:textId="77777777" w:rsidR="00BE2C1D" w:rsidRPr="00BE2C1D" w:rsidRDefault="00BE2C1D" w:rsidP="00BE2C1D">
      <w:pPr>
        <w:spacing w:line="360" w:lineRule="auto"/>
        <w:rPr>
          <w:rFonts w:cstheme="minorHAnsi"/>
          <w:shd w:val="clear" w:color="auto" w:fill="FFFFFF"/>
        </w:rPr>
      </w:pPr>
      <w:r w:rsidRPr="00BE2C1D">
        <w:rPr>
          <w:rFonts w:cstheme="minorHAnsi"/>
          <w:shd w:val="clear" w:color="auto" w:fill="FFFFFF"/>
        </w:rPr>
        <w:t xml:space="preserve">Watson, N. (2012a) Researching Disablement. In N. Watson, A. Roulstone, and C. Thomas, eds. </w:t>
      </w:r>
      <w:r w:rsidRPr="00BE2C1D">
        <w:rPr>
          <w:rFonts w:cstheme="minorHAnsi"/>
          <w:i/>
          <w:iCs/>
          <w:shd w:val="clear" w:color="auto" w:fill="FFFFFF"/>
        </w:rPr>
        <w:t>The Routledge handbook of disability studies</w:t>
      </w:r>
      <w:r w:rsidRPr="00BE2C1D">
        <w:rPr>
          <w:rFonts w:cstheme="minorHAnsi"/>
          <w:shd w:val="clear" w:color="auto" w:fill="FFFFFF"/>
        </w:rPr>
        <w:t>. London: Routledge. pp. 93-106.</w:t>
      </w:r>
    </w:p>
    <w:p w14:paraId="5B55DD70" w14:textId="77777777" w:rsidR="00BE2C1D" w:rsidRPr="00BE2C1D" w:rsidRDefault="00BE2C1D" w:rsidP="00BE2C1D">
      <w:pPr>
        <w:spacing w:line="360" w:lineRule="auto"/>
        <w:rPr>
          <w:rFonts w:cstheme="minorHAnsi"/>
          <w:shd w:val="clear" w:color="auto" w:fill="FFFFFF"/>
        </w:rPr>
      </w:pPr>
      <w:r w:rsidRPr="00BE2C1D">
        <w:rPr>
          <w:rFonts w:cstheme="minorHAnsi"/>
          <w:shd w:val="clear" w:color="auto" w:fill="FFFFFF"/>
        </w:rPr>
        <w:t>Watson, N., 2012b. Theorising the lives of disabled children: How can disability theory help?. </w:t>
      </w:r>
      <w:r w:rsidRPr="00BE2C1D">
        <w:rPr>
          <w:rFonts w:cstheme="minorHAnsi"/>
          <w:i/>
          <w:iCs/>
          <w:shd w:val="clear" w:color="auto" w:fill="FFFFFF"/>
        </w:rPr>
        <w:t>Children &amp; Society</w:t>
      </w:r>
      <w:r w:rsidRPr="00BE2C1D">
        <w:rPr>
          <w:rFonts w:cstheme="minorHAnsi"/>
          <w:shd w:val="clear" w:color="auto" w:fill="FFFFFF"/>
        </w:rPr>
        <w:t>. </w:t>
      </w:r>
      <w:r w:rsidRPr="00BE2C1D">
        <w:rPr>
          <w:rFonts w:cstheme="minorHAnsi"/>
          <w:b/>
          <w:bCs/>
          <w:shd w:val="clear" w:color="auto" w:fill="FFFFFF"/>
        </w:rPr>
        <w:t>26</w:t>
      </w:r>
      <w:r w:rsidRPr="00BE2C1D">
        <w:rPr>
          <w:rFonts w:cstheme="minorHAnsi"/>
          <w:shd w:val="clear" w:color="auto" w:fill="FFFFFF"/>
        </w:rPr>
        <w:t>(3), 192-202.</w:t>
      </w:r>
    </w:p>
    <w:p w14:paraId="081CF3C6" w14:textId="77777777" w:rsidR="00BE2C1D" w:rsidRPr="00BE2C1D" w:rsidRDefault="00BE2C1D" w:rsidP="00BE2C1D">
      <w:pPr>
        <w:spacing w:line="360" w:lineRule="auto"/>
        <w:rPr>
          <w:rFonts w:cstheme="minorHAnsi"/>
          <w:shd w:val="clear" w:color="auto" w:fill="FFFFFF"/>
        </w:rPr>
      </w:pPr>
      <w:r w:rsidRPr="00BE2C1D">
        <w:rPr>
          <w:rFonts w:cstheme="minorHAnsi"/>
          <w:shd w:val="clear" w:color="auto" w:fill="FFFFFF"/>
        </w:rPr>
        <w:t>Watts, I.E. and Erevelles, N., 2004. These deadly times: Reconceptualizing school violence by using critical race theory and disability studies. </w:t>
      </w:r>
      <w:r w:rsidRPr="00BE2C1D">
        <w:rPr>
          <w:rFonts w:cstheme="minorHAnsi"/>
          <w:i/>
          <w:iCs/>
          <w:shd w:val="clear" w:color="auto" w:fill="FFFFFF"/>
        </w:rPr>
        <w:t>American Educational Research Journal</w:t>
      </w:r>
      <w:r w:rsidRPr="00BE2C1D">
        <w:rPr>
          <w:rFonts w:cstheme="minorHAnsi"/>
          <w:shd w:val="clear" w:color="auto" w:fill="FFFFFF"/>
        </w:rPr>
        <w:t>. </w:t>
      </w:r>
      <w:r w:rsidRPr="00BE2C1D">
        <w:rPr>
          <w:rFonts w:cstheme="minorHAnsi"/>
          <w:b/>
          <w:bCs/>
          <w:shd w:val="clear" w:color="auto" w:fill="FFFFFF"/>
        </w:rPr>
        <w:t>41</w:t>
      </w:r>
      <w:r w:rsidRPr="00BE2C1D">
        <w:rPr>
          <w:rFonts w:cstheme="minorHAnsi"/>
          <w:shd w:val="clear" w:color="auto" w:fill="FFFFFF"/>
        </w:rPr>
        <w:t>(2), 271-299.</w:t>
      </w:r>
    </w:p>
    <w:p w14:paraId="59C09D7D" w14:textId="77777777" w:rsidR="00BE2C1D" w:rsidRPr="00BE2C1D" w:rsidRDefault="00BE2C1D" w:rsidP="00BE2C1D">
      <w:pPr>
        <w:spacing w:line="360" w:lineRule="auto"/>
        <w:rPr>
          <w:rFonts w:cstheme="minorHAnsi"/>
          <w:shd w:val="clear" w:color="auto" w:fill="FFFFFF"/>
        </w:rPr>
      </w:pPr>
      <w:r w:rsidRPr="00BE2C1D">
        <w:rPr>
          <w:rFonts w:cstheme="minorHAnsi"/>
          <w:shd w:val="clear" w:color="auto" w:fill="FFFFFF"/>
        </w:rPr>
        <w:t>Webster, R. and Blatchford, P., 2013. The educational experiences of pupils with a Statement for special educational needs in mainstream primary schools: results from a systematic observation study. </w:t>
      </w:r>
      <w:r w:rsidRPr="00BE2C1D">
        <w:rPr>
          <w:rFonts w:cstheme="minorHAnsi"/>
          <w:i/>
          <w:iCs/>
          <w:shd w:val="clear" w:color="auto" w:fill="FFFFFF"/>
        </w:rPr>
        <w:t>European Journal of Special Needs Education</w:t>
      </w:r>
      <w:r w:rsidRPr="00BE2C1D">
        <w:rPr>
          <w:rFonts w:cstheme="minorHAnsi"/>
          <w:shd w:val="clear" w:color="auto" w:fill="FFFFFF"/>
        </w:rPr>
        <w:t>. </w:t>
      </w:r>
      <w:r w:rsidRPr="00BE2C1D">
        <w:rPr>
          <w:rFonts w:cstheme="minorHAnsi"/>
          <w:b/>
          <w:bCs/>
          <w:shd w:val="clear" w:color="auto" w:fill="FFFFFF"/>
        </w:rPr>
        <w:t>28</w:t>
      </w:r>
      <w:r w:rsidRPr="00BE2C1D">
        <w:rPr>
          <w:rFonts w:cstheme="minorHAnsi"/>
          <w:shd w:val="clear" w:color="auto" w:fill="FFFFFF"/>
        </w:rPr>
        <w:t>(4), 463-479.</w:t>
      </w:r>
    </w:p>
    <w:p w14:paraId="4D66A4D8" w14:textId="77777777" w:rsidR="00BE2C1D" w:rsidRPr="00BE2C1D" w:rsidRDefault="00BE2C1D" w:rsidP="00BE2C1D">
      <w:pPr>
        <w:spacing w:line="360" w:lineRule="auto"/>
        <w:rPr>
          <w:rFonts w:cstheme="minorHAnsi"/>
          <w:shd w:val="clear" w:color="auto" w:fill="FFFFFF"/>
        </w:rPr>
      </w:pPr>
      <w:r w:rsidRPr="00BE2C1D">
        <w:rPr>
          <w:rFonts w:cstheme="minorHAnsi"/>
          <w:shd w:val="clear" w:color="auto" w:fill="FFFFFF"/>
        </w:rPr>
        <w:t>Webster, R. and Blatchford, P., 2015. Worlds apart? The nature and quality of the educational experiences of pupils with a statement for special educational needs in mainstream primary schools. </w:t>
      </w:r>
      <w:r w:rsidRPr="00BE2C1D">
        <w:rPr>
          <w:rFonts w:cstheme="minorHAnsi"/>
          <w:i/>
          <w:iCs/>
          <w:shd w:val="clear" w:color="auto" w:fill="FFFFFF"/>
        </w:rPr>
        <w:t>British Educational Research Journal</w:t>
      </w:r>
      <w:r w:rsidRPr="00BE2C1D">
        <w:rPr>
          <w:rFonts w:cstheme="minorHAnsi"/>
          <w:shd w:val="clear" w:color="auto" w:fill="FFFFFF"/>
        </w:rPr>
        <w:t>. </w:t>
      </w:r>
      <w:r w:rsidRPr="00BE2C1D">
        <w:rPr>
          <w:rFonts w:cstheme="minorHAnsi"/>
          <w:b/>
          <w:bCs/>
          <w:shd w:val="clear" w:color="auto" w:fill="FFFFFF"/>
        </w:rPr>
        <w:t>41</w:t>
      </w:r>
      <w:r w:rsidRPr="00BE2C1D">
        <w:rPr>
          <w:rFonts w:cstheme="minorHAnsi"/>
          <w:shd w:val="clear" w:color="auto" w:fill="FFFFFF"/>
        </w:rPr>
        <w:t>(2), 324-342.</w:t>
      </w:r>
    </w:p>
    <w:p w14:paraId="75CEC38A" w14:textId="77777777" w:rsidR="00BE2C1D" w:rsidRPr="00BE2C1D" w:rsidRDefault="00BE2C1D" w:rsidP="00BE2C1D">
      <w:pPr>
        <w:spacing w:line="360" w:lineRule="auto"/>
        <w:rPr>
          <w:rFonts w:cstheme="minorHAnsi"/>
          <w:shd w:val="clear" w:color="auto" w:fill="FFFFFF"/>
        </w:rPr>
      </w:pPr>
      <w:r w:rsidRPr="00BE2C1D">
        <w:rPr>
          <w:rFonts w:cstheme="minorHAnsi"/>
          <w:shd w:val="clear" w:color="auto" w:fill="FFFFFF"/>
        </w:rPr>
        <w:t>Webster, R., Blatchford, P., Bassett, P., Brown, P., Martin, C. and Russell, A., 2010. Double standards and first principles: Framing teaching assistant support for pupils with special educational needs. </w:t>
      </w:r>
      <w:r w:rsidRPr="00BE2C1D">
        <w:rPr>
          <w:rFonts w:cstheme="minorHAnsi"/>
          <w:i/>
          <w:iCs/>
          <w:shd w:val="clear" w:color="auto" w:fill="FFFFFF"/>
        </w:rPr>
        <w:t>European journal of special needs education</w:t>
      </w:r>
      <w:r w:rsidRPr="00BE2C1D">
        <w:rPr>
          <w:rFonts w:cstheme="minorHAnsi"/>
          <w:shd w:val="clear" w:color="auto" w:fill="FFFFFF"/>
        </w:rPr>
        <w:t>. </w:t>
      </w:r>
      <w:r w:rsidRPr="00BE2C1D">
        <w:rPr>
          <w:rFonts w:cstheme="minorHAnsi"/>
          <w:b/>
          <w:bCs/>
          <w:shd w:val="clear" w:color="auto" w:fill="FFFFFF"/>
        </w:rPr>
        <w:t>25</w:t>
      </w:r>
      <w:r w:rsidRPr="00BE2C1D">
        <w:rPr>
          <w:rFonts w:cstheme="minorHAnsi"/>
          <w:shd w:val="clear" w:color="auto" w:fill="FFFFFF"/>
        </w:rPr>
        <w:t>(4), 319-336.</w:t>
      </w:r>
    </w:p>
    <w:p w14:paraId="18307381" w14:textId="77777777" w:rsidR="00BE2C1D" w:rsidRPr="00BE2C1D" w:rsidRDefault="00BE2C1D" w:rsidP="00BE2C1D">
      <w:pPr>
        <w:spacing w:line="360" w:lineRule="auto"/>
        <w:rPr>
          <w:rFonts w:cstheme="minorHAnsi"/>
          <w:shd w:val="clear" w:color="auto" w:fill="FFFFFF"/>
        </w:rPr>
      </w:pPr>
      <w:r w:rsidRPr="00BE2C1D">
        <w:rPr>
          <w:rFonts w:cstheme="minorHAnsi"/>
          <w:shd w:val="clear" w:color="auto" w:fill="FFFFFF"/>
        </w:rPr>
        <w:t>Webster, R., Blatchford, P., Bassett, P., Brown, P., Martin, C. and Russell, A., 2011. The wider pedagogical role of teaching assistants. </w:t>
      </w:r>
      <w:r w:rsidRPr="00BE2C1D">
        <w:rPr>
          <w:rFonts w:cstheme="minorHAnsi"/>
          <w:i/>
          <w:iCs/>
          <w:shd w:val="clear" w:color="auto" w:fill="FFFFFF"/>
        </w:rPr>
        <w:t>School Leadership and Management</w:t>
      </w:r>
      <w:r w:rsidRPr="00BE2C1D">
        <w:rPr>
          <w:rFonts w:cstheme="minorHAnsi"/>
          <w:shd w:val="clear" w:color="auto" w:fill="FFFFFF"/>
        </w:rPr>
        <w:t xml:space="preserve">. </w:t>
      </w:r>
      <w:r w:rsidRPr="00BE2C1D">
        <w:rPr>
          <w:rFonts w:cstheme="minorHAnsi"/>
          <w:b/>
          <w:bCs/>
          <w:shd w:val="clear" w:color="auto" w:fill="FFFFFF"/>
        </w:rPr>
        <w:t>31</w:t>
      </w:r>
      <w:r w:rsidRPr="00BE2C1D">
        <w:rPr>
          <w:rFonts w:cstheme="minorHAnsi"/>
          <w:shd w:val="clear" w:color="auto" w:fill="FFFFFF"/>
        </w:rPr>
        <w:t>(1), 3-20.</w:t>
      </w:r>
    </w:p>
    <w:p w14:paraId="15CBE4C5" w14:textId="77777777" w:rsidR="00BE2C1D" w:rsidRPr="00BE2C1D" w:rsidRDefault="00BE2C1D" w:rsidP="00BE2C1D">
      <w:pPr>
        <w:spacing w:line="360" w:lineRule="auto"/>
        <w:rPr>
          <w:rFonts w:cstheme="minorHAnsi"/>
          <w:shd w:val="clear" w:color="auto" w:fill="FFFFFF"/>
        </w:rPr>
      </w:pPr>
      <w:r w:rsidRPr="00BE2C1D">
        <w:rPr>
          <w:rFonts w:cstheme="minorHAnsi"/>
          <w:shd w:val="clear" w:color="auto" w:fill="FFFFFF"/>
        </w:rPr>
        <w:lastRenderedPageBreak/>
        <w:t>Webster, R., Blatchford, P. and Russell, A., 2013. Challenging and changing how schools use teaching assistants: findings from the Effective Deployment of Teaching Assistants project. </w:t>
      </w:r>
      <w:r w:rsidRPr="00BE2C1D">
        <w:rPr>
          <w:rFonts w:cstheme="minorHAnsi"/>
          <w:i/>
          <w:iCs/>
          <w:shd w:val="clear" w:color="auto" w:fill="FFFFFF"/>
        </w:rPr>
        <w:t>School Leadership &amp; Management</w:t>
      </w:r>
      <w:r w:rsidRPr="00BE2C1D">
        <w:rPr>
          <w:rFonts w:cstheme="minorHAnsi"/>
          <w:shd w:val="clear" w:color="auto" w:fill="FFFFFF"/>
        </w:rPr>
        <w:t>. </w:t>
      </w:r>
      <w:r w:rsidRPr="00BE2C1D">
        <w:rPr>
          <w:rFonts w:cstheme="minorHAnsi"/>
          <w:b/>
          <w:bCs/>
          <w:shd w:val="clear" w:color="auto" w:fill="FFFFFF"/>
        </w:rPr>
        <w:t>33</w:t>
      </w:r>
      <w:r w:rsidRPr="00BE2C1D">
        <w:rPr>
          <w:rFonts w:cstheme="minorHAnsi"/>
          <w:shd w:val="clear" w:color="auto" w:fill="FFFFFF"/>
        </w:rPr>
        <w:t>(1), 78-96.</w:t>
      </w:r>
    </w:p>
    <w:p w14:paraId="4A14294A" w14:textId="77777777" w:rsidR="00BE2C1D" w:rsidRPr="00BE2C1D" w:rsidRDefault="00BE2C1D" w:rsidP="00BE2C1D">
      <w:pPr>
        <w:spacing w:line="360" w:lineRule="auto"/>
        <w:rPr>
          <w:rFonts w:cstheme="minorHAnsi"/>
          <w:shd w:val="clear" w:color="auto" w:fill="FFFFFF"/>
        </w:rPr>
      </w:pPr>
      <w:r w:rsidRPr="00BE2C1D">
        <w:rPr>
          <w:rFonts w:cstheme="minorHAnsi"/>
          <w:shd w:val="clear" w:color="auto" w:fill="FFFFFF"/>
        </w:rPr>
        <w:t xml:space="preserve">Webster, R. and De Boer, A. (2019) Teaching assistants: their role in the inclusion, education and achievement of pupils with special educational needs, </w:t>
      </w:r>
      <w:r w:rsidRPr="00BE2C1D">
        <w:rPr>
          <w:rFonts w:cstheme="minorHAnsi"/>
          <w:i/>
          <w:iCs/>
          <w:shd w:val="clear" w:color="auto" w:fill="FFFFFF"/>
        </w:rPr>
        <w:t>European Journal of Special Needs Education</w:t>
      </w:r>
      <w:r w:rsidRPr="00BE2C1D">
        <w:rPr>
          <w:rFonts w:cstheme="minorHAnsi"/>
          <w:shd w:val="clear" w:color="auto" w:fill="FFFFFF"/>
        </w:rPr>
        <w:t>. 34(3), 404-40.</w:t>
      </w:r>
    </w:p>
    <w:p w14:paraId="0280DFEB" w14:textId="77777777" w:rsidR="00BE2C1D" w:rsidRPr="00BE2C1D" w:rsidRDefault="00BE2C1D" w:rsidP="00BE2C1D">
      <w:pPr>
        <w:spacing w:line="360" w:lineRule="auto"/>
        <w:rPr>
          <w:rFonts w:cstheme="minorHAnsi"/>
        </w:rPr>
      </w:pPr>
      <w:r w:rsidRPr="00BE2C1D">
        <w:rPr>
          <w:rFonts w:cstheme="minorHAnsi"/>
        </w:rPr>
        <w:t xml:space="preserve">Weedon, C., (1987). </w:t>
      </w:r>
      <w:r w:rsidRPr="00BE2C1D">
        <w:rPr>
          <w:rFonts w:cstheme="minorHAnsi"/>
          <w:i/>
          <w:iCs/>
        </w:rPr>
        <w:t>Feminist practice and poststructuralist theory</w:t>
      </w:r>
      <w:r w:rsidRPr="00BE2C1D">
        <w:rPr>
          <w:rFonts w:cstheme="minorHAnsi"/>
        </w:rPr>
        <w:t>. Oxford: Blackwell.</w:t>
      </w:r>
    </w:p>
    <w:p w14:paraId="251ADA4B" w14:textId="77777777" w:rsidR="00BE2C1D" w:rsidRPr="00BE2C1D" w:rsidRDefault="00BE2C1D" w:rsidP="00BE2C1D">
      <w:pPr>
        <w:spacing w:line="360" w:lineRule="auto"/>
        <w:rPr>
          <w:rFonts w:cstheme="minorHAnsi"/>
        </w:rPr>
      </w:pPr>
      <w:r w:rsidRPr="00BE2C1D">
        <w:rPr>
          <w:rFonts w:cstheme="minorHAnsi"/>
        </w:rPr>
        <w:t xml:space="preserve">Weitz, R., 2001. Women and their hair: Seeking power through resistance and accommodation. Gender &amp; Society. </w:t>
      </w:r>
      <w:r w:rsidRPr="00BE2C1D">
        <w:rPr>
          <w:rFonts w:cstheme="minorHAnsi"/>
          <w:b/>
          <w:bCs/>
        </w:rPr>
        <w:t>15,</w:t>
      </w:r>
      <w:r w:rsidRPr="00BE2C1D">
        <w:rPr>
          <w:rFonts w:cstheme="minorHAnsi"/>
        </w:rPr>
        <w:t xml:space="preserve"> 667–686.</w:t>
      </w:r>
    </w:p>
    <w:p w14:paraId="12353143" w14:textId="77777777" w:rsidR="00BE2C1D" w:rsidRPr="00BE2C1D" w:rsidRDefault="00BE2C1D" w:rsidP="00BE2C1D">
      <w:pPr>
        <w:spacing w:line="360" w:lineRule="auto"/>
        <w:rPr>
          <w:rFonts w:cstheme="minorHAnsi"/>
          <w:shd w:val="clear" w:color="auto" w:fill="FFFFFF"/>
        </w:rPr>
      </w:pPr>
      <w:r w:rsidRPr="00BE2C1D">
        <w:rPr>
          <w:rFonts w:cstheme="minorHAnsi"/>
          <w:shd w:val="clear" w:color="auto" w:fill="FFFFFF"/>
        </w:rPr>
        <w:t>Wendell, S., (1996). </w:t>
      </w:r>
      <w:r w:rsidRPr="00BE2C1D">
        <w:rPr>
          <w:rFonts w:cstheme="minorHAnsi"/>
          <w:i/>
          <w:iCs/>
          <w:shd w:val="clear" w:color="auto" w:fill="FFFFFF"/>
        </w:rPr>
        <w:t>The rejected body: Feminist philosophical reflections on disability</w:t>
      </w:r>
      <w:r w:rsidRPr="00BE2C1D">
        <w:rPr>
          <w:rFonts w:cstheme="minorHAnsi"/>
          <w:shd w:val="clear" w:color="auto" w:fill="FFFFFF"/>
        </w:rPr>
        <w:t>. Oxon: Routledge.</w:t>
      </w:r>
    </w:p>
    <w:p w14:paraId="1DAFA2CC" w14:textId="77777777" w:rsidR="00BE2C1D" w:rsidRPr="00BE2C1D" w:rsidRDefault="00BE2C1D" w:rsidP="00BE2C1D">
      <w:pPr>
        <w:spacing w:line="360" w:lineRule="auto"/>
        <w:rPr>
          <w:rFonts w:cstheme="minorHAnsi"/>
          <w:shd w:val="clear" w:color="auto" w:fill="FFFFFF"/>
        </w:rPr>
      </w:pPr>
      <w:r w:rsidRPr="00BE2C1D">
        <w:rPr>
          <w:rFonts w:cstheme="minorHAnsi"/>
          <w:shd w:val="clear" w:color="auto" w:fill="FFFFFF"/>
        </w:rPr>
        <w:t xml:space="preserve">Whitburn, B., 2013. The dissection of paraprofessional support in inclusive education: ‘You're in mainstream with a chaperone’. </w:t>
      </w:r>
      <w:r w:rsidRPr="00BE2C1D">
        <w:rPr>
          <w:rFonts w:cstheme="minorHAnsi"/>
          <w:i/>
          <w:iCs/>
          <w:shd w:val="clear" w:color="auto" w:fill="FFFFFF"/>
        </w:rPr>
        <w:t>Australasian Journal of Special Education.</w:t>
      </w:r>
      <w:r w:rsidRPr="00BE2C1D">
        <w:rPr>
          <w:rFonts w:cstheme="minorHAnsi"/>
          <w:b/>
          <w:bCs/>
          <w:shd w:val="clear" w:color="auto" w:fill="FFFFFF"/>
        </w:rPr>
        <w:t xml:space="preserve"> 37</w:t>
      </w:r>
      <w:r w:rsidRPr="00BE2C1D">
        <w:rPr>
          <w:rFonts w:cstheme="minorHAnsi"/>
          <w:shd w:val="clear" w:color="auto" w:fill="FFFFFF"/>
        </w:rPr>
        <w:t>(2), 147-161.</w:t>
      </w:r>
    </w:p>
    <w:p w14:paraId="76051C36" w14:textId="77777777" w:rsidR="00BE2C1D" w:rsidRPr="00BE2C1D" w:rsidRDefault="00BE2C1D" w:rsidP="00BE2C1D">
      <w:pPr>
        <w:spacing w:line="360" w:lineRule="auto"/>
        <w:rPr>
          <w:rFonts w:cstheme="minorHAnsi"/>
          <w:shd w:val="clear" w:color="auto" w:fill="FFFFFF"/>
        </w:rPr>
      </w:pPr>
      <w:r w:rsidRPr="00BE2C1D">
        <w:rPr>
          <w:rFonts w:cstheme="minorHAnsi"/>
          <w:shd w:val="clear" w:color="auto" w:fill="FFFFFF"/>
        </w:rPr>
        <w:t xml:space="preserve">Whitburn, B., 2014. Accessibility and autonomy preconditions to ‘our’ inclusion: a grounded theory study of the experiences of secondary students with vision impairment. </w:t>
      </w:r>
      <w:r w:rsidRPr="00BE2C1D">
        <w:rPr>
          <w:rFonts w:cstheme="minorHAnsi"/>
          <w:i/>
          <w:iCs/>
          <w:shd w:val="clear" w:color="auto" w:fill="FFFFFF"/>
        </w:rPr>
        <w:t>Journal of Research in Special Educational Needs</w:t>
      </w:r>
      <w:r w:rsidRPr="00BE2C1D">
        <w:rPr>
          <w:rFonts w:cstheme="minorHAnsi"/>
          <w:shd w:val="clear" w:color="auto" w:fill="FFFFFF"/>
        </w:rPr>
        <w:t xml:space="preserve">. </w:t>
      </w:r>
      <w:r w:rsidRPr="00BE2C1D">
        <w:rPr>
          <w:rFonts w:cstheme="minorHAnsi"/>
          <w:b/>
          <w:bCs/>
          <w:shd w:val="clear" w:color="auto" w:fill="FFFFFF"/>
        </w:rPr>
        <w:t>14</w:t>
      </w:r>
      <w:r w:rsidRPr="00BE2C1D">
        <w:rPr>
          <w:rFonts w:cstheme="minorHAnsi"/>
          <w:shd w:val="clear" w:color="auto" w:fill="FFFFFF"/>
        </w:rPr>
        <w:t>(1), 3-15.</w:t>
      </w:r>
    </w:p>
    <w:p w14:paraId="3D1834FC" w14:textId="77777777" w:rsidR="00BE2C1D" w:rsidRPr="00BE2C1D" w:rsidRDefault="00BE2C1D" w:rsidP="00BE2C1D">
      <w:pPr>
        <w:spacing w:line="360" w:lineRule="auto"/>
        <w:rPr>
          <w:rFonts w:cstheme="minorHAnsi"/>
          <w:shd w:val="clear" w:color="auto" w:fill="FFFFFF"/>
        </w:rPr>
      </w:pPr>
      <w:r w:rsidRPr="00BE2C1D">
        <w:rPr>
          <w:rFonts w:cstheme="minorHAnsi"/>
          <w:shd w:val="clear" w:color="auto" w:fill="FFFFFF"/>
        </w:rPr>
        <w:t xml:space="preserve">Whitburn, B., 2017. The subjectivities of ‘included’ students with disabilities in schools. </w:t>
      </w:r>
      <w:r w:rsidRPr="00BE2C1D">
        <w:rPr>
          <w:rFonts w:cstheme="minorHAnsi"/>
          <w:i/>
          <w:iCs/>
          <w:shd w:val="clear" w:color="auto" w:fill="FFFFFF"/>
        </w:rPr>
        <w:t>Discourse: Studies in the cultural politics of education</w:t>
      </w:r>
      <w:r w:rsidRPr="00BE2C1D">
        <w:rPr>
          <w:rFonts w:cstheme="minorHAnsi"/>
          <w:shd w:val="clear" w:color="auto" w:fill="FFFFFF"/>
        </w:rPr>
        <w:t xml:space="preserve">. </w:t>
      </w:r>
      <w:r w:rsidRPr="00BE2C1D">
        <w:rPr>
          <w:rFonts w:cstheme="minorHAnsi"/>
          <w:b/>
          <w:bCs/>
          <w:shd w:val="clear" w:color="auto" w:fill="FFFFFF"/>
        </w:rPr>
        <w:t>38</w:t>
      </w:r>
      <w:r w:rsidRPr="00BE2C1D">
        <w:rPr>
          <w:rFonts w:cstheme="minorHAnsi"/>
          <w:shd w:val="clear" w:color="auto" w:fill="FFFFFF"/>
        </w:rPr>
        <w:t>(4), 485-497.</w:t>
      </w:r>
    </w:p>
    <w:p w14:paraId="64B57AA4" w14:textId="77777777" w:rsidR="00BE2C1D" w:rsidRPr="00BE2C1D" w:rsidRDefault="00BE2C1D" w:rsidP="00BE2C1D">
      <w:pPr>
        <w:spacing w:line="360" w:lineRule="auto"/>
        <w:rPr>
          <w:rFonts w:cstheme="minorHAnsi"/>
          <w:shd w:val="clear" w:color="auto" w:fill="FFFFFF"/>
        </w:rPr>
      </w:pPr>
      <w:r w:rsidRPr="00BE2C1D">
        <w:rPr>
          <w:rFonts w:cstheme="minorHAnsi"/>
          <w:shd w:val="clear" w:color="auto" w:fill="FFFFFF"/>
        </w:rPr>
        <w:t xml:space="preserve">White, J. and Drew, S., 2011. Collecting data or creating meaning?. </w:t>
      </w:r>
      <w:r w:rsidRPr="00BE2C1D">
        <w:rPr>
          <w:rFonts w:cstheme="minorHAnsi"/>
          <w:i/>
          <w:iCs/>
          <w:shd w:val="clear" w:color="auto" w:fill="FFFFFF"/>
        </w:rPr>
        <w:t>Qualitative Research Journal</w:t>
      </w:r>
      <w:r w:rsidRPr="00BE2C1D">
        <w:rPr>
          <w:rFonts w:cstheme="minorHAnsi"/>
          <w:shd w:val="clear" w:color="auto" w:fill="FFFFFF"/>
        </w:rPr>
        <w:t>. </w:t>
      </w:r>
      <w:r w:rsidRPr="00BE2C1D">
        <w:rPr>
          <w:rFonts w:cstheme="minorHAnsi"/>
          <w:b/>
          <w:bCs/>
          <w:shd w:val="clear" w:color="auto" w:fill="FFFFFF"/>
        </w:rPr>
        <w:t>11</w:t>
      </w:r>
      <w:r w:rsidRPr="00BE2C1D">
        <w:rPr>
          <w:rFonts w:cstheme="minorHAnsi"/>
          <w:shd w:val="clear" w:color="auto" w:fill="FFFFFF"/>
        </w:rPr>
        <w:t xml:space="preserve">(1), 3-12. </w:t>
      </w:r>
    </w:p>
    <w:p w14:paraId="212ED047" w14:textId="77777777" w:rsidR="00BE2C1D" w:rsidRPr="00BE2C1D" w:rsidRDefault="00BE2C1D" w:rsidP="00BE2C1D">
      <w:pPr>
        <w:spacing w:line="360" w:lineRule="auto"/>
        <w:rPr>
          <w:rFonts w:cstheme="minorHAnsi"/>
          <w:shd w:val="clear" w:color="auto" w:fill="FFFFFF"/>
        </w:rPr>
      </w:pPr>
      <w:r w:rsidRPr="00BE2C1D">
        <w:rPr>
          <w:rFonts w:cstheme="minorHAnsi"/>
          <w:shd w:val="clear" w:color="auto" w:fill="FFFFFF"/>
        </w:rPr>
        <w:t>Whitney, S. and Liddiard, K. (2020). Technologising Leadership: Virtual Research Contexts as Spaces of Disruption.</w:t>
      </w:r>
      <w:r w:rsidRPr="00BE2C1D">
        <w:t xml:space="preserve"> </w:t>
      </w:r>
      <w:r w:rsidRPr="00BE2C1D">
        <w:rPr>
          <w:rFonts w:cstheme="minorHAnsi"/>
          <w:shd w:val="clear" w:color="auto" w:fill="FFFFFF"/>
        </w:rPr>
        <w:t xml:space="preserve">In: D. Goodley, K. Runswick-Cole and K. Liddiard, eds. </w:t>
      </w:r>
      <w:r w:rsidRPr="00BE2C1D">
        <w:rPr>
          <w:rFonts w:cstheme="minorHAnsi"/>
          <w:i/>
          <w:iCs/>
          <w:shd w:val="clear" w:color="auto" w:fill="FFFFFF"/>
        </w:rPr>
        <w:t>Interventions in Disabled Childhood Studies</w:t>
      </w:r>
      <w:r w:rsidRPr="00BE2C1D">
        <w:rPr>
          <w:rFonts w:cstheme="minorHAnsi"/>
          <w:shd w:val="clear" w:color="auto" w:fill="FFFFFF"/>
        </w:rPr>
        <w:t>. Sheffield: iHuman Press. 2020. Chapter 3.</w:t>
      </w:r>
    </w:p>
    <w:p w14:paraId="1BF90072" w14:textId="77777777" w:rsidR="00BE2C1D" w:rsidRPr="00BE2C1D" w:rsidRDefault="00BE2C1D" w:rsidP="00BE2C1D">
      <w:pPr>
        <w:spacing w:line="360" w:lineRule="auto"/>
        <w:rPr>
          <w:rFonts w:cstheme="minorHAnsi"/>
          <w:shd w:val="clear" w:color="auto" w:fill="FFFFFF"/>
        </w:rPr>
      </w:pPr>
      <w:r w:rsidRPr="00BE2C1D">
        <w:rPr>
          <w:rFonts w:cstheme="minorHAnsi"/>
          <w:shd w:val="clear" w:color="auto" w:fill="FFFFFF"/>
        </w:rPr>
        <w:t>Wickman, K., 2007. “I do not compete in disability”: How wheelchair athletes challenge the discourse of able-ism through action and resistance. </w:t>
      </w:r>
      <w:r w:rsidRPr="00BE2C1D">
        <w:rPr>
          <w:rFonts w:cstheme="minorHAnsi"/>
          <w:i/>
          <w:iCs/>
          <w:shd w:val="clear" w:color="auto" w:fill="FFFFFF"/>
        </w:rPr>
        <w:t>European journal for sport and society</w:t>
      </w:r>
      <w:r w:rsidRPr="00BE2C1D">
        <w:rPr>
          <w:rFonts w:cstheme="minorHAnsi"/>
          <w:shd w:val="clear" w:color="auto" w:fill="FFFFFF"/>
        </w:rPr>
        <w:t>. </w:t>
      </w:r>
      <w:r w:rsidRPr="00BE2C1D">
        <w:rPr>
          <w:rFonts w:cstheme="minorHAnsi"/>
          <w:b/>
          <w:bCs/>
          <w:shd w:val="clear" w:color="auto" w:fill="FFFFFF"/>
        </w:rPr>
        <w:t>4</w:t>
      </w:r>
      <w:r w:rsidRPr="00BE2C1D">
        <w:rPr>
          <w:rFonts w:cstheme="minorHAnsi"/>
          <w:shd w:val="clear" w:color="auto" w:fill="FFFFFF"/>
        </w:rPr>
        <w:t>(2), 151-167.</w:t>
      </w:r>
    </w:p>
    <w:p w14:paraId="3A92E849" w14:textId="77777777" w:rsidR="00BE2C1D" w:rsidRPr="00BE2C1D" w:rsidRDefault="00BE2C1D" w:rsidP="00BE2C1D">
      <w:pPr>
        <w:spacing w:line="360" w:lineRule="auto"/>
        <w:rPr>
          <w:rFonts w:cstheme="minorHAnsi"/>
          <w:shd w:val="clear" w:color="auto" w:fill="FFFFFF"/>
        </w:rPr>
      </w:pPr>
      <w:r w:rsidRPr="00BE2C1D">
        <w:rPr>
          <w:rFonts w:cstheme="minorHAnsi"/>
          <w:shd w:val="clear" w:color="auto" w:fill="FFFFFF"/>
        </w:rPr>
        <w:t>Wickman, K., 2015. Experiences and perceptions of young adults with physical disabilities on sports. </w:t>
      </w:r>
      <w:r w:rsidRPr="00BE2C1D">
        <w:rPr>
          <w:rFonts w:cstheme="minorHAnsi"/>
          <w:i/>
          <w:iCs/>
          <w:shd w:val="clear" w:color="auto" w:fill="FFFFFF"/>
        </w:rPr>
        <w:t>Social inclusion</w:t>
      </w:r>
      <w:r w:rsidRPr="00BE2C1D">
        <w:rPr>
          <w:rFonts w:cstheme="minorHAnsi"/>
          <w:shd w:val="clear" w:color="auto" w:fill="FFFFFF"/>
        </w:rPr>
        <w:t>. </w:t>
      </w:r>
      <w:r w:rsidRPr="00BE2C1D">
        <w:rPr>
          <w:rFonts w:cstheme="minorHAnsi"/>
          <w:b/>
          <w:bCs/>
          <w:shd w:val="clear" w:color="auto" w:fill="FFFFFF"/>
        </w:rPr>
        <w:t>3</w:t>
      </w:r>
      <w:r w:rsidRPr="00BE2C1D">
        <w:rPr>
          <w:rFonts w:cstheme="minorHAnsi"/>
          <w:shd w:val="clear" w:color="auto" w:fill="FFFFFF"/>
        </w:rPr>
        <w:t>(3), 39-50.</w:t>
      </w:r>
    </w:p>
    <w:p w14:paraId="30E60E50" w14:textId="77777777" w:rsidR="00BE2C1D" w:rsidRPr="00BE2C1D" w:rsidRDefault="00BE2C1D" w:rsidP="00BE2C1D">
      <w:pPr>
        <w:spacing w:line="360" w:lineRule="auto"/>
        <w:rPr>
          <w:rFonts w:cstheme="minorHAnsi"/>
          <w:shd w:val="clear" w:color="auto" w:fill="FFFFFF"/>
        </w:rPr>
      </w:pPr>
      <w:r w:rsidRPr="00BE2C1D">
        <w:rPr>
          <w:rFonts w:cstheme="minorHAnsi"/>
          <w:shd w:val="clear" w:color="auto" w:fill="FFFFFF"/>
        </w:rPr>
        <w:t>Wilhoit, E.D. and Kisselburgh, L.G., 2019. The relational ontology of resistance: Hybridity, ventriloquism, and materiality in the production of bike commuting as resistance. </w:t>
      </w:r>
      <w:r w:rsidRPr="00BE2C1D">
        <w:rPr>
          <w:rFonts w:cstheme="minorHAnsi"/>
          <w:i/>
          <w:iCs/>
          <w:shd w:val="clear" w:color="auto" w:fill="FFFFFF"/>
        </w:rPr>
        <w:t>Organization</w:t>
      </w:r>
      <w:r w:rsidRPr="00BE2C1D">
        <w:rPr>
          <w:rFonts w:cstheme="minorHAnsi"/>
          <w:shd w:val="clear" w:color="auto" w:fill="FFFFFF"/>
        </w:rPr>
        <w:t>. </w:t>
      </w:r>
      <w:r w:rsidRPr="00BE2C1D">
        <w:rPr>
          <w:rFonts w:cstheme="minorHAnsi"/>
          <w:b/>
          <w:bCs/>
          <w:shd w:val="clear" w:color="auto" w:fill="FFFFFF"/>
        </w:rPr>
        <w:t>26</w:t>
      </w:r>
      <w:r w:rsidRPr="00BE2C1D">
        <w:rPr>
          <w:rFonts w:cstheme="minorHAnsi"/>
          <w:shd w:val="clear" w:color="auto" w:fill="FFFFFF"/>
        </w:rPr>
        <w:t>(6), 873-893.</w:t>
      </w:r>
    </w:p>
    <w:p w14:paraId="04BFEC15" w14:textId="77777777" w:rsidR="00BE2C1D" w:rsidRPr="00BE2C1D" w:rsidRDefault="00BE2C1D" w:rsidP="00BE2C1D">
      <w:pPr>
        <w:spacing w:line="360" w:lineRule="auto"/>
        <w:rPr>
          <w:rFonts w:cstheme="minorHAnsi"/>
          <w:shd w:val="clear" w:color="auto" w:fill="FFFFFF"/>
        </w:rPr>
      </w:pPr>
      <w:r w:rsidRPr="00BE2C1D">
        <w:rPr>
          <w:rFonts w:cstheme="minorHAnsi"/>
          <w:shd w:val="clear" w:color="auto" w:fill="FFFFFF"/>
        </w:rPr>
        <w:lastRenderedPageBreak/>
        <w:t>Williams, S.J., 1999. Is anybody there? Critical realism, chronic illness and the disability debate. </w:t>
      </w:r>
      <w:r w:rsidRPr="00BE2C1D">
        <w:rPr>
          <w:rFonts w:cstheme="minorHAnsi"/>
          <w:i/>
          <w:iCs/>
          <w:shd w:val="clear" w:color="auto" w:fill="FFFFFF"/>
        </w:rPr>
        <w:t>Sociology of Health &amp; Illness</w:t>
      </w:r>
      <w:r w:rsidRPr="00BE2C1D">
        <w:rPr>
          <w:rFonts w:cstheme="minorHAnsi"/>
          <w:shd w:val="clear" w:color="auto" w:fill="FFFFFF"/>
        </w:rPr>
        <w:t>. </w:t>
      </w:r>
      <w:r w:rsidRPr="00BE2C1D">
        <w:rPr>
          <w:rFonts w:cstheme="minorHAnsi"/>
          <w:b/>
          <w:bCs/>
          <w:shd w:val="clear" w:color="auto" w:fill="FFFFFF"/>
        </w:rPr>
        <w:t>21</w:t>
      </w:r>
      <w:r w:rsidRPr="00BE2C1D">
        <w:rPr>
          <w:rFonts w:cstheme="minorHAnsi"/>
          <w:shd w:val="clear" w:color="auto" w:fill="FFFFFF"/>
        </w:rPr>
        <w:t>(6), 797-819.</w:t>
      </w:r>
    </w:p>
    <w:p w14:paraId="51D08D03" w14:textId="77777777" w:rsidR="00BE2C1D" w:rsidRPr="00BE2C1D" w:rsidRDefault="00BE2C1D" w:rsidP="00BE2C1D">
      <w:pPr>
        <w:spacing w:line="360" w:lineRule="auto"/>
        <w:rPr>
          <w:rFonts w:cstheme="minorHAnsi"/>
          <w:shd w:val="clear" w:color="auto" w:fill="FFFFFF"/>
        </w:rPr>
      </w:pPr>
      <w:r w:rsidRPr="00BE2C1D">
        <w:rPr>
          <w:rFonts w:cstheme="minorHAnsi"/>
          <w:shd w:val="clear" w:color="auto" w:fill="FFFFFF"/>
        </w:rPr>
        <w:t>Wiseman, P., 2019. Lifting the lid: Disabled toilets as sites of belonging and embodied citizenship. </w:t>
      </w:r>
      <w:r w:rsidRPr="00BE2C1D">
        <w:rPr>
          <w:rFonts w:cstheme="minorHAnsi"/>
          <w:i/>
          <w:iCs/>
          <w:shd w:val="clear" w:color="auto" w:fill="FFFFFF"/>
        </w:rPr>
        <w:t>The Sociological Review</w:t>
      </w:r>
      <w:r w:rsidRPr="00BE2C1D">
        <w:rPr>
          <w:rFonts w:cstheme="minorHAnsi"/>
          <w:shd w:val="clear" w:color="auto" w:fill="FFFFFF"/>
        </w:rPr>
        <w:t>. </w:t>
      </w:r>
      <w:r w:rsidRPr="00BE2C1D">
        <w:rPr>
          <w:rFonts w:cstheme="minorHAnsi"/>
          <w:b/>
          <w:bCs/>
          <w:shd w:val="clear" w:color="auto" w:fill="FFFFFF"/>
        </w:rPr>
        <w:t>67</w:t>
      </w:r>
      <w:r w:rsidRPr="00BE2C1D">
        <w:rPr>
          <w:rFonts w:cstheme="minorHAnsi"/>
          <w:shd w:val="clear" w:color="auto" w:fill="FFFFFF"/>
        </w:rPr>
        <w:t>(4), 788-806.</w:t>
      </w:r>
    </w:p>
    <w:p w14:paraId="48BE8C73" w14:textId="77777777" w:rsidR="00BE2C1D" w:rsidRPr="00BE2C1D" w:rsidRDefault="00BE2C1D" w:rsidP="00BE2C1D">
      <w:pPr>
        <w:spacing w:line="360" w:lineRule="auto"/>
        <w:rPr>
          <w:rFonts w:cstheme="minorHAnsi"/>
          <w:shd w:val="clear" w:color="auto" w:fill="FFFFFF"/>
        </w:rPr>
      </w:pPr>
      <w:r w:rsidRPr="00BE2C1D">
        <w:rPr>
          <w:rFonts w:cstheme="minorHAnsi"/>
        </w:rPr>
        <w:t xml:space="preserve">Woolley, H. (2013) Now Being Social: The Barrier of Designing Outdoor Play Spaces for Disabled Children. </w:t>
      </w:r>
      <w:r w:rsidRPr="00BE2C1D">
        <w:rPr>
          <w:rFonts w:cstheme="minorHAnsi"/>
          <w:i/>
          <w:iCs/>
        </w:rPr>
        <w:t xml:space="preserve">Children and Society. </w:t>
      </w:r>
      <w:r w:rsidRPr="00BE2C1D">
        <w:rPr>
          <w:rFonts w:cstheme="minorHAnsi"/>
          <w:b/>
          <w:bCs/>
        </w:rPr>
        <w:t>27</w:t>
      </w:r>
      <w:r w:rsidRPr="00BE2C1D">
        <w:rPr>
          <w:rFonts w:cstheme="minorHAnsi"/>
          <w:i/>
          <w:iCs/>
        </w:rPr>
        <w:t xml:space="preserve"> (6),</w:t>
      </w:r>
      <w:r w:rsidRPr="00BE2C1D">
        <w:rPr>
          <w:rFonts w:cstheme="minorHAnsi"/>
        </w:rPr>
        <w:t xml:space="preserve"> 448-458</w:t>
      </w:r>
    </w:p>
    <w:p w14:paraId="511EE1E1" w14:textId="77777777" w:rsidR="00BE2C1D" w:rsidRPr="00BE2C1D" w:rsidRDefault="00BE2C1D" w:rsidP="00BE2C1D">
      <w:pPr>
        <w:spacing w:line="360" w:lineRule="auto"/>
        <w:rPr>
          <w:rFonts w:cstheme="minorHAnsi"/>
        </w:rPr>
      </w:pPr>
      <w:r w:rsidRPr="00BE2C1D">
        <w:rPr>
          <w:rFonts w:cstheme="minorHAnsi"/>
        </w:rPr>
        <w:t xml:space="preserve">Woolley, H., Armitage, M., Bishop, J., Curtis, M. and Ginsborg. (2005). </w:t>
      </w:r>
      <w:r w:rsidRPr="00BE2C1D">
        <w:rPr>
          <w:rFonts w:cstheme="minorHAnsi"/>
          <w:i/>
          <w:iCs/>
        </w:rPr>
        <w:t>Inclusion of Disabled Children in Primary School Playgrounds</w:t>
      </w:r>
      <w:r w:rsidRPr="00BE2C1D">
        <w:rPr>
          <w:rFonts w:cstheme="minorHAnsi"/>
        </w:rPr>
        <w:t>. London: National Children’s Bureau and Joseph Rowntree Foundation.</w:t>
      </w:r>
    </w:p>
    <w:p w14:paraId="28CC673B" w14:textId="77777777" w:rsidR="00BE2C1D" w:rsidRPr="00BE2C1D" w:rsidRDefault="00BE2C1D" w:rsidP="00BE2C1D">
      <w:pPr>
        <w:spacing w:line="360" w:lineRule="auto"/>
        <w:rPr>
          <w:rFonts w:cstheme="minorHAnsi"/>
          <w:shd w:val="clear" w:color="auto" w:fill="FFFFFF"/>
        </w:rPr>
      </w:pPr>
      <w:r w:rsidRPr="00BE2C1D">
        <w:rPr>
          <w:rFonts w:cstheme="minorHAnsi"/>
          <w:shd w:val="clear" w:color="auto" w:fill="FFFFFF"/>
        </w:rPr>
        <w:t>Worth, N., 2013. Making friends and fitting in: a social-relational understanding of disability at school. </w:t>
      </w:r>
      <w:r w:rsidRPr="00BE2C1D">
        <w:rPr>
          <w:rFonts w:cstheme="minorHAnsi"/>
          <w:i/>
          <w:iCs/>
          <w:shd w:val="clear" w:color="auto" w:fill="FFFFFF"/>
        </w:rPr>
        <w:t>Social &amp; Cultural Geography</w:t>
      </w:r>
      <w:r w:rsidRPr="00BE2C1D">
        <w:rPr>
          <w:rFonts w:cstheme="minorHAnsi"/>
          <w:shd w:val="clear" w:color="auto" w:fill="FFFFFF"/>
        </w:rPr>
        <w:t>. </w:t>
      </w:r>
      <w:r w:rsidRPr="00BE2C1D">
        <w:rPr>
          <w:rFonts w:cstheme="minorHAnsi"/>
          <w:b/>
          <w:bCs/>
          <w:shd w:val="clear" w:color="auto" w:fill="FFFFFF"/>
        </w:rPr>
        <w:t>14</w:t>
      </w:r>
      <w:r w:rsidRPr="00BE2C1D">
        <w:rPr>
          <w:rFonts w:cstheme="minorHAnsi"/>
          <w:shd w:val="clear" w:color="auto" w:fill="FFFFFF"/>
        </w:rPr>
        <w:t>(1), 103-123.</w:t>
      </w:r>
    </w:p>
    <w:p w14:paraId="44A10AE4" w14:textId="77777777" w:rsidR="00BE2C1D" w:rsidRPr="00BE2C1D" w:rsidRDefault="00BE2C1D" w:rsidP="00BE2C1D">
      <w:pPr>
        <w:spacing w:line="360" w:lineRule="auto"/>
        <w:rPr>
          <w:rFonts w:cstheme="minorHAnsi"/>
          <w:shd w:val="clear" w:color="auto" w:fill="FFFFFF"/>
        </w:rPr>
      </w:pPr>
      <w:r w:rsidRPr="00BE2C1D">
        <w:rPr>
          <w:rFonts w:cstheme="minorHAnsi"/>
          <w:shd w:val="clear" w:color="auto" w:fill="FFFFFF"/>
        </w:rPr>
        <w:t>Wren, A., 2017. Understanding the role of the Teaching Assistant: Comparing the views of pupils with SEN and TAs within mainstream primary schools. </w:t>
      </w:r>
      <w:r w:rsidRPr="00BE2C1D">
        <w:rPr>
          <w:rFonts w:cstheme="minorHAnsi"/>
          <w:i/>
          <w:iCs/>
          <w:shd w:val="clear" w:color="auto" w:fill="FFFFFF"/>
        </w:rPr>
        <w:t>Support for Learning</w:t>
      </w:r>
      <w:r w:rsidRPr="00BE2C1D">
        <w:rPr>
          <w:rFonts w:cstheme="minorHAnsi"/>
          <w:shd w:val="clear" w:color="auto" w:fill="FFFFFF"/>
        </w:rPr>
        <w:t>. </w:t>
      </w:r>
      <w:r w:rsidRPr="00BE2C1D">
        <w:rPr>
          <w:rFonts w:cstheme="minorHAnsi"/>
          <w:b/>
          <w:bCs/>
          <w:shd w:val="clear" w:color="auto" w:fill="FFFFFF"/>
        </w:rPr>
        <w:t>32</w:t>
      </w:r>
      <w:r w:rsidRPr="00BE2C1D">
        <w:rPr>
          <w:rFonts w:cstheme="minorHAnsi"/>
          <w:shd w:val="clear" w:color="auto" w:fill="FFFFFF"/>
        </w:rPr>
        <w:t>(1),.4-19.</w:t>
      </w:r>
    </w:p>
    <w:p w14:paraId="712B991A" w14:textId="77777777" w:rsidR="00BE2C1D" w:rsidRPr="00BE2C1D" w:rsidRDefault="00BE2C1D" w:rsidP="00BE2C1D">
      <w:pPr>
        <w:spacing w:line="360" w:lineRule="auto"/>
        <w:rPr>
          <w:rFonts w:cstheme="minorHAnsi"/>
          <w:shd w:val="clear" w:color="auto" w:fill="FFFFFF"/>
        </w:rPr>
      </w:pPr>
      <w:r w:rsidRPr="00BE2C1D">
        <w:rPr>
          <w:rFonts w:cstheme="minorHAnsi"/>
          <w:shd w:val="clear" w:color="auto" w:fill="FFFFFF"/>
        </w:rPr>
        <w:t>Wynne-Davies, R. and Patton, M.A., 1991. The frequency of mental retardation in hypocondroplasia. </w:t>
      </w:r>
      <w:r w:rsidRPr="00BE2C1D">
        <w:rPr>
          <w:rFonts w:cstheme="minorHAnsi"/>
          <w:i/>
          <w:iCs/>
          <w:shd w:val="clear" w:color="auto" w:fill="FFFFFF"/>
        </w:rPr>
        <w:t>Med Genet</w:t>
      </w:r>
      <w:r w:rsidRPr="00BE2C1D">
        <w:rPr>
          <w:rFonts w:cstheme="minorHAnsi"/>
          <w:shd w:val="clear" w:color="auto" w:fill="FFFFFF"/>
        </w:rPr>
        <w:t>. </w:t>
      </w:r>
      <w:r w:rsidRPr="00BE2C1D">
        <w:rPr>
          <w:rFonts w:cstheme="minorHAnsi"/>
          <w:b/>
          <w:bCs/>
          <w:shd w:val="clear" w:color="auto" w:fill="FFFFFF"/>
        </w:rPr>
        <w:t>28</w:t>
      </w:r>
      <w:r w:rsidRPr="00BE2C1D">
        <w:rPr>
          <w:rFonts w:cstheme="minorHAnsi"/>
          <w:shd w:val="clear" w:color="auto" w:fill="FFFFFF"/>
        </w:rPr>
        <w:t>, 644-648.</w:t>
      </w:r>
    </w:p>
    <w:p w14:paraId="309D7734" w14:textId="77777777" w:rsidR="00BE2C1D" w:rsidRPr="00BE2C1D" w:rsidRDefault="00BE2C1D" w:rsidP="00BE2C1D">
      <w:pPr>
        <w:spacing w:line="360" w:lineRule="auto"/>
        <w:rPr>
          <w:rFonts w:cstheme="minorHAnsi"/>
          <w:shd w:val="clear" w:color="auto" w:fill="FFFFFF"/>
        </w:rPr>
      </w:pPr>
      <w:r w:rsidRPr="00BE2C1D">
        <w:rPr>
          <w:rFonts w:cstheme="minorHAnsi"/>
          <w:shd w:val="clear" w:color="auto" w:fill="FFFFFF"/>
        </w:rPr>
        <w:t>Yablon, Y.B., 2010. Student–teacher relationships and students’ willingness to seek help for school violence. </w:t>
      </w:r>
      <w:r w:rsidRPr="00BE2C1D">
        <w:rPr>
          <w:rFonts w:cstheme="minorHAnsi"/>
          <w:i/>
          <w:iCs/>
          <w:shd w:val="clear" w:color="auto" w:fill="FFFFFF"/>
        </w:rPr>
        <w:t>Journal of Social and Personal Relationships</w:t>
      </w:r>
      <w:r w:rsidRPr="00BE2C1D">
        <w:rPr>
          <w:rFonts w:cstheme="minorHAnsi"/>
          <w:shd w:val="clear" w:color="auto" w:fill="FFFFFF"/>
        </w:rPr>
        <w:t>. </w:t>
      </w:r>
      <w:r w:rsidRPr="00BE2C1D">
        <w:rPr>
          <w:rFonts w:cstheme="minorHAnsi"/>
          <w:b/>
          <w:bCs/>
          <w:shd w:val="clear" w:color="auto" w:fill="FFFFFF"/>
        </w:rPr>
        <w:t>27</w:t>
      </w:r>
      <w:r w:rsidRPr="00BE2C1D">
        <w:rPr>
          <w:rFonts w:cstheme="minorHAnsi"/>
          <w:shd w:val="clear" w:color="auto" w:fill="FFFFFF"/>
        </w:rPr>
        <w:t>(8), 1110-1123.</w:t>
      </w:r>
    </w:p>
    <w:p w14:paraId="23F2CA01" w14:textId="77777777" w:rsidR="00BE2C1D" w:rsidRPr="00BE2C1D" w:rsidRDefault="00BE2C1D" w:rsidP="00BE2C1D">
      <w:pPr>
        <w:spacing w:line="360" w:lineRule="auto"/>
        <w:rPr>
          <w:rFonts w:cstheme="minorHAnsi"/>
          <w:shd w:val="clear" w:color="auto" w:fill="FFFFFF"/>
        </w:rPr>
      </w:pPr>
      <w:r w:rsidRPr="00BE2C1D">
        <w:rPr>
          <w:rFonts w:cstheme="minorHAnsi"/>
          <w:shd w:val="clear" w:color="auto" w:fill="FFFFFF"/>
        </w:rPr>
        <w:t>Yantzi, N.M., Young, N.L. and Mckeever, P., 2010. The suitability of school playgrounds for physically disabled children. </w:t>
      </w:r>
      <w:r w:rsidRPr="00BE2C1D">
        <w:rPr>
          <w:rFonts w:cstheme="minorHAnsi"/>
          <w:i/>
          <w:iCs/>
          <w:shd w:val="clear" w:color="auto" w:fill="FFFFFF"/>
        </w:rPr>
        <w:t>Children's Geographies</w:t>
      </w:r>
      <w:r w:rsidRPr="00BE2C1D">
        <w:rPr>
          <w:rFonts w:cstheme="minorHAnsi"/>
          <w:shd w:val="clear" w:color="auto" w:fill="FFFFFF"/>
        </w:rPr>
        <w:t>. 8(1), 65-78.</w:t>
      </w:r>
    </w:p>
    <w:p w14:paraId="343C401C" w14:textId="77777777" w:rsidR="00BE2C1D" w:rsidRPr="00BE2C1D" w:rsidRDefault="00BE2C1D" w:rsidP="00BE2C1D">
      <w:pPr>
        <w:spacing w:line="360" w:lineRule="auto"/>
        <w:rPr>
          <w:rFonts w:cstheme="minorHAnsi"/>
          <w:shd w:val="clear" w:color="auto" w:fill="FFFFFF"/>
        </w:rPr>
      </w:pPr>
      <w:r w:rsidRPr="00BE2C1D">
        <w:rPr>
          <w:rFonts w:cstheme="minorHAnsi"/>
          <w:shd w:val="clear" w:color="auto" w:fill="FFFFFF"/>
        </w:rPr>
        <w:t>Yates, S., Riach, K. and Johansson, M., 2018. Stress at Work, Gendered Dys‐appearance and the Broken Body in Policing. </w:t>
      </w:r>
      <w:r w:rsidRPr="00BE2C1D">
        <w:rPr>
          <w:rFonts w:cstheme="minorHAnsi"/>
          <w:i/>
          <w:iCs/>
          <w:shd w:val="clear" w:color="auto" w:fill="FFFFFF"/>
        </w:rPr>
        <w:t>Gender, Work &amp; Organization</w:t>
      </w:r>
      <w:r w:rsidRPr="00BE2C1D">
        <w:rPr>
          <w:rFonts w:cstheme="minorHAnsi"/>
          <w:shd w:val="clear" w:color="auto" w:fill="FFFFFF"/>
        </w:rPr>
        <w:t>. </w:t>
      </w:r>
      <w:r w:rsidRPr="00BE2C1D">
        <w:rPr>
          <w:rFonts w:cstheme="minorHAnsi"/>
          <w:b/>
          <w:bCs/>
          <w:shd w:val="clear" w:color="auto" w:fill="FFFFFF"/>
        </w:rPr>
        <w:t>25</w:t>
      </w:r>
      <w:r w:rsidRPr="00BE2C1D">
        <w:rPr>
          <w:rFonts w:cstheme="minorHAnsi"/>
          <w:shd w:val="clear" w:color="auto" w:fill="FFFFFF"/>
        </w:rPr>
        <w:t>(1), 91-105.</w:t>
      </w:r>
    </w:p>
    <w:p w14:paraId="06745169" w14:textId="77777777" w:rsidR="00BE2C1D" w:rsidRPr="00BE2C1D" w:rsidRDefault="00BE2C1D" w:rsidP="00BE2C1D">
      <w:pPr>
        <w:spacing w:line="360" w:lineRule="auto"/>
        <w:rPr>
          <w:rFonts w:cstheme="minorHAnsi"/>
        </w:rPr>
      </w:pPr>
      <w:r w:rsidRPr="00BE2C1D">
        <w:rPr>
          <w:rFonts w:cstheme="minorHAnsi"/>
          <w:bdr w:val="none" w:sz="0" w:space="0" w:color="auto" w:frame="1"/>
          <w:shd w:val="clear" w:color="auto" w:fill="FFFFFF"/>
        </w:rPr>
        <w:t>Yee, W. C.</w:t>
      </w:r>
      <w:r w:rsidRPr="00BE2C1D">
        <w:rPr>
          <w:rFonts w:cstheme="minorHAnsi"/>
          <w:shd w:val="clear" w:color="auto" w:fill="FFFFFF"/>
        </w:rPr>
        <w:t> and </w:t>
      </w:r>
      <w:r w:rsidRPr="00BE2C1D">
        <w:rPr>
          <w:rFonts w:cstheme="minorHAnsi"/>
          <w:bdr w:val="none" w:sz="0" w:space="0" w:color="auto" w:frame="1"/>
          <w:shd w:val="clear" w:color="auto" w:fill="FFFFFF"/>
        </w:rPr>
        <w:t>Andrews, J.</w:t>
      </w:r>
      <w:r w:rsidRPr="00BE2C1D">
        <w:rPr>
          <w:rFonts w:cstheme="minorHAnsi"/>
          <w:shd w:val="clear" w:color="auto" w:fill="FFFFFF"/>
        </w:rPr>
        <w:t> (2006) Professional researcher or a 'good guest'? Ethical dilemmas involved in researching children and families in the home setting. </w:t>
      </w:r>
      <w:r w:rsidRPr="00BE2C1D">
        <w:rPr>
          <w:rFonts w:cstheme="minorHAnsi"/>
          <w:i/>
          <w:iCs/>
          <w:bdr w:val="none" w:sz="0" w:space="0" w:color="auto" w:frame="1"/>
          <w:shd w:val="clear" w:color="auto" w:fill="FFFFFF"/>
        </w:rPr>
        <w:t>Educational Review</w:t>
      </w:r>
      <w:r w:rsidRPr="00BE2C1D">
        <w:rPr>
          <w:rFonts w:cstheme="minorHAnsi"/>
          <w:shd w:val="clear" w:color="auto" w:fill="FFFFFF"/>
        </w:rPr>
        <w:t xml:space="preserve">. </w:t>
      </w:r>
      <w:r w:rsidRPr="00BE2C1D">
        <w:rPr>
          <w:rFonts w:cstheme="minorHAnsi"/>
          <w:b/>
          <w:bCs/>
          <w:shd w:val="clear" w:color="auto" w:fill="FFFFFF"/>
        </w:rPr>
        <w:t>58</w:t>
      </w:r>
      <w:r w:rsidRPr="00BE2C1D">
        <w:rPr>
          <w:rFonts w:cstheme="minorHAnsi"/>
          <w:shd w:val="clear" w:color="auto" w:fill="FFFFFF"/>
        </w:rPr>
        <w:t xml:space="preserve"> (4), 397-413.</w:t>
      </w:r>
    </w:p>
    <w:p w14:paraId="3763D773" w14:textId="77777777" w:rsidR="00BE2C1D" w:rsidRPr="00BE2C1D" w:rsidRDefault="00BE2C1D" w:rsidP="00BE2C1D">
      <w:pPr>
        <w:spacing w:line="360" w:lineRule="auto"/>
        <w:rPr>
          <w:rFonts w:cstheme="minorHAnsi"/>
        </w:rPr>
      </w:pPr>
      <w:r w:rsidRPr="00BE2C1D">
        <w:rPr>
          <w:rFonts w:cstheme="minorHAnsi"/>
        </w:rPr>
        <w:t xml:space="preserve">Young, I. M., 1980. Throwing like a girl: A phenomenology of feminine body comportment motility and spatiality. </w:t>
      </w:r>
      <w:r w:rsidRPr="00BE2C1D">
        <w:rPr>
          <w:rFonts w:cstheme="minorHAnsi"/>
          <w:i/>
          <w:iCs/>
        </w:rPr>
        <w:t>Human Studies</w:t>
      </w:r>
      <w:r w:rsidRPr="00BE2C1D">
        <w:rPr>
          <w:rFonts w:cstheme="minorHAnsi"/>
        </w:rPr>
        <w:t xml:space="preserve">. </w:t>
      </w:r>
      <w:r w:rsidRPr="00BE2C1D">
        <w:rPr>
          <w:rFonts w:cstheme="minorHAnsi"/>
          <w:b/>
          <w:bCs/>
        </w:rPr>
        <w:t>3</w:t>
      </w:r>
      <w:r w:rsidRPr="00BE2C1D">
        <w:rPr>
          <w:rFonts w:cstheme="minorHAnsi"/>
        </w:rPr>
        <w:t>, 137–156.</w:t>
      </w:r>
    </w:p>
    <w:p w14:paraId="0C4D3A5C" w14:textId="77777777" w:rsidR="00BE2C1D" w:rsidRPr="00BE2C1D" w:rsidRDefault="00BE2C1D" w:rsidP="00BE2C1D">
      <w:pPr>
        <w:spacing w:line="360" w:lineRule="auto"/>
        <w:rPr>
          <w:rFonts w:cstheme="minorHAnsi"/>
        </w:rPr>
      </w:pPr>
      <w:r w:rsidRPr="00BE2C1D">
        <w:rPr>
          <w:rFonts w:cstheme="minorHAnsi"/>
        </w:rPr>
        <w:t xml:space="preserve">Young, I. M., 2002. Lived body vs gender: reflections on social structure and subjectivity. Ratio. </w:t>
      </w:r>
      <w:r w:rsidRPr="00BE2C1D">
        <w:rPr>
          <w:rFonts w:cstheme="minorHAnsi"/>
          <w:b/>
          <w:bCs/>
        </w:rPr>
        <w:t>15</w:t>
      </w:r>
      <w:r w:rsidRPr="00BE2C1D">
        <w:rPr>
          <w:rFonts w:cstheme="minorHAnsi"/>
        </w:rPr>
        <w:t>(4), 410–28.</w:t>
      </w:r>
    </w:p>
    <w:p w14:paraId="09C49E43" w14:textId="77777777" w:rsidR="00BE2C1D" w:rsidRPr="00BE2C1D" w:rsidRDefault="00BE2C1D" w:rsidP="00BE2C1D">
      <w:pPr>
        <w:spacing w:line="360" w:lineRule="auto"/>
        <w:rPr>
          <w:rFonts w:cstheme="minorHAnsi"/>
          <w:shd w:val="clear" w:color="auto" w:fill="FFFFFF"/>
        </w:rPr>
      </w:pPr>
      <w:r w:rsidRPr="00BE2C1D">
        <w:rPr>
          <w:rFonts w:cstheme="minorHAnsi"/>
          <w:shd w:val="clear" w:color="auto" w:fill="FFFFFF"/>
        </w:rPr>
        <w:lastRenderedPageBreak/>
        <w:t>Zeiler, K., 2010. A phenomenological analysis of bodily self-awareness in the experience of pain and pleasure: On dys-appearance and eu-appearance. </w:t>
      </w:r>
      <w:r w:rsidRPr="00BE2C1D">
        <w:rPr>
          <w:rFonts w:cstheme="minorHAnsi"/>
          <w:i/>
          <w:iCs/>
          <w:shd w:val="clear" w:color="auto" w:fill="FFFFFF"/>
        </w:rPr>
        <w:t>Medicine, Health Care and Philosophy</w:t>
      </w:r>
      <w:r w:rsidRPr="00BE2C1D">
        <w:rPr>
          <w:rFonts w:cstheme="minorHAnsi"/>
          <w:shd w:val="clear" w:color="auto" w:fill="FFFFFF"/>
        </w:rPr>
        <w:t>. </w:t>
      </w:r>
      <w:r w:rsidRPr="00BE2C1D">
        <w:rPr>
          <w:rFonts w:cstheme="minorHAnsi"/>
          <w:b/>
          <w:bCs/>
          <w:shd w:val="clear" w:color="auto" w:fill="FFFFFF"/>
        </w:rPr>
        <w:t>13</w:t>
      </w:r>
      <w:r w:rsidRPr="00BE2C1D">
        <w:rPr>
          <w:rFonts w:cstheme="minorHAnsi"/>
          <w:shd w:val="clear" w:color="auto" w:fill="FFFFFF"/>
        </w:rPr>
        <w:t>(4), 333-342.</w:t>
      </w:r>
      <w:bookmarkEnd w:id="195"/>
    </w:p>
    <w:p w14:paraId="56F824B7" w14:textId="77777777" w:rsidR="00BE2C1D" w:rsidRPr="00BE2C1D" w:rsidRDefault="00BE2C1D" w:rsidP="00BE2C1D">
      <w:pPr>
        <w:spacing w:line="360" w:lineRule="auto"/>
        <w:rPr>
          <w:rFonts w:cstheme="minorHAnsi"/>
          <w:sz w:val="20"/>
          <w:szCs w:val="20"/>
        </w:rPr>
      </w:pPr>
    </w:p>
    <w:p w14:paraId="08A5590D" w14:textId="77777777" w:rsidR="00BE2C1D" w:rsidRPr="00BE2C1D" w:rsidRDefault="00BE2C1D" w:rsidP="00BE2C1D"/>
    <w:p w14:paraId="4A55EFA9" w14:textId="77777777" w:rsidR="00BE2C1D" w:rsidRPr="00BE2C1D" w:rsidRDefault="00BE2C1D" w:rsidP="00BE2C1D"/>
    <w:p w14:paraId="5DD7F91D" w14:textId="77777777" w:rsidR="00BE2C1D" w:rsidRPr="00BE2C1D" w:rsidRDefault="00BE2C1D" w:rsidP="00BE2C1D"/>
    <w:p w14:paraId="13EC6A82" w14:textId="2DC577E8" w:rsidR="00BE2C1D" w:rsidRDefault="00BE2C1D" w:rsidP="00BE2C1D"/>
    <w:p w14:paraId="0B95BA41" w14:textId="77777777" w:rsidR="00BE2C1D" w:rsidRPr="00BE2C1D" w:rsidRDefault="00BE2C1D" w:rsidP="00BE2C1D"/>
    <w:p w14:paraId="6FBEAD41" w14:textId="77777777" w:rsidR="00BE2C1D" w:rsidRPr="00BE2C1D" w:rsidRDefault="00BE2C1D" w:rsidP="00BE2C1D">
      <w:pPr>
        <w:keepNext/>
        <w:keepLines/>
        <w:spacing w:before="240" w:after="0"/>
        <w:outlineLvl w:val="0"/>
        <w:rPr>
          <w:rFonts w:asciiTheme="majorHAnsi" w:eastAsiaTheme="majorEastAsia" w:hAnsiTheme="majorHAnsi" w:cstheme="majorBidi"/>
          <w:color w:val="2F5496" w:themeColor="accent1" w:themeShade="BF"/>
          <w:sz w:val="32"/>
          <w:szCs w:val="32"/>
        </w:rPr>
      </w:pPr>
      <w:bookmarkStart w:id="201" w:name="_Toc39585300"/>
      <w:r w:rsidRPr="00BE2C1D">
        <w:rPr>
          <w:rFonts w:asciiTheme="majorHAnsi" w:eastAsiaTheme="majorEastAsia" w:hAnsiTheme="majorHAnsi" w:cstheme="majorBidi"/>
          <w:color w:val="2F5496" w:themeColor="accent1" w:themeShade="BF"/>
          <w:sz w:val="32"/>
          <w:szCs w:val="32"/>
        </w:rPr>
        <w:t>Appendices</w:t>
      </w:r>
      <w:bookmarkEnd w:id="201"/>
      <w:r w:rsidRPr="00BE2C1D">
        <w:rPr>
          <w:rFonts w:asciiTheme="majorHAnsi" w:eastAsiaTheme="majorEastAsia" w:hAnsiTheme="majorHAnsi" w:cstheme="majorBidi"/>
          <w:color w:val="2F5496" w:themeColor="accent1" w:themeShade="BF"/>
          <w:sz w:val="32"/>
          <w:szCs w:val="32"/>
        </w:rPr>
        <w:t xml:space="preserve"> </w:t>
      </w:r>
    </w:p>
    <w:p w14:paraId="01098104" w14:textId="77777777" w:rsidR="00BE2C1D" w:rsidRPr="00BE2C1D" w:rsidRDefault="00BE2C1D" w:rsidP="00BE2C1D"/>
    <w:p w14:paraId="64A7273B" w14:textId="77777777" w:rsidR="00BE2C1D" w:rsidRPr="00BE2C1D" w:rsidRDefault="00BE2C1D" w:rsidP="00BE2C1D">
      <w:pPr>
        <w:keepNext/>
        <w:keepLines/>
        <w:spacing w:before="40" w:after="0"/>
        <w:outlineLvl w:val="1"/>
        <w:rPr>
          <w:rFonts w:asciiTheme="majorHAnsi" w:eastAsiaTheme="majorEastAsia" w:hAnsiTheme="majorHAnsi" w:cstheme="majorBidi"/>
          <w:color w:val="2F5496" w:themeColor="accent1" w:themeShade="BF"/>
          <w:sz w:val="26"/>
          <w:szCs w:val="26"/>
        </w:rPr>
      </w:pPr>
      <w:bookmarkStart w:id="202" w:name="_Toc39585301"/>
      <w:r w:rsidRPr="00BE2C1D">
        <w:rPr>
          <w:rFonts w:asciiTheme="majorHAnsi" w:eastAsiaTheme="majorEastAsia" w:hAnsiTheme="majorHAnsi" w:cstheme="majorBidi"/>
          <w:color w:val="2F5496" w:themeColor="accent1" w:themeShade="BF"/>
          <w:sz w:val="26"/>
          <w:szCs w:val="26"/>
        </w:rPr>
        <w:t>Appendix 1: Table with Studies on Children and Young People with RG</w:t>
      </w:r>
      <w:bookmarkEnd w:id="202"/>
    </w:p>
    <w:p w14:paraId="7B98E5C9" w14:textId="77777777" w:rsidR="00BE2C1D" w:rsidRPr="00BE2C1D" w:rsidRDefault="00BE2C1D" w:rsidP="00BE2C1D">
      <w:pPr>
        <w:rPr>
          <w:rFonts w:ascii="Times New Roman" w:hAnsi="Times New Roman" w:cs="Times New Roman"/>
          <w:i/>
          <w:u w:val="single"/>
          <w:lang w:val="en-US"/>
        </w:rPr>
      </w:pPr>
    </w:p>
    <w:p w14:paraId="33B45624" w14:textId="77777777" w:rsidR="00BE2C1D" w:rsidRPr="00BE2C1D" w:rsidRDefault="00BE2C1D" w:rsidP="00BE2C1D">
      <w:pPr>
        <w:rPr>
          <w:rFonts w:ascii="Times New Roman" w:hAnsi="Times New Roman" w:cs="Times New Roman"/>
          <w:i/>
          <w:u w:val="single"/>
          <w:lang w:val="en-US"/>
        </w:rPr>
      </w:pPr>
      <w:r w:rsidRPr="00BE2C1D">
        <w:rPr>
          <w:rFonts w:ascii="Times New Roman" w:hAnsi="Times New Roman" w:cs="Times New Roman"/>
          <w:i/>
          <w:u w:val="single"/>
          <w:lang w:val="en-US"/>
        </w:rPr>
        <w:t>Acronyms for journals:</w:t>
      </w:r>
    </w:p>
    <w:p w14:paraId="28598250" w14:textId="77777777" w:rsidR="00BE2C1D" w:rsidRPr="00BE2C1D" w:rsidRDefault="00BE2C1D" w:rsidP="00BE2C1D">
      <w:pPr>
        <w:rPr>
          <w:rFonts w:ascii="Times New Roman" w:hAnsi="Times New Roman" w:cs="Times New Roman"/>
        </w:rPr>
      </w:pPr>
      <w:r w:rsidRPr="00BE2C1D">
        <w:rPr>
          <w:rFonts w:ascii="Times New Roman" w:hAnsi="Times New Roman" w:cs="Times New Roman"/>
        </w:rPr>
        <w:t>Journal of Child Psychology and Psychiatry:</w:t>
      </w:r>
      <w:r w:rsidRPr="00BE2C1D">
        <w:rPr>
          <w:rFonts w:ascii="Times New Roman" w:hAnsi="Times New Roman" w:cs="Times New Roman"/>
          <w:lang w:val="en-US"/>
        </w:rPr>
        <w:t xml:space="preserve"> </w:t>
      </w:r>
      <w:r w:rsidRPr="00BE2C1D">
        <w:rPr>
          <w:rFonts w:ascii="Times New Roman" w:hAnsi="Times New Roman" w:cs="Times New Roman"/>
        </w:rPr>
        <w:t>JCPP</w:t>
      </w:r>
    </w:p>
    <w:p w14:paraId="0CE90BBC" w14:textId="77777777" w:rsidR="00BE2C1D" w:rsidRPr="00BE2C1D" w:rsidRDefault="00BE2C1D" w:rsidP="00BE2C1D">
      <w:pPr>
        <w:rPr>
          <w:rFonts w:ascii="Times New Roman" w:hAnsi="Times New Roman" w:cs="Times New Roman"/>
        </w:rPr>
      </w:pPr>
      <w:r w:rsidRPr="00BE2C1D">
        <w:rPr>
          <w:rFonts w:ascii="Times New Roman" w:hAnsi="Times New Roman" w:cs="Times New Roman"/>
        </w:rPr>
        <w:t>Archives of Disease in Childhood: Arc.Dis.Ch.</w:t>
      </w:r>
    </w:p>
    <w:p w14:paraId="6373E883" w14:textId="77777777" w:rsidR="00BE2C1D" w:rsidRPr="00BE2C1D" w:rsidRDefault="00BE2C1D" w:rsidP="00BE2C1D">
      <w:pPr>
        <w:rPr>
          <w:rFonts w:ascii="Times New Roman" w:hAnsi="Times New Roman" w:cs="Times New Roman"/>
        </w:rPr>
      </w:pPr>
      <w:r w:rsidRPr="00BE2C1D">
        <w:rPr>
          <w:rFonts w:ascii="Times New Roman" w:hAnsi="Times New Roman" w:cs="Times New Roman"/>
        </w:rPr>
        <w:t>Journal of the American Medical Association: JAMA</w:t>
      </w:r>
    </w:p>
    <w:p w14:paraId="70ABD2C9" w14:textId="77777777" w:rsidR="00BE2C1D" w:rsidRPr="00BE2C1D" w:rsidRDefault="00BE2C1D" w:rsidP="00BE2C1D">
      <w:pPr>
        <w:rPr>
          <w:rFonts w:ascii="Times New Roman" w:hAnsi="Times New Roman" w:cs="Times New Roman"/>
        </w:rPr>
      </w:pPr>
      <w:r w:rsidRPr="00BE2C1D">
        <w:rPr>
          <w:rFonts w:ascii="Times New Roman" w:hAnsi="Times New Roman" w:cs="Times New Roman"/>
        </w:rPr>
        <w:t>The Journal of Pediatrics: JPed.</w:t>
      </w:r>
    </w:p>
    <w:p w14:paraId="0AC26A20" w14:textId="77777777" w:rsidR="00BE2C1D" w:rsidRPr="00BE2C1D" w:rsidRDefault="00BE2C1D" w:rsidP="00BE2C1D">
      <w:pPr>
        <w:rPr>
          <w:rFonts w:ascii="Times New Roman" w:hAnsi="Times New Roman" w:cs="Times New Roman"/>
        </w:rPr>
      </w:pPr>
      <w:r w:rsidRPr="00BE2C1D">
        <w:rPr>
          <w:rFonts w:ascii="Times New Roman" w:hAnsi="Times New Roman" w:cs="Times New Roman"/>
        </w:rPr>
        <w:t>Pediatrics-official journal of the American Academy of Pediatrics: Ped.</w:t>
      </w:r>
    </w:p>
    <w:p w14:paraId="5F6DFFE6" w14:textId="77777777" w:rsidR="00BE2C1D" w:rsidRPr="00BE2C1D" w:rsidRDefault="00BE2C1D" w:rsidP="00BE2C1D">
      <w:pPr>
        <w:rPr>
          <w:rFonts w:ascii="Times New Roman" w:hAnsi="Times New Roman" w:cs="Times New Roman"/>
        </w:rPr>
      </w:pPr>
      <w:r w:rsidRPr="00BE2C1D">
        <w:rPr>
          <w:rFonts w:ascii="Times New Roman" w:hAnsi="Times New Roman" w:cs="Times New Roman"/>
        </w:rPr>
        <w:t>The New England Journal of Medicine: TNEJMed.</w:t>
      </w:r>
    </w:p>
    <w:p w14:paraId="19FF1630" w14:textId="77777777" w:rsidR="00BE2C1D" w:rsidRPr="00BE2C1D" w:rsidRDefault="00BE2C1D" w:rsidP="00BE2C1D">
      <w:pPr>
        <w:rPr>
          <w:rFonts w:ascii="Times New Roman" w:hAnsi="Times New Roman" w:cs="Times New Roman"/>
        </w:rPr>
      </w:pPr>
      <w:r w:rsidRPr="00BE2C1D">
        <w:rPr>
          <w:rFonts w:ascii="Times New Roman" w:hAnsi="Times New Roman" w:cs="Times New Roman"/>
        </w:rPr>
        <w:t>Hormone Research: Horm.Res.</w:t>
      </w:r>
    </w:p>
    <w:p w14:paraId="6A02FE09" w14:textId="77777777" w:rsidR="00BE2C1D" w:rsidRPr="00BE2C1D" w:rsidRDefault="00BE2C1D" w:rsidP="00BE2C1D">
      <w:pPr>
        <w:rPr>
          <w:rFonts w:ascii="Times New Roman" w:hAnsi="Times New Roman" w:cs="Times New Roman"/>
        </w:rPr>
      </w:pPr>
      <w:r w:rsidRPr="00BE2C1D">
        <w:rPr>
          <w:rFonts w:ascii="Times New Roman" w:hAnsi="Times New Roman" w:cs="Times New Roman"/>
        </w:rPr>
        <w:t>Perspectives in Biology and Medicine: PBM.</w:t>
      </w:r>
    </w:p>
    <w:p w14:paraId="0FD88DDE" w14:textId="77777777" w:rsidR="00BE2C1D" w:rsidRPr="00BE2C1D" w:rsidRDefault="00BE2C1D" w:rsidP="00BE2C1D">
      <w:pPr>
        <w:rPr>
          <w:rFonts w:ascii="Times New Roman" w:hAnsi="Times New Roman" w:cs="Times New Roman"/>
        </w:rPr>
      </w:pPr>
      <w:r w:rsidRPr="00BE2C1D">
        <w:rPr>
          <w:rFonts w:ascii="Times New Roman" w:hAnsi="Times New Roman" w:cs="Times New Roman"/>
        </w:rPr>
        <w:t>European Journal of Endocrinology: EJE</w:t>
      </w:r>
    </w:p>
    <w:p w14:paraId="01C73506" w14:textId="77777777" w:rsidR="00BE2C1D" w:rsidRPr="00BE2C1D" w:rsidRDefault="00BE2C1D" w:rsidP="00BE2C1D">
      <w:pPr>
        <w:rPr>
          <w:rFonts w:ascii="Times New Roman" w:hAnsi="Times New Roman" w:cs="Times New Roman"/>
        </w:rPr>
      </w:pPr>
      <w:r w:rsidRPr="00BE2C1D">
        <w:rPr>
          <w:rFonts w:ascii="Times New Roman" w:hAnsi="Times New Roman" w:cs="Times New Roman"/>
        </w:rPr>
        <w:t>BRAIN-A Journal of Neurology: BRAIN</w:t>
      </w:r>
    </w:p>
    <w:p w14:paraId="5249E392" w14:textId="77777777" w:rsidR="00BE2C1D" w:rsidRPr="00BE2C1D" w:rsidRDefault="00BE2C1D" w:rsidP="00BE2C1D">
      <w:pPr>
        <w:rPr>
          <w:rFonts w:ascii="Times New Roman" w:hAnsi="Times New Roman" w:cs="Times New Roman"/>
        </w:rPr>
      </w:pPr>
      <w:r w:rsidRPr="00BE2C1D">
        <w:rPr>
          <w:rFonts w:ascii="Times New Roman" w:hAnsi="Times New Roman" w:cs="Times New Roman"/>
        </w:rPr>
        <w:t>Journal of Developmental and Behavioral Pediatrics: JDBP</w:t>
      </w:r>
    </w:p>
    <w:p w14:paraId="77AC4150" w14:textId="77777777" w:rsidR="00BE2C1D" w:rsidRPr="00BE2C1D" w:rsidRDefault="00BE2C1D" w:rsidP="00BE2C1D">
      <w:pPr>
        <w:rPr>
          <w:rFonts w:ascii="Times New Roman" w:hAnsi="Times New Roman" w:cs="Times New Roman"/>
        </w:rPr>
      </w:pPr>
      <w:r w:rsidRPr="00BE2C1D">
        <w:rPr>
          <w:rFonts w:ascii="Times New Roman" w:hAnsi="Times New Roman" w:cs="Times New Roman"/>
        </w:rPr>
        <w:t>Journal of Medical Screening: JMS</w:t>
      </w:r>
    </w:p>
    <w:p w14:paraId="265292C6" w14:textId="77777777" w:rsidR="00BE2C1D" w:rsidRPr="00BE2C1D" w:rsidRDefault="00BE2C1D" w:rsidP="00BE2C1D">
      <w:pPr>
        <w:rPr>
          <w:rFonts w:ascii="Times New Roman" w:hAnsi="Times New Roman" w:cs="Times New Roman"/>
        </w:rPr>
      </w:pPr>
      <w:r w:rsidRPr="00BE2C1D">
        <w:rPr>
          <w:rFonts w:ascii="Times New Roman" w:hAnsi="Times New Roman" w:cs="Times New Roman"/>
        </w:rPr>
        <w:t>Journal of Pediatric Endocrinology and Metabolism: JPEM</w:t>
      </w:r>
    </w:p>
    <w:p w14:paraId="48D58162" w14:textId="77777777" w:rsidR="00BE2C1D" w:rsidRPr="00BE2C1D" w:rsidRDefault="00BE2C1D" w:rsidP="00BE2C1D">
      <w:pPr>
        <w:rPr>
          <w:rFonts w:ascii="Times New Roman" w:hAnsi="Times New Roman" w:cs="Times New Roman"/>
        </w:rPr>
      </w:pPr>
      <w:r w:rsidRPr="00BE2C1D">
        <w:rPr>
          <w:rFonts w:ascii="Times New Roman" w:hAnsi="Times New Roman" w:cs="Times New Roman"/>
        </w:rPr>
        <w:t>British Medical Journal: BMJ</w:t>
      </w:r>
    </w:p>
    <w:p w14:paraId="41D16312" w14:textId="77777777" w:rsidR="00BE2C1D" w:rsidRPr="00BE2C1D" w:rsidRDefault="00BE2C1D" w:rsidP="00BE2C1D">
      <w:pPr>
        <w:rPr>
          <w:rFonts w:ascii="Times New Roman" w:hAnsi="Times New Roman" w:cs="Times New Roman"/>
          <w:u w:val="single"/>
        </w:rPr>
      </w:pPr>
    </w:p>
    <w:p w14:paraId="18D2748C" w14:textId="77777777" w:rsidR="00BE2C1D" w:rsidRPr="00BE2C1D" w:rsidRDefault="00BE2C1D" w:rsidP="00BE2C1D">
      <w:pPr>
        <w:rPr>
          <w:rFonts w:ascii="Times New Roman" w:hAnsi="Times New Roman" w:cs="Times New Roman"/>
          <w:u w:val="single"/>
        </w:rPr>
      </w:pPr>
      <w:r w:rsidRPr="00BE2C1D">
        <w:rPr>
          <w:rFonts w:ascii="Times New Roman" w:hAnsi="Times New Roman" w:cs="Times New Roman"/>
          <w:u w:val="single"/>
        </w:rPr>
        <w:t>Grouping of literature:</w:t>
      </w:r>
    </w:p>
    <w:p w14:paraId="5CCDCB84" w14:textId="77777777" w:rsidR="00BE2C1D" w:rsidRPr="00BE2C1D" w:rsidRDefault="00BE2C1D" w:rsidP="00BE2C1D">
      <w:pPr>
        <w:rPr>
          <w:rFonts w:ascii="Times New Roman" w:hAnsi="Times New Roman" w:cs="Times New Roman"/>
        </w:rPr>
      </w:pPr>
      <w:r w:rsidRPr="00BE2C1D">
        <w:rPr>
          <w:rFonts w:ascii="Times New Roman" w:hAnsi="Times New Roman" w:cs="Times New Roman"/>
        </w:rPr>
        <w:t>Behavioural issues: blue</w:t>
      </w:r>
    </w:p>
    <w:p w14:paraId="5E056AAE" w14:textId="77777777" w:rsidR="00BE2C1D" w:rsidRPr="00BE2C1D" w:rsidRDefault="00BE2C1D" w:rsidP="00BE2C1D">
      <w:pPr>
        <w:rPr>
          <w:rFonts w:ascii="Times New Roman" w:hAnsi="Times New Roman" w:cs="Times New Roman"/>
        </w:rPr>
      </w:pPr>
      <w:r w:rsidRPr="00BE2C1D">
        <w:rPr>
          <w:rFonts w:ascii="Times New Roman" w:hAnsi="Times New Roman" w:cs="Times New Roman"/>
        </w:rPr>
        <w:t>Cognitive issues: IQ (dark green) /Attainment: (light green)</w:t>
      </w:r>
    </w:p>
    <w:p w14:paraId="10DA8C5A" w14:textId="77777777" w:rsidR="00BE2C1D" w:rsidRPr="00BE2C1D" w:rsidRDefault="00BE2C1D" w:rsidP="00BE2C1D">
      <w:pPr>
        <w:rPr>
          <w:rFonts w:ascii="Times New Roman" w:hAnsi="Times New Roman" w:cs="Times New Roman"/>
        </w:rPr>
      </w:pPr>
      <w:r w:rsidRPr="00BE2C1D">
        <w:rPr>
          <w:rFonts w:ascii="Times New Roman" w:hAnsi="Times New Roman" w:cs="Times New Roman"/>
        </w:rPr>
        <w:lastRenderedPageBreak/>
        <w:t>Perception: Self-perception/Self-esteem/Body image (light purple)/Parents’ Perception (dark purple)</w:t>
      </w:r>
    </w:p>
    <w:p w14:paraId="2B4704D4" w14:textId="77777777" w:rsidR="00BE2C1D" w:rsidRPr="00BE2C1D" w:rsidRDefault="00BE2C1D" w:rsidP="00BE2C1D">
      <w:pPr>
        <w:rPr>
          <w:rFonts w:ascii="Times New Roman" w:hAnsi="Times New Roman" w:cs="Times New Roman"/>
        </w:rPr>
      </w:pPr>
      <w:r w:rsidRPr="00BE2C1D">
        <w:rPr>
          <w:rFonts w:ascii="Times New Roman" w:hAnsi="Times New Roman" w:cs="Times New Roman"/>
        </w:rPr>
        <w:t xml:space="preserve">Social issues: Competence (dark orange)/Popularity-Acceptance (light orange)          </w:t>
      </w:r>
    </w:p>
    <w:p w14:paraId="5E911254" w14:textId="77777777" w:rsidR="00BE2C1D" w:rsidRPr="00BE2C1D" w:rsidRDefault="00BE2C1D" w:rsidP="00BE2C1D"/>
    <w:p w14:paraId="7E790E22" w14:textId="77777777" w:rsidR="00BE2C1D" w:rsidRPr="00BE2C1D" w:rsidRDefault="00BE2C1D" w:rsidP="00BE2C1D"/>
    <w:p w14:paraId="05202498" w14:textId="77777777" w:rsidR="00BE2C1D" w:rsidRPr="00BE2C1D" w:rsidRDefault="00BE2C1D" w:rsidP="00BE2C1D"/>
    <w:p w14:paraId="3D28809C" w14:textId="77777777" w:rsidR="00BE2C1D" w:rsidRPr="00BE2C1D" w:rsidRDefault="00BE2C1D" w:rsidP="00BE2C1D"/>
    <w:p w14:paraId="55DAACA6" w14:textId="77777777" w:rsidR="00BE2C1D" w:rsidRPr="00BE2C1D" w:rsidRDefault="00BE2C1D" w:rsidP="00BE2C1D"/>
    <w:tbl>
      <w:tblPr>
        <w:tblpPr w:leftFromText="180" w:rightFromText="180" w:vertAnchor="text" w:horzAnchor="margin" w:tblpXSpec="center" w:tblpY="799"/>
        <w:tblOverlap w:val="never"/>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30"/>
        <w:gridCol w:w="2244"/>
        <w:gridCol w:w="2175"/>
        <w:gridCol w:w="2864"/>
        <w:gridCol w:w="2135"/>
      </w:tblGrid>
      <w:tr w:rsidR="00BE2C1D" w:rsidRPr="00BE2C1D" w14:paraId="1DC9D277" w14:textId="77777777" w:rsidTr="00BE2C1D">
        <w:trPr>
          <w:trHeight w:val="780"/>
        </w:trPr>
        <w:tc>
          <w:tcPr>
            <w:tcW w:w="1130" w:type="dxa"/>
          </w:tcPr>
          <w:p w14:paraId="411E3D30" w14:textId="77777777" w:rsidR="00BE2C1D" w:rsidRPr="00BE2C1D" w:rsidRDefault="00BE2C1D" w:rsidP="00BE2C1D">
            <w:r w:rsidRPr="00BE2C1D">
              <w:t>Decade</w:t>
            </w:r>
          </w:p>
        </w:tc>
        <w:tc>
          <w:tcPr>
            <w:tcW w:w="2244" w:type="dxa"/>
          </w:tcPr>
          <w:p w14:paraId="401E2EF5" w14:textId="77777777" w:rsidR="00BE2C1D" w:rsidRPr="00BE2C1D" w:rsidRDefault="00BE2C1D" w:rsidP="00BE2C1D">
            <w:pPr>
              <w:jc w:val="center"/>
              <w:rPr>
                <w:rFonts w:ascii="Times New Roman" w:hAnsi="Times New Roman" w:cs="Times New Roman"/>
                <w:sz w:val="24"/>
                <w:szCs w:val="24"/>
              </w:rPr>
            </w:pPr>
            <w:r w:rsidRPr="00BE2C1D">
              <w:rPr>
                <w:rFonts w:ascii="Times New Roman" w:hAnsi="Times New Roman" w:cs="Times New Roman"/>
                <w:sz w:val="24"/>
                <w:szCs w:val="24"/>
              </w:rPr>
              <w:t>Author(s) &amp; Support</w:t>
            </w:r>
          </w:p>
        </w:tc>
        <w:tc>
          <w:tcPr>
            <w:tcW w:w="2175" w:type="dxa"/>
          </w:tcPr>
          <w:p w14:paraId="60FC42A5" w14:textId="77777777" w:rsidR="00BE2C1D" w:rsidRPr="00BE2C1D" w:rsidRDefault="00BE2C1D" w:rsidP="00BE2C1D">
            <w:pPr>
              <w:jc w:val="center"/>
              <w:rPr>
                <w:rFonts w:ascii="Times New Roman" w:hAnsi="Times New Roman" w:cs="Times New Roman"/>
                <w:sz w:val="24"/>
                <w:szCs w:val="24"/>
              </w:rPr>
            </w:pPr>
            <w:r w:rsidRPr="00BE2C1D">
              <w:rPr>
                <w:rFonts w:ascii="Times New Roman" w:hAnsi="Times New Roman" w:cs="Times New Roman"/>
                <w:sz w:val="24"/>
                <w:szCs w:val="24"/>
              </w:rPr>
              <w:t>Journal and Title of Paper</w:t>
            </w:r>
          </w:p>
        </w:tc>
        <w:tc>
          <w:tcPr>
            <w:tcW w:w="2864" w:type="dxa"/>
          </w:tcPr>
          <w:p w14:paraId="4895A562" w14:textId="77777777" w:rsidR="00BE2C1D" w:rsidRPr="00BE2C1D" w:rsidRDefault="00BE2C1D" w:rsidP="00BE2C1D">
            <w:pPr>
              <w:jc w:val="center"/>
              <w:rPr>
                <w:rFonts w:ascii="Times New Roman" w:hAnsi="Times New Roman" w:cs="Times New Roman"/>
                <w:sz w:val="24"/>
                <w:szCs w:val="24"/>
              </w:rPr>
            </w:pPr>
            <w:r w:rsidRPr="00BE2C1D">
              <w:rPr>
                <w:rFonts w:ascii="Times New Roman" w:hAnsi="Times New Roman" w:cs="Times New Roman"/>
                <w:sz w:val="24"/>
                <w:szCs w:val="24"/>
              </w:rPr>
              <w:t>Methods-Sample</w:t>
            </w:r>
          </w:p>
        </w:tc>
        <w:tc>
          <w:tcPr>
            <w:tcW w:w="2135" w:type="dxa"/>
          </w:tcPr>
          <w:p w14:paraId="2FF67A97" w14:textId="77777777" w:rsidR="00BE2C1D" w:rsidRPr="00BE2C1D" w:rsidRDefault="00BE2C1D" w:rsidP="00BE2C1D">
            <w:pPr>
              <w:jc w:val="center"/>
              <w:rPr>
                <w:rFonts w:ascii="Times New Roman" w:hAnsi="Times New Roman" w:cs="Times New Roman"/>
                <w:sz w:val="24"/>
                <w:szCs w:val="24"/>
              </w:rPr>
            </w:pPr>
            <w:r w:rsidRPr="00BE2C1D">
              <w:rPr>
                <w:rFonts w:ascii="Times New Roman" w:hAnsi="Times New Roman" w:cs="Times New Roman"/>
                <w:sz w:val="24"/>
                <w:szCs w:val="24"/>
              </w:rPr>
              <w:t>Results</w:t>
            </w:r>
          </w:p>
        </w:tc>
      </w:tr>
      <w:tr w:rsidR="00BE2C1D" w:rsidRPr="00BE2C1D" w14:paraId="1D30592A" w14:textId="77777777" w:rsidTr="00BE2C1D">
        <w:trPr>
          <w:trHeight w:val="2528"/>
        </w:trPr>
        <w:tc>
          <w:tcPr>
            <w:tcW w:w="1130" w:type="dxa"/>
          </w:tcPr>
          <w:p w14:paraId="629BF060" w14:textId="77777777" w:rsidR="00BE2C1D" w:rsidRPr="00BE2C1D" w:rsidRDefault="00BE2C1D" w:rsidP="00BE2C1D">
            <w:r w:rsidRPr="00BE2C1D">
              <w:t>1980s</w:t>
            </w:r>
          </w:p>
        </w:tc>
        <w:tc>
          <w:tcPr>
            <w:tcW w:w="2244" w:type="dxa"/>
          </w:tcPr>
          <w:p w14:paraId="13618837" w14:textId="77777777" w:rsidR="00BE2C1D" w:rsidRPr="00BE2C1D" w:rsidRDefault="00BE2C1D" w:rsidP="00BE2C1D">
            <w:pPr>
              <w:jc w:val="both"/>
              <w:rPr>
                <w:rFonts w:ascii="Times New Roman" w:hAnsi="Times New Roman" w:cs="Times New Roman"/>
              </w:rPr>
            </w:pPr>
            <w:r w:rsidRPr="00BE2C1D">
              <w:rPr>
                <w:rFonts w:ascii="Times New Roman" w:hAnsi="Times New Roman" w:cs="Times New Roman"/>
              </w:rPr>
              <w:t>Skuse, 1987</w:t>
            </w:r>
          </w:p>
          <w:p w14:paraId="1FB36AB1" w14:textId="77777777" w:rsidR="00BE2C1D" w:rsidRPr="00BE2C1D" w:rsidRDefault="00BE2C1D" w:rsidP="00BE2C1D">
            <w:pPr>
              <w:jc w:val="both"/>
              <w:rPr>
                <w:rFonts w:ascii="Times New Roman" w:hAnsi="Times New Roman" w:cs="Times New Roman"/>
              </w:rPr>
            </w:pPr>
          </w:p>
          <w:p w14:paraId="4110D16E" w14:textId="77777777" w:rsidR="00BE2C1D" w:rsidRPr="00BE2C1D" w:rsidRDefault="00BE2C1D" w:rsidP="00BE2C1D">
            <w:pPr>
              <w:jc w:val="both"/>
              <w:rPr>
                <w:rFonts w:ascii="Times New Roman" w:hAnsi="Times New Roman" w:cs="Times New Roman"/>
              </w:rPr>
            </w:pPr>
          </w:p>
          <w:p w14:paraId="3D3F4D97" w14:textId="77777777" w:rsidR="00BE2C1D" w:rsidRPr="00BE2C1D" w:rsidRDefault="00BE2C1D" w:rsidP="00BE2C1D">
            <w:pPr>
              <w:jc w:val="both"/>
              <w:rPr>
                <w:rFonts w:ascii="Times New Roman" w:hAnsi="Times New Roman" w:cs="Times New Roman"/>
              </w:rPr>
            </w:pPr>
          </w:p>
          <w:p w14:paraId="40907186" w14:textId="77777777" w:rsidR="00BE2C1D" w:rsidRPr="00BE2C1D" w:rsidRDefault="00BE2C1D" w:rsidP="00BE2C1D">
            <w:pPr>
              <w:jc w:val="both"/>
              <w:rPr>
                <w:rFonts w:ascii="Times New Roman" w:hAnsi="Times New Roman" w:cs="Times New Roman"/>
              </w:rPr>
            </w:pPr>
          </w:p>
          <w:p w14:paraId="005FE917" w14:textId="77777777" w:rsidR="00BE2C1D" w:rsidRPr="00BE2C1D" w:rsidRDefault="00BE2C1D" w:rsidP="00BE2C1D">
            <w:pPr>
              <w:jc w:val="both"/>
              <w:rPr>
                <w:rFonts w:ascii="Times New Roman" w:hAnsi="Times New Roman" w:cs="Times New Roman"/>
              </w:rPr>
            </w:pPr>
          </w:p>
          <w:p w14:paraId="7A7DCECD" w14:textId="77777777" w:rsidR="00BE2C1D" w:rsidRPr="00BE2C1D" w:rsidRDefault="00BE2C1D" w:rsidP="00BE2C1D">
            <w:pPr>
              <w:jc w:val="both"/>
              <w:rPr>
                <w:rFonts w:ascii="Times New Roman" w:hAnsi="Times New Roman" w:cs="Times New Roman"/>
              </w:rPr>
            </w:pPr>
          </w:p>
          <w:p w14:paraId="47737833" w14:textId="77777777" w:rsidR="00BE2C1D" w:rsidRPr="00BE2C1D" w:rsidRDefault="00BE2C1D" w:rsidP="00BE2C1D">
            <w:pPr>
              <w:jc w:val="both"/>
              <w:rPr>
                <w:rFonts w:ascii="Times New Roman" w:hAnsi="Times New Roman" w:cs="Times New Roman"/>
              </w:rPr>
            </w:pPr>
          </w:p>
          <w:p w14:paraId="33D709C8" w14:textId="77777777" w:rsidR="00BE2C1D" w:rsidRPr="00BE2C1D" w:rsidRDefault="00BE2C1D" w:rsidP="00BE2C1D">
            <w:pPr>
              <w:jc w:val="both"/>
              <w:rPr>
                <w:rFonts w:ascii="Times New Roman" w:hAnsi="Times New Roman" w:cs="Times New Roman"/>
              </w:rPr>
            </w:pPr>
          </w:p>
          <w:p w14:paraId="5B9EFB8C" w14:textId="77777777" w:rsidR="00BE2C1D" w:rsidRPr="00BE2C1D" w:rsidRDefault="00BE2C1D" w:rsidP="00BE2C1D">
            <w:pPr>
              <w:jc w:val="both"/>
              <w:rPr>
                <w:rFonts w:ascii="Times New Roman" w:hAnsi="Times New Roman" w:cs="Times New Roman"/>
              </w:rPr>
            </w:pPr>
          </w:p>
          <w:p w14:paraId="7D25050B" w14:textId="77777777" w:rsidR="00BE2C1D" w:rsidRPr="00BE2C1D" w:rsidRDefault="00BE2C1D" w:rsidP="00BE2C1D">
            <w:pPr>
              <w:jc w:val="both"/>
              <w:rPr>
                <w:rFonts w:ascii="Times New Roman" w:hAnsi="Times New Roman" w:cs="Times New Roman"/>
              </w:rPr>
            </w:pPr>
          </w:p>
          <w:p w14:paraId="103F7960" w14:textId="77777777" w:rsidR="00BE2C1D" w:rsidRPr="00BE2C1D" w:rsidRDefault="00BE2C1D" w:rsidP="00BE2C1D">
            <w:pPr>
              <w:jc w:val="both"/>
              <w:rPr>
                <w:rFonts w:ascii="Times New Roman" w:hAnsi="Times New Roman" w:cs="Times New Roman"/>
              </w:rPr>
            </w:pPr>
          </w:p>
          <w:p w14:paraId="6E200D72" w14:textId="77777777" w:rsidR="00BE2C1D" w:rsidRPr="00BE2C1D" w:rsidRDefault="00BE2C1D" w:rsidP="00BE2C1D">
            <w:pPr>
              <w:jc w:val="both"/>
              <w:rPr>
                <w:rFonts w:ascii="Times New Roman" w:hAnsi="Times New Roman" w:cs="Times New Roman"/>
              </w:rPr>
            </w:pPr>
          </w:p>
          <w:p w14:paraId="5EB0C9BF" w14:textId="77777777" w:rsidR="00BE2C1D" w:rsidRPr="00BE2C1D" w:rsidRDefault="00BE2C1D" w:rsidP="00BE2C1D">
            <w:pPr>
              <w:jc w:val="both"/>
              <w:rPr>
                <w:rFonts w:ascii="Times New Roman" w:hAnsi="Times New Roman" w:cs="Times New Roman"/>
              </w:rPr>
            </w:pPr>
          </w:p>
          <w:p w14:paraId="3F387DA0" w14:textId="77777777" w:rsidR="00BE2C1D" w:rsidRPr="00BE2C1D" w:rsidRDefault="00BE2C1D" w:rsidP="00BE2C1D">
            <w:pPr>
              <w:jc w:val="both"/>
              <w:rPr>
                <w:rFonts w:ascii="Times New Roman" w:hAnsi="Times New Roman" w:cs="Times New Roman"/>
              </w:rPr>
            </w:pPr>
          </w:p>
          <w:p w14:paraId="753849C6" w14:textId="77777777" w:rsidR="00BE2C1D" w:rsidRPr="00BE2C1D" w:rsidRDefault="00BE2C1D" w:rsidP="00BE2C1D">
            <w:pPr>
              <w:jc w:val="both"/>
              <w:rPr>
                <w:rFonts w:ascii="Times New Roman" w:hAnsi="Times New Roman" w:cs="Times New Roman"/>
              </w:rPr>
            </w:pPr>
          </w:p>
          <w:p w14:paraId="0B732B4B" w14:textId="77777777" w:rsidR="00BE2C1D" w:rsidRPr="00BE2C1D" w:rsidRDefault="00BE2C1D" w:rsidP="00BE2C1D">
            <w:pPr>
              <w:jc w:val="both"/>
              <w:rPr>
                <w:rFonts w:ascii="Times New Roman" w:hAnsi="Times New Roman" w:cs="Times New Roman"/>
              </w:rPr>
            </w:pPr>
          </w:p>
          <w:p w14:paraId="5C50812F" w14:textId="77777777" w:rsidR="00BE2C1D" w:rsidRPr="00BE2C1D" w:rsidRDefault="00BE2C1D" w:rsidP="00BE2C1D">
            <w:pPr>
              <w:jc w:val="both"/>
              <w:rPr>
                <w:rFonts w:ascii="Times New Roman" w:hAnsi="Times New Roman" w:cs="Times New Roman"/>
              </w:rPr>
            </w:pPr>
          </w:p>
          <w:p w14:paraId="1778D6F9" w14:textId="77777777" w:rsidR="00BE2C1D" w:rsidRPr="00BE2C1D" w:rsidRDefault="00BE2C1D" w:rsidP="00BE2C1D">
            <w:pPr>
              <w:jc w:val="both"/>
              <w:rPr>
                <w:rFonts w:ascii="Times New Roman" w:hAnsi="Times New Roman" w:cs="Times New Roman"/>
              </w:rPr>
            </w:pPr>
          </w:p>
          <w:p w14:paraId="11DBBB58" w14:textId="77777777" w:rsidR="00BE2C1D" w:rsidRPr="00BE2C1D" w:rsidRDefault="00BE2C1D" w:rsidP="00BE2C1D">
            <w:pPr>
              <w:jc w:val="both"/>
              <w:rPr>
                <w:rFonts w:ascii="Times New Roman" w:hAnsi="Times New Roman" w:cs="Times New Roman"/>
              </w:rPr>
            </w:pPr>
          </w:p>
          <w:p w14:paraId="35AECAE1" w14:textId="77777777" w:rsidR="00BE2C1D" w:rsidRPr="00BE2C1D" w:rsidRDefault="00BE2C1D" w:rsidP="00BE2C1D">
            <w:pPr>
              <w:jc w:val="both"/>
              <w:rPr>
                <w:rFonts w:ascii="Times New Roman" w:hAnsi="Times New Roman" w:cs="Times New Roman"/>
              </w:rPr>
            </w:pPr>
          </w:p>
          <w:p w14:paraId="0DA9DE27" w14:textId="77777777" w:rsidR="00BE2C1D" w:rsidRPr="00BE2C1D" w:rsidRDefault="00BE2C1D" w:rsidP="00BE2C1D">
            <w:pPr>
              <w:jc w:val="both"/>
              <w:rPr>
                <w:rFonts w:ascii="Times New Roman" w:hAnsi="Times New Roman" w:cs="Times New Roman"/>
              </w:rPr>
            </w:pPr>
          </w:p>
          <w:p w14:paraId="48BC2B6D" w14:textId="77777777" w:rsidR="00BE2C1D" w:rsidRPr="00BE2C1D" w:rsidRDefault="00BE2C1D" w:rsidP="00BE2C1D">
            <w:pPr>
              <w:jc w:val="both"/>
              <w:rPr>
                <w:rFonts w:ascii="Times New Roman" w:hAnsi="Times New Roman" w:cs="Times New Roman"/>
              </w:rPr>
            </w:pPr>
          </w:p>
          <w:p w14:paraId="75DAC358" w14:textId="77777777" w:rsidR="00BE2C1D" w:rsidRPr="00BE2C1D" w:rsidRDefault="00BE2C1D" w:rsidP="00BE2C1D">
            <w:pPr>
              <w:jc w:val="both"/>
              <w:rPr>
                <w:rFonts w:ascii="Times New Roman" w:hAnsi="Times New Roman" w:cs="Times New Roman"/>
              </w:rPr>
            </w:pPr>
          </w:p>
          <w:p w14:paraId="6485037F" w14:textId="77777777" w:rsidR="00BE2C1D" w:rsidRPr="00BE2C1D" w:rsidRDefault="00BE2C1D" w:rsidP="00BE2C1D">
            <w:pPr>
              <w:jc w:val="both"/>
              <w:rPr>
                <w:rFonts w:ascii="Times New Roman" w:hAnsi="Times New Roman" w:cs="Times New Roman"/>
              </w:rPr>
            </w:pPr>
          </w:p>
          <w:p w14:paraId="5DE41B24" w14:textId="77777777" w:rsidR="00BE2C1D" w:rsidRPr="00BE2C1D" w:rsidRDefault="00BE2C1D" w:rsidP="00BE2C1D">
            <w:pPr>
              <w:jc w:val="both"/>
              <w:rPr>
                <w:rFonts w:ascii="Times New Roman" w:hAnsi="Times New Roman" w:cs="Times New Roman"/>
              </w:rPr>
            </w:pPr>
          </w:p>
          <w:p w14:paraId="12F22586" w14:textId="77777777" w:rsidR="00BE2C1D" w:rsidRPr="00BE2C1D" w:rsidRDefault="00BE2C1D" w:rsidP="00BE2C1D">
            <w:pPr>
              <w:jc w:val="both"/>
              <w:rPr>
                <w:rFonts w:ascii="Times New Roman" w:hAnsi="Times New Roman" w:cs="Times New Roman"/>
              </w:rPr>
            </w:pPr>
          </w:p>
          <w:p w14:paraId="6E96394E" w14:textId="77777777" w:rsidR="00BE2C1D" w:rsidRPr="00BE2C1D" w:rsidRDefault="00BE2C1D" w:rsidP="00BE2C1D">
            <w:pPr>
              <w:jc w:val="both"/>
              <w:rPr>
                <w:rFonts w:ascii="Times New Roman" w:hAnsi="Times New Roman" w:cs="Times New Roman"/>
              </w:rPr>
            </w:pPr>
          </w:p>
          <w:p w14:paraId="142144F3" w14:textId="77777777" w:rsidR="00BE2C1D" w:rsidRPr="00BE2C1D" w:rsidRDefault="00BE2C1D" w:rsidP="00BE2C1D">
            <w:pPr>
              <w:jc w:val="both"/>
              <w:rPr>
                <w:rFonts w:ascii="Times New Roman" w:hAnsi="Times New Roman" w:cs="Times New Roman"/>
              </w:rPr>
            </w:pPr>
          </w:p>
          <w:p w14:paraId="5B5EC90F" w14:textId="77777777" w:rsidR="00BE2C1D" w:rsidRPr="00BE2C1D" w:rsidRDefault="00BE2C1D" w:rsidP="00BE2C1D">
            <w:pPr>
              <w:jc w:val="both"/>
              <w:rPr>
                <w:rFonts w:ascii="Times New Roman" w:hAnsi="Times New Roman" w:cs="Times New Roman"/>
              </w:rPr>
            </w:pPr>
          </w:p>
          <w:p w14:paraId="5E5439C9" w14:textId="77777777" w:rsidR="00BE2C1D" w:rsidRPr="00BE2C1D" w:rsidRDefault="00BE2C1D" w:rsidP="00BE2C1D">
            <w:pPr>
              <w:jc w:val="both"/>
              <w:rPr>
                <w:rFonts w:ascii="Times New Roman" w:hAnsi="Times New Roman" w:cs="Times New Roman"/>
              </w:rPr>
            </w:pPr>
          </w:p>
          <w:p w14:paraId="6039BF17" w14:textId="77777777" w:rsidR="00BE2C1D" w:rsidRPr="00BE2C1D" w:rsidRDefault="00BE2C1D" w:rsidP="00BE2C1D">
            <w:pPr>
              <w:jc w:val="both"/>
              <w:rPr>
                <w:rFonts w:ascii="Times New Roman" w:hAnsi="Times New Roman" w:cs="Times New Roman"/>
              </w:rPr>
            </w:pPr>
          </w:p>
          <w:p w14:paraId="2264C4DA" w14:textId="77777777" w:rsidR="00BE2C1D" w:rsidRPr="00BE2C1D" w:rsidRDefault="00BE2C1D" w:rsidP="00BE2C1D">
            <w:pPr>
              <w:jc w:val="both"/>
              <w:rPr>
                <w:rFonts w:ascii="Times New Roman" w:hAnsi="Times New Roman" w:cs="Times New Roman"/>
              </w:rPr>
            </w:pPr>
          </w:p>
          <w:p w14:paraId="0EE09D77" w14:textId="77777777" w:rsidR="00BE2C1D" w:rsidRPr="00BE2C1D" w:rsidRDefault="00BE2C1D" w:rsidP="00BE2C1D">
            <w:pPr>
              <w:jc w:val="both"/>
              <w:rPr>
                <w:rFonts w:ascii="Times New Roman" w:hAnsi="Times New Roman" w:cs="Times New Roman"/>
              </w:rPr>
            </w:pPr>
          </w:p>
          <w:p w14:paraId="5A058F88" w14:textId="77777777" w:rsidR="00BE2C1D" w:rsidRPr="00BE2C1D" w:rsidRDefault="00BE2C1D" w:rsidP="00BE2C1D">
            <w:pPr>
              <w:jc w:val="both"/>
              <w:rPr>
                <w:rFonts w:ascii="Times New Roman" w:hAnsi="Times New Roman" w:cs="Times New Roman"/>
              </w:rPr>
            </w:pPr>
          </w:p>
          <w:p w14:paraId="2260422E" w14:textId="77777777" w:rsidR="00BE2C1D" w:rsidRPr="00BE2C1D" w:rsidRDefault="00BE2C1D" w:rsidP="00BE2C1D">
            <w:pPr>
              <w:jc w:val="both"/>
              <w:rPr>
                <w:rFonts w:ascii="Times New Roman" w:hAnsi="Times New Roman" w:cs="Times New Roman"/>
              </w:rPr>
            </w:pPr>
          </w:p>
          <w:p w14:paraId="61D79628" w14:textId="77777777" w:rsidR="00BE2C1D" w:rsidRPr="00BE2C1D" w:rsidRDefault="00BE2C1D" w:rsidP="00BE2C1D">
            <w:pPr>
              <w:jc w:val="both"/>
              <w:rPr>
                <w:rFonts w:ascii="Times New Roman" w:hAnsi="Times New Roman" w:cs="Times New Roman"/>
              </w:rPr>
            </w:pPr>
          </w:p>
          <w:p w14:paraId="26A86642" w14:textId="77777777" w:rsidR="00BE2C1D" w:rsidRPr="00BE2C1D" w:rsidRDefault="00BE2C1D" w:rsidP="00BE2C1D">
            <w:pPr>
              <w:jc w:val="both"/>
              <w:rPr>
                <w:rFonts w:ascii="Times New Roman" w:hAnsi="Times New Roman" w:cs="Times New Roman"/>
              </w:rPr>
            </w:pPr>
          </w:p>
          <w:p w14:paraId="2567B0C5" w14:textId="77777777" w:rsidR="00BE2C1D" w:rsidRPr="00BE2C1D" w:rsidRDefault="00BE2C1D" w:rsidP="00BE2C1D">
            <w:pPr>
              <w:jc w:val="both"/>
              <w:rPr>
                <w:rFonts w:ascii="Times New Roman" w:hAnsi="Times New Roman" w:cs="Times New Roman"/>
              </w:rPr>
            </w:pPr>
          </w:p>
          <w:p w14:paraId="15F5314A" w14:textId="77777777" w:rsidR="00BE2C1D" w:rsidRPr="00BE2C1D" w:rsidRDefault="00BE2C1D" w:rsidP="00BE2C1D">
            <w:pPr>
              <w:jc w:val="both"/>
              <w:rPr>
                <w:rFonts w:ascii="Times New Roman" w:hAnsi="Times New Roman" w:cs="Times New Roman"/>
              </w:rPr>
            </w:pPr>
          </w:p>
          <w:p w14:paraId="7A708E70" w14:textId="77777777" w:rsidR="00BE2C1D" w:rsidRPr="00BE2C1D" w:rsidRDefault="00BE2C1D" w:rsidP="00BE2C1D">
            <w:pPr>
              <w:jc w:val="both"/>
              <w:rPr>
                <w:rFonts w:ascii="Times New Roman" w:hAnsi="Times New Roman" w:cs="Times New Roman"/>
              </w:rPr>
            </w:pPr>
          </w:p>
          <w:p w14:paraId="4B15657C" w14:textId="77777777" w:rsidR="00BE2C1D" w:rsidRPr="00BE2C1D" w:rsidRDefault="00BE2C1D" w:rsidP="00BE2C1D">
            <w:pPr>
              <w:jc w:val="both"/>
              <w:rPr>
                <w:rFonts w:ascii="Times New Roman" w:hAnsi="Times New Roman" w:cs="Times New Roman"/>
              </w:rPr>
            </w:pPr>
          </w:p>
          <w:p w14:paraId="0EE31733" w14:textId="77777777" w:rsidR="00BE2C1D" w:rsidRPr="00BE2C1D" w:rsidRDefault="00BE2C1D" w:rsidP="00BE2C1D">
            <w:pPr>
              <w:jc w:val="both"/>
              <w:rPr>
                <w:rFonts w:ascii="Times New Roman" w:hAnsi="Times New Roman" w:cs="Times New Roman"/>
              </w:rPr>
            </w:pPr>
          </w:p>
          <w:p w14:paraId="38FDA824" w14:textId="77777777" w:rsidR="00BE2C1D" w:rsidRPr="00BE2C1D" w:rsidRDefault="00BE2C1D" w:rsidP="00BE2C1D">
            <w:pPr>
              <w:jc w:val="both"/>
              <w:rPr>
                <w:rFonts w:ascii="Times New Roman" w:hAnsi="Times New Roman" w:cs="Times New Roman"/>
              </w:rPr>
            </w:pPr>
          </w:p>
          <w:p w14:paraId="762831C9" w14:textId="77777777" w:rsidR="00BE2C1D" w:rsidRPr="00BE2C1D" w:rsidRDefault="00BE2C1D" w:rsidP="00BE2C1D">
            <w:pPr>
              <w:jc w:val="both"/>
              <w:rPr>
                <w:rFonts w:ascii="Times New Roman" w:hAnsi="Times New Roman" w:cs="Times New Roman"/>
              </w:rPr>
            </w:pPr>
          </w:p>
          <w:p w14:paraId="7F0ADB82" w14:textId="77777777" w:rsidR="00BE2C1D" w:rsidRPr="00BE2C1D" w:rsidRDefault="00BE2C1D" w:rsidP="00BE2C1D">
            <w:pPr>
              <w:jc w:val="both"/>
              <w:rPr>
                <w:rFonts w:ascii="Times New Roman" w:hAnsi="Times New Roman" w:cs="Times New Roman"/>
              </w:rPr>
            </w:pPr>
          </w:p>
          <w:p w14:paraId="5E941538" w14:textId="77777777" w:rsidR="00BE2C1D" w:rsidRPr="00BE2C1D" w:rsidRDefault="00BE2C1D" w:rsidP="00BE2C1D">
            <w:pPr>
              <w:jc w:val="both"/>
              <w:rPr>
                <w:rFonts w:ascii="Times New Roman" w:hAnsi="Times New Roman" w:cs="Times New Roman"/>
              </w:rPr>
            </w:pPr>
          </w:p>
          <w:p w14:paraId="71FEDD15" w14:textId="77777777" w:rsidR="00BE2C1D" w:rsidRPr="00BE2C1D" w:rsidRDefault="00BE2C1D" w:rsidP="00BE2C1D">
            <w:pPr>
              <w:jc w:val="both"/>
              <w:rPr>
                <w:rFonts w:ascii="Times New Roman" w:hAnsi="Times New Roman" w:cs="Times New Roman"/>
              </w:rPr>
            </w:pPr>
          </w:p>
          <w:p w14:paraId="5974635E" w14:textId="77777777" w:rsidR="00BE2C1D" w:rsidRPr="00BE2C1D" w:rsidRDefault="00BE2C1D" w:rsidP="00BE2C1D">
            <w:pPr>
              <w:jc w:val="both"/>
              <w:rPr>
                <w:rFonts w:ascii="Times New Roman" w:hAnsi="Times New Roman" w:cs="Times New Roman"/>
              </w:rPr>
            </w:pPr>
          </w:p>
          <w:p w14:paraId="6114E6FC" w14:textId="77777777" w:rsidR="00BE2C1D" w:rsidRPr="00BE2C1D" w:rsidRDefault="00BE2C1D" w:rsidP="00BE2C1D">
            <w:pPr>
              <w:jc w:val="both"/>
              <w:rPr>
                <w:rFonts w:ascii="Times New Roman" w:hAnsi="Times New Roman" w:cs="Times New Roman"/>
              </w:rPr>
            </w:pPr>
          </w:p>
          <w:p w14:paraId="79EE4994" w14:textId="77777777" w:rsidR="00BE2C1D" w:rsidRPr="00BE2C1D" w:rsidRDefault="00BE2C1D" w:rsidP="00BE2C1D">
            <w:pPr>
              <w:jc w:val="both"/>
              <w:rPr>
                <w:rFonts w:ascii="Times New Roman" w:hAnsi="Times New Roman" w:cs="Times New Roman"/>
              </w:rPr>
            </w:pPr>
          </w:p>
          <w:p w14:paraId="4589B285" w14:textId="77777777" w:rsidR="00BE2C1D" w:rsidRPr="00BE2C1D" w:rsidRDefault="00BE2C1D" w:rsidP="00BE2C1D">
            <w:pPr>
              <w:jc w:val="both"/>
              <w:rPr>
                <w:rFonts w:ascii="Times New Roman" w:hAnsi="Times New Roman" w:cs="Times New Roman"/>
              </w:rPr>
            </w:pPr>
          </w:p>
          <w:p w14:paraId="4E92669E" w14:textId="77777777" w:rsidR="00BE2C1D" w:rsidRPr="00BE2C1D" w:rsidRDefault="00BE2C1D" w:rsidP="00BE2C1D">
            <w:pPr>
              <w:jc w:val="both"/>
              <w:rPr>
                <w:rFonts w:ascii="Times New Roman" w:hAnsi="Times New Roman" w:cs="Times New Roman"/>
              </w:rPr>
            </w:pPr>
          </w:p>
          <w:p w14:paraId="61778E1E" w14:textId="77777777" w:rsidR="00BE2C1D" w:rsidRPr="00BE2C1D" w:rsidRDefault="00BE2C1D" w:rsidP="00BE2C1D">
            <w:pPr>
              <w:jc w:val="both"/>
              <w:rPr>
                <w:rFonts w:ascii="Times New Roman" w:hAnsi="Times New Roman" w:cs="Times New Roman"/>
              </w:rPr>
            </w:pPr>
            <w:r w:rsidRPr="00BE2C1D">
              <w:rPr>
                <w:rFonts w:ascii="Times New Roman" w:hAnsi="Times New Roman" w:cs="Times New Roman"/>
                <w:noProof/>
                <w:lang w:eastAsia="en-GB"/>
              </w:rPr>
              <w:lastRenderedPageBreak/>
              <mc:AlternateContent>
                <mc:Choice Requires="wps">
                  <w:drawing>
                    <wp:anchor distT="0" distB="0" distL="114300" distR="114300" simplePos="0" relativeHeight="251718656" behindDoc="0" locked="0" layoutInCell="1" allowOverlap="1" wp14:anchorId="15AF0670" wp14:editId="7696A391">
                      <wp:simplePos x="0" y="0"/>
                      <wp:positionH relativeFrom="column">
                        <wp:posOffset>-100330</wp:posOffset>
                      </wp:positionH>
                      <wp:positionV relativeFrom="paragraph">
                        <wp:posOffset>203200</wp:posOffset>
                      </wp:positionV>
                      <wp:extent cx="6010275" cy="28575"/>
                      <wp:effectExtent l="7620" t="11430" r="11430" b="7620"/>
                      <wp:wrapNone/>
                      <wp:docPr id="41" name="Straight Arrow Connector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10275" cy="285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8CB1817" id="_x0000_t32" coordsize="21600,21600" o:spt="32" o:oned="t" path="m,l21600,21600e" filled="f">
                      <v:path arrowok="t" fillok="f" o:connecttype="none"/>
                      <o:lock v:ext="edit" shapetype="t"/>
                    </v:shapetype>
                    <v:shape id="Straight Arrow Connector 41" o:spid="_x0000_s1026" type="#_x0000_t32" style="position:absolute;margin-left:-7.9pt;margin-top:16pt;width:473.25pt;height:2.2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6OQ1QEAAJEDAAAOAAAAZHJzL2Uyb0RvYy54bWysU01v2zAMvQ/YfxB0X50ES9cZcYohXXfp&#10;tgDpfgAjybYwWRQoJU7+/Sjlo+t2G+aDQInk4+Mjvbg/DE7sDUWLvpHTm4kUxivU1neN/PH8+O5O&#10;ipjAa3DoTSOPJsr75ds3izHUZoY9Om1IMIiP9Rga2acU6qqKqjcDxBsMxrOzRRog8ZW6ShOMjD64&#10;ajaZ3FYjkg6EysTIrw8np1wW/LY1Kn1v22iScI1kbqmcVM5tPqvlAuqOIPRWnWnAP7AYwHoueoV6&#10;gARiR/YvqMEqwohtulE4VNi2VpnSA3cznfzRzaaHYEovLE4MV5ni/4NV3/ZrElY38v1UCg8Dz2iT&#10;CGzXJ/GJCEexQu9ZRyTBIazXGGLNaSu/ptyxOvhNeEL1MwqPqx58Zwrv52NgrJJRvUrJlxi46nb8&#10;ippjYJewiHdoaciQLIs4lBkdrzMyhyQUP96yTLMPcykU+2Z3czaZUwX1JTlQTF8MDiIbjYznZq5d&#10;TEsp2D/FdEq8JOTKHh+tc2UpnBdjIz/OZ/OSENFZnZ05LFK3XTkSe8hrVb4zi1dhhDuvC1hvQH8+&#10;2wmsO9nM2nkmf1HkpO0W9XFNmVt+57mX9s47mhfr93uJevmTlr8AAAD//wMAUEsDBBQABgAIAAAA&#10;IQDgLyIS3wAAAAkBAAAPAAAAZHJzL2Rvd25yZXYueG1sTI/BTsMwEETvSPyDtUhcUGsnVQoNcaoK&#10;iQNH2kpc3XhJAvE6ip0m9OtZTvQ4O6PZN8V2dp044xBaTxqSpQKBVHnbUq3heHhdPIEI0ZA1nSfU&#10;8IMBtuXtTWFy6yd6x/M+1oJLKORGQxNjn0sZqgadCUvfI7H36QdnIsuhlnYwE5e7TqZKraUzLfGH&#10;xvT40mD1vR+dBgxjlqjdxtXHt8v08JFevqb+oPX93bx7BhFxjv9h+MNndCiZ6eRHskF0GhZJxuhR&#10;wyrlTRzYrNQjiBMf1hnIspDXC8pfAAAA//8DAFBLAQItABQABgAIAAAAIQC2gziS/gAAAOEBAAAT&#10;AAAAAAAAAAAAAAAAAAAAAABbQ29udGVudF9UeXBlc10ueG1sUEsBAi0AFAAGAAgAAAAhADj9If/W&#10;AAAAlAEAAAsAAAAAAAAAAAAAAAAALwEAAF9yZWxzLy5yZWxzUEsBAi0AFAAGAAgAAAAhANIzo5DV&#10;AQAAkQMAAA4AAAAAAAAAAAAAAAAALgIAAGRycy9lMm9Eb2MueG1sUEsBAi0AFAAGAAgAAAAhAOAv&#10;IhLfAAAACQEAAA8AAAAAAAAAAAAAAAAALwQAAGRycy9kb3ducmV2LnhtbFBLBQYAAAAABAAEAPMA&#10;AAA7BQAAAAA=&#10;"/>
                  </w:pict>
                </mc:Fallback>
              </mc:AlternateContent>
            </w:r>
          </w:p>
          <w:p w14:paraId="4294031E" w14:textId="77777777" w:rsidR="00BE2C1D" w:rsidRPr="00BE2C1D" w:rsidRDefault="00BE2C1D" w:rsidP="00BE2C1D">
            <w:pPr>
              <w:jc w:val="both"/>
              <w:rPr>
                <w:rFonts w:ascii="Times New Roman" w:hAnsi="Times New Roman" w:cs="Times New Roman"/>
              </w:rPr>
            </w:pPr>
            <w:r w:rsidRPr="00BE2C1D">
              <w:rPr>
                <w:rFonts w:ascii="Times New Roman" w:hAnsi="Times New Roman" w:cs="Times New Roman"/>
              </w:rPr>
              <w:t>Law, 1987</w:t>
            </w:r>
          </w:p>
          <w:p w14:paraId="43487728" w14:textId="77777777" w:rsidR="00BE2C1D" w:rsidRPr="00BE2C1D" w:rsidRDefault="00BE2C1D" w:rsidP="00BE2C1D">
            <w:pPr>
              <w:jc w:val="both"/>
              <w:rPr>
                <w:rFonts w:ascii="Times New Roman" w:hAnsi="Times New Roman" w:cs="Times New Roman"/>
              </w:rPr>
            </w:pPr>
          </w:p>
          <w:p w14:paraId="4E100A87" w14:textId="77777777" w:rsidR="00BE2C1D" w:rsidRPr="00BE2C1D" w:rsidRDefault="00BE2C1D" w:rsidP="00BE2C1D">
            <w:pPr>
              <w:jc w:val="both"/>
              <w:rPr>
                <w:rFonts w:ascii="Times New Roman" w:hAnsi="Times New Roman" w:cs="Times New Roman"/>
              </w:rPr>
            </w:pPr>
          </w:p>
          <w:p w14:paraId="5870C471" w14:textId="77777777" w:rsidR="00BE2C1D" w:rsidRPr="00BE2C1D" w:rsidRDefault="00BE2C1D" w:rsidP="00BE2C1D">
            <w:pPr>
              <w:jc w:val="both"/>
              <w:rPr>
                <w:rFonts w:ascii="Times New Roman" w:hAnsi="Times New Roman" w:cs="Times New Roman"/>
                <w:sz w:val="24"/>
                <w:szCs w:val="24"/>
              </w:rPr>
            </w:pPr>
          </w:p>
        </w:tc>
        <w:tc>
          <w:tcPr>
            <w:tcW w:w="2175" w:type="dxa"/>
          </w:tcPr>
          <w:p w14:paraId="792D165D" w14:textId="77777777" w:rsidR="00BE2C1D" w:rsidRPr="00BE2C1D" w:rsidRDefault="00BE2C1D" w:rsidP="00BE2C1D">
            <w:pPr>
              <w:spacing w:line="240" w:lineRule="auto"/>
              <w:rPr>
                <w:rFonts w:ascii="Times New Roman" w:hAnsi="Times New Roman" w:cs="Times New Roman"/>
              </w:rPr>
            </w:pPr>
            <w:r w:rsidRPr="00BE2C1D">
              <w:rPr>
                <w:rFonts w:ascii="Times New Roman" w:hAnsi="Times New Roman" w:cs="Times New Roman"/>
              </w:rPr>
              <w:lastRenderedPageBreak/>
              <w:t>JCPP</w:t>
            </w:r>
          </w:p>
          <w:p w14:paraId="51BFDC87" w14:textId="77777777" w:rsidR="00BE2C1D" w:rsidRPr="00BE2C1D" w:rsidRDefault="00BE2C1D" w:rsidP="00BE2C1D">
            <w:pPr>
              <w:spacing w:line="240" w:lineRule="auto"/>
              <w:rPr>
                <w:rFonts w:ascii="Times New Roman" w:hAnsi="Times New Roman" w:cs="Times New Roman"/>
                <w:i/>
              </w:rPr>
            </w:pPr>
            <w:r w:rsidRPr="00BE2C1D">
              <w:rPr>
                <w:rFonts w:ascii="Times New Roman" w:hAnsi="Times New Roman" w:cs="Times New Roman"/>
                <w:i/>
              </w:rPr>
              <w:t xml:space="preserve">The </w:t>
            </w:r>
            <w:r w:rsidRPr="00BE2C1D">
              <w:rPr>
                <w:rFonts w:ascii="Times New Roman" w:hAnsi="Times New Roman" w:cs="Times New Roman"/>
                <w:i/>
                <w:color w:val="FF0000"/>
              </w:rPr>
              <w:t>psychological consequences</w:t>
            </w:r>
            <w:r w:rsidRPr="00BE2C1D">
              <w:rPr>
                <w:rFonts w:ascii="Times New Roman" w:hAnsi="Times New Roman" w:cs="Times New Roman"/>
                <w:i/>
              </w:rPr>
              <w:t xml:space="preserve"> of being </w:t>
            </w:r>
            <w:r w:rsidRPr="00BE2C1D">
              <w:rPr>
                <w:rFonts w:ascii="Times New Roman" w:hAnsi="Times New Roman" w:cs="Times New Roman"/>
                <w:i/>
                <w:color w:val="FF0000"/>
              </w:rPr>
              <w:t>small</w:t>
            </w:r>
          </w:p>
          <w:p w14:paraId="487C12DD" w14:textId="77777777" w:rsidR="00BE2C1D" w:rsidRPr="00BE2C1D" w:rsidRDefault="00BE2C1D" w:rsidP="00BE2C1D">
            <w:pPr>
              <w:rPr>
                <w:rFonts w:ascii="Times New Roman" w:hAnsi="Times New Roman" w:cs="Times New Roman"/>
                <w:i/>
              </w:rPr>
            </w:pPr>
          </w:p>
          <w:p w14:paraId="5AEC90BC" w14:textId="77777777" w:rsidR="00BE2C1D" w:rsidRPr="00BE2C1D" w:rsidRDefault="00BE2C1D" w:rsidP="00BE2C1D">
            <w:pPr>
              <w:rPr>
                <w:rFonts w:ascii="Times New Roman" w:hAnsi="Times New Roman" w:cs="Times New Roman"/>
                <w:i/>
              </w:rPr>
            </w:pPr>
          </w:p>
          <w:p w14:paraId="40795E14" w14:textId="77777777" w:rsidR="00BE2C1D" w:rsidRPr="00BE2C1D" w:rsidRDefault="00BE2C1D" w:rsidP="00BE2C1D">
            <w:pPr>
              <w:rPr>
                <w:rFonts w:ascii="Times New Roman" w:hAnsi="Times New Roman" w:cs="Times New Roman"/>
                <w:i/>
              </w:rPr>
            </w:pPr>
          </w:p>
          <w:p w14:paraId="0B1B00AF" w14:textId="77777777" w:rsidR="00BE2C1D" w:rsidRPr="00BE2C1D" w:rsidRDefault="00BE2C1D" w:rsidP="00BE2C1D">
            <w:pPr>
              <w:rPr>
                <w:rFonts w:ascii="Times New Roman" w:hAnsi="Times New Roman" w:cs="Times New Roman"/>
                <w:i/>
              </w:rPr>
            </w:pPr>
          </w:p>
          <w:p w14:paraId="25F5DDC4" w14:textId="77777777" w:rsidR="00BE2C1D" w:rsidRPr="00BE2C1D" w:rsidRDefault="00BE2C1D" w:rsidP="00BE2C1D">
            <w:pPr>
              <w:rPr>
                <w:rFonts w:ascii="Times New Roman" w:hAnsi="Times New Roman" w:cs="Times New Roman"/>
                <w:i/>
              </w:rPr>
            </w:pPr>
          </w:p>
          <w:p w14:paraId="644977C6" w14:textId="77777777" w:rsidR="00BE2C1D" w:rsidRPr="00BE2C1D" w:rsidRDefault="00BE2C1D" w:rsidP="00BE2C1D">
            <w:pPr>
              <w:rPr>
                <w:rFonts w:ascii="Times New Roman" w:hAnsi="Times New Roman" w:cs="Times New Roman"/>
                <w:i/>
              </w:rPr>
            </w:pPr>
          </w:p>
          <w:p w14:paraId="7184E362" w14:textId="77777777" w:rsidR="00BE2C1D" w:rsidRPr="00BE2C1D" w:rsidRDefault="00BE2C1D" w:rsidP="00BE2C1D">
            <w:pPr>
              <w:rPr>
                <w:rFonts w:ascii="Times New Roman" w:hAnsi="Times New Roman" w:cs="Times New Roman"/>
                <w:i/>
              </w:rPr>
            </w:pPr>
          </w:p>
          <w:p w14:paraId="12141B7E" w14:textId="77777777" w:rsidR="00BE2C1D" w:rsidRPr="00BE2C1D" w:rsidRDefault="00BE2C1D" w:rsidP="00BE2C1D">
            <w:pPr>
              <w:rPr>
                <w:rFonts w:ascii="Times New Roman" w:hAnsi="Times New Roman" w:cs="Times New Roman"/>
                <w:i/>
              </w:rPr>
            </w:pPr>
          </w:p>
          <w:p w14:paraId="286F720A" w14:textId="77777777" w:rsidR="00BE2C1D" w:rsidRPr="00BE2C1D" w:rsidRDefault="00BE2C1D" w:rsidP="00BE2C1D">
            <w:pPr>
              <w:rPr>
                <w:rFonts w:ascii="Times New Roman" w:hAnsi="Times New Roman" w:cs="Times New Roman"/>
                <w:i/>
              </w:rPr>
            </w:pPr>
          </w:p>
          <w:p w14:paraId="5676A520" w14:textId="77777777" w:rsidR="00BE2C1D" w:rsidRPr="00BE2C1D" w:rsidRDefault="00BE2C1D" w:rsidP="00BE2C1D">
            <w:pPr>
              <w:rPr>
                <w:rFonts w:ascii="Times New Roman" w:hAnsi="Times New Roman" w:cs="Times New Roman"/>
                <w:i/>
              </w:rPr>
            </w:pPr>
          </w:p>
          <w:p w14:paraId="20A99F02" w14:textId="77777777" w:rsidR="00BE2C1D" w:rsidRPr="00BE2C1D" w:rsidRDefault="00BE2C1D" w:rsidP="00BE2C1D">
            <w:pPr>
              <w:rPr>
                <w:rFonts w:ascii="Times New Roman" w:hAnsi="Times New Roman" w:cs="Times New Roman"/>
                <w:i/>
              </w:rPr>
            </w:pPr>
          </w:p>
          <w:p w14:paraId="2645D629" w14:textId="77777777" w:rsidR="00BE2C1D" w:rsidRPr="00BE2C1D" w:rsidRDefault="00BE2C1D" w:rsidP="00BE2C1D">
            <w:pPr>
              <w:rPr>
                <w:rFonts w:ascii="Times New Roman" w:hAnsi="Times New Roman" w:cs="Times New Roman"/>
                <w:i/>
              </w:rPr>
            </w:pPr>
          </w:p>
          <w:p w14:paraId="6035B2D7" w14:textId="77777777" w:rsidR="00BE2C1D" w:rsidRPr="00BE2C1D" w:rsidRDefault="00BE2C1D" w:rsidP="00BE2C1D">
            <w:pPr>
              <w:rPr>
                <w:rFonts w:ascii="Times New Roman" w:hAnsi="Times New Roman" w:cs="Times New Roman"/>
                <w:i/>
              </w:rPr>
            </w:pPr>
          </w:p>
          <w:p w14:paraId="071ADB0B" w14:textId="77777777" w:rsidR="00BE2C1D" w:rsidRPr="00BE2C1D" w:rsidRDefault="00BE2C1D" w:rsidP="00BE2C1D">
            <w:pPr>
              <w:rPr>
                <w:rFonts w:ascii="Times New Roman" w:hAnsi="Times New Roman" w:cs="Times New Roman"/>
                <w:i/>
              </w:rPr>
            </w:pPr>
          </w:p>
          <w:p w14:paraId="2C51EEEB" w14:textId="77777777" w:rsidR="00BE2C1D" w:rsidRPr="00BE2C1D" w:rsidRDefault="00BE2C1D" w:rsidP="00BE2C1D">
            <w:pPr>
              <w:spacing w:line="240" w:lineRule="auto"/>
              <w:rPr>
                <w:rFonts w:ascii="Times New Roman" w:hAnsi="Times New Roman" w:cs="Times New Roman"/>
              </w:rPr>
            </w:pPr>
          </w:p>
          <w:p w14:paraId="5E477081" w14:textId="77777777" w:rsidR="00BE2C1D" w:rsidRPr="00BE2C1D" w:rsidRDefault="00BE2C1D" w:rsidP="00BE2C1D">
            <w:pPr>
              <w:spacing w:line="240" w:lineRule="auto"/>
              <w:rPr>
                <w:rFonts w:ascii="Times New Roman" w:hAnsi="Times New Roman" w:cs="Times New Roman"/>
              </w:rPr>
            </w:pPr>
          </w:p>
          <w:p w14:paraId="75B3FB79" w14:textId="77777777" w:rsidR="00BE2C1D" w:rsidRPr="00BE2C1D" w:rsidRDefault="00BE2C1D" w:rsidP="00BE2C1D">
            <w:pPr>
              <w:spacing w:line="240" w:lineRule="auto"/>
              <w:rPr>
                <w:rFonts w:ascii="Times New Roman" w:hAnsi="Times New Roman" w:cs="Times New Roman"/>
              </w:rPr>
            </w:pPr>
          </w:p>
          <w:p w14:paraId="14C33F68" w14:textId="77777777" w:rsidR="00BE2C1D" w:rsidRPr="00BE2C1D" w:rsidRDefault="00BE2C1D" w:rsidP="00BE2C1D">
            <w:pPr>
              <w:spacing w:line="240" w:lineRule="auto"/>
              <w:rPr>
                <w:rFonts w:ascii="Times New Roman" w:hAnsi="Times New Roman" w:cs="Times New Roman"/>
              </w:rPr>
            </w:pPr>
          </w:p>
          <w:p w14:paraId="2164225E" w14:textId="77777777" w:rsidR="00BE2C1D" w:rsidRPr="00BE2C1D" w:rsidRDefault="00BE2C1D" w:rsidP="00BE2C1D">
            <w:pPr>
              <w:spacing w:line="240" w:lineRule="auto"/>
              <w:rPr>
                <w:rFonts w:ascii="Times New Roman" w:hAnsi="Times New Roman" w:cs="Times New Roman"/>
              </w:rPr>
            </w:pPr>
          </w:p>
          <w:p w14:paraId="198742B9" w14:textId="77777777" w:rsidR="00BE2C1D" w:rsidRPr="00BE2C1D" w:rsidRDefault="00BE2C1D" w:rsidP="00BE2C1D">
            <w:pPr>
              <w:spacing w:line="240" w:lineRule="auto"/>
              <w:rPr>
                <w:rFonts w:ascii="Times New Roman" w:hAnsi="Times New Roman" w:cs="Times New Roman"/>
              </w:rPr>
            </w:pPr>
          </w:p>
          <w:p w14:paraId="75176D20" w14:textId="77777777" w:rsidR="00BE2C1D" w:rsidRPr="00BE2C1D" w:rsidRDefault="00BE2C1D" w:rsidP="00BE2C1D">
            <w:pPr>
              <w:spacing w:line="240" w:lineRule="auto"/>
              <w:rPr>
                <w:rFonts w:ascii="Times New Roman" w:hAnsi="Times New Roman" w:cs="Times New Roman"/>
              </w:rPr>
            </w:pPr>
          </w:p>
          <w:p w14:paraId="1EC24E20" w14:textId="77777777" w:rsidR="00BE2C1D" w:rsidRPr="00BE2C1D" w:rsidRDefault="00BE2C1D" w:rsidP="00BE2C1D">
            <w:pPr>
              <w:spacing w:line="240" w:lineRule="auto"/>
              <w:rPr>
                <w:rFonts w:ascii="Times New Roman" w:hAnsi="Times New Roman" w:cs="Times New Roman"/>
              </w:rPr>
            </w:pPr>
          </w:p>
          <w:p w14:paraId="1F3BF1E0" w14:textId="77777777" w:rsidR="00BE2C1D" w:rsidRPr="00BE2C1D" w:rsidRDefault="00BE2C1D" w:rsidP="00BE2C1D">
            <w:pPr>
              <w:spacing w:line="240" w:lineRule="auto"/>
              <w:rPr>
                <w:rFonts w:ascii="Times New Roman" w:hAnsi="Times New Roman" w:cs="Times New Roman"/>
              </w:rPr>
            </w:pPr>
          </w:p>
          <w:p w14:paraId="59BAE674" w14:textId="77777777" w:rsidR="00BE2C1D" w:rsidRPr="00BE2C1D" w:rsidRDefault="00BE2C1D" w:rsidP="00BE2C1D">
            <w:pPr>
              <w:spacing w:line="240" w:lineRule="auto"/>
              <w:rPr>
                <w:rFonts w:ascii="Times New Roman" w:hAnsi="Times New Roman" w:cs="Times New Roman"/>
              </w:rPr>
            </w:pPr>
          </w:p>
          <w:p w14:paraId="7227E64D" w14:textId="77777777" w:rsidR="00BE2C1D" w:rsidRPr="00BE2C1D" w:rsidRDefault="00BE2C1D" w:rsidP="00BE2C1D">
            <w:pPr>
              <w:spacing w:line="240" w:lineRule="auto"/>
              <w:rPr>
                <w:rFonts w:ascii="Times New Roman" w:hAnsi="Times New Roman" w:cs="Times New Roman"/>
              </w:rPr>
            </w:pPr>
          </w:p>
          <w:p w14:paraId="7FBB02F7" w14:textId="77777777" w:rsidR="00BE2C1D" w:rsidRPr="00BE2C1D" w:rsidRDefault="00BE2C1D" w:rsidP="00BE2C1D">
            <w:pPr>
              <w:spacing w:line="240" w:lineRule="auto"/>
              <w:rPr>
                <w:rFonts w:ascii="Times New Roman" w:hAnsi="Times New Roman" w:cs="Times New Roman"/>
              </w:rPr>
            </w:pPr>
          </w:p>
          <w:p w14:paraId="446DCC9E" w14:textId="77777777" w:rsidR="00BE2C1D" w:rsidRPr="00BE2C1D" w:rsidRDefault="00BE2C1D" w:rsidP="00BE2C1D">
            <w:pPr>
              <w:spacing w:line="240" w:lineRule="auto"/>
              <w:rPr>
                <w:rFonts w:ascii="Times New Roman" w:hAnsi="Times New Roman" w:cs="Times New Roman"/>
              </w:rPr>
            </w:pPr>
          </w:p>
          <w:p w14:paraId="434FB239" w14:textId="77777777" w:rsidR="00BE2C1D" w:rsidRPr="00BE2C1D" w:rsidRDefault="00BE2C1D" w:rsidP="00BE2C1D">
            <w:pPr>
              <w:spacing w:line="240" w:lineRule="auto"/>
              <w:rPr>
                <w:rFonts w:ascii="Times New Roman" w:hAnsi="Times New Roman" w:cs="Times New Roman"/>
              </w:rPr>
            </w:pPr>
          </w:p>
          <w:p w14:paraId="637512F7" w14:textId="77777777" w:rsidR="00BE2C1D" w:rsidRPr="00BE2C1D" w:rsidRDefault="00BE2C1D" w:rsidP="00BE2C1D">
            <w:pPr>
              <w:spacing w:line="240" w:lineRule="auto"/>
              <w:rPr>
                <w:rFonts w:ascii="Times New Roman" w:hAnsi="Times New Roman" w:cs="Times New Roman"/>
              </w:rPr>
            </w:pPr>
          </w:p>
          <w:p w14:paraId="1D657AE7" w14:textId="77777777" w:rsidR="00BE2C1D" w:rsidRPr="00BE2C1D" w:rsidRDefault="00BE2C1D" w:rsidP="00BE2C1D">
            <w:pPr>
              <w:spacing w:line="240" w:lineRule="auto"/>
              <w:rPr>
                <w:rFonts w:ascii="Times New Roman" w:hAnsi="Times New Roman" w:cs="Times New Roman"/>
              </w:rPr>
            </w:pPr>
          </w:p>
          <w:p w14:paraId="5928BC58" w14:textId="77777777" w:rsidR="00BE2C1D" w:rsidRPr="00BE2C1D" w:rsidRDefault="00BE2C1D" w:rsidP="00BE2C1D">
            <w:pPr>
              <w:spacing w:line="240" w:lineRule="auto"/>
              <w:rPr>
                <w:rFonts w:ascii="Times New Roman" w:hAnsi="Times New Roman" w:cs="Times New Roman"/>
              </w:rPr>
            </w:pPr>
          </w:p>
          <w:p w14:paraId="0ACE604D" w14:textId="77777777" w:rsidR="00BE2C1D" w:rsidRPr="00BE2C1D" w:rsidRDefault="00BE2C1D" w:rsidP="00BE2C1D">
            <w:pPr>
              <w:spacing w:line="240" w:lineRule="auto"/>
              <w:rPr>
                <w:rFonts w:ascii="Times New Roman" w:hAnsi="Times New Roman" w:cs="Times New Roman"/>
              </w:rPr>
            </w:pPr>
          </w:p>
          <w:p w14:paraId="2A5125C4" w14:textId="77777777" w:rsidR="00BE2C1D" w:rsidRPr="00BE2C1D" w:rsidRDefault="00BE2C1D" w:rsidP="00BE2C1D">
            <w:pPr>
              <w:spacing w:line="240" w:lineRule="auto"/>
              <w:rPr>
                <w:rFonts w:ascii="Times New Roman" w:hAnsi="Times New Roman" w:cs="Times New Roman"/>
              </w:rPr>
            </w:pPr>
          </w:p>
          <w:p w14:paraId="0622A819" w14:textId="77777777" w:rsidR="00BE2C1D" w:rsidRPr="00BE2C1D" w:rsidRDefault="00BE2C1D" w:rsidP="00BE2C1D">
            <w:pPr>
              <w:spacing w:line="240" w:lineRule="auto"/>
              <w:rPr>
                <w:rFonts w:ascii="Times New Roman" w:hAnsi="Times New Roman" w:cs="Times New Roman"/>
              </w:rPr>
            </w:pPr>
          </w:p>
          <w:p w14:paraId="7A977D07" w14:textId="77777777" w:rsidR="00BE2C1D" w:rsidRPr="00BE2C1D" w:rsidRDefault="00BE2C1D" w:rsidP="00BE2C1D">
            <w:pPr>
              <w:spacing w:line="240" w:lineRule="auto"/>
              <w:rPr>
                <w:rFonts w:ascii="Times New Roman" w:hAnsi="Times New Roman" w:cs="Times New Roman"/>
              </w:rPr>
            </w:pPr>
          </w:p>
          <w:p w14:paraId="20A46D5B" w14:textId="77777777" w:rsidR="00BE2C1D" w:rsidRPr="00BE2C1D" w:rsidRDefault="00BE2C1D" w:rsidP="00BE2C1D">
            <w:pPr>
              <w:spacing w:line="240" w:lineRule="auto"/>
              <w:rPr>
                <w:rFonts w:ascii="Times New Roman" w:hAnsi="Times New Roman" w:cs="Times New Roman"/>
              </w:rPr>
            </w:pPr>
          </w:p>
          <w:p w14:paraId="5F04009E" w14:textId="77777777" w:rsidR="00BE2C1D" w:rsidRPr="00BE2C1D" w:rsidRDefault="00BE2C1D" w:rsidP="00BE2C1D">
            <w:pPr>
              <w:spacing w:line="240" w:lineRule="auto"/>
              <w:rPr>
                <w:rFonts w:ascii="Times New Roman" w:hAnsi="Times New Roman" w:cs="Times New Roman"/>
              </w:rPr>
            </w:pPr>
          </w:p>
          <w:p w14:paraId="37988EF5" w14:textId="77777777" w:rsidR="00BE2C1D" w:rsidRPr="00BE2C1D" w:rsidRDefault="00BE2C1D" w:rsidP="00BE2C1D">
            <w:pPr>
              <w:spacing w:line="240" w:lineRule="auto"/>
              <w:rPr>
                <w:rFonts w:ascii="Times New Roman" w:hAnsi="Times New Roman" w:cs="Times New Roman"/>
              </w:rPr>
            </w:pPr>
          </w:p>
          <w:p w14:paraId="72B11382" w14:textId="77777777" w:rsidR="00BE2C1D" w:rsidRPr="00BE2C1D" w:rsidRDefault="00BE2C1D" w:rsidP="00BE2C1D">
            <w:pPr>
              <w:spacing w:line="240" w:lineRule="auto"/>
              <w:rPr>
                <w:rFonts w:ascii="Times New Roman" w:hAnsi="Times New Roman" w:cs="Times New Roman"/>
              </w:rPr>
            </w:pPr>
          </w:p>
          <w:p w14:paraId="0E465F83" w14:textId="77777777" w:rsidR="00BE2C1D" w:rsidRPr="00BE2C1D" w:rsidRDefault="00BE2C1D" w:rsidP="00BE2C1D">
            <w:pPr>
              <w:spacing w:line="240" w:lineRule="auto"/>
              <w:rPr>
                <w:rFonts w:ascii="Times New Roman" w:hAnsi="Times New Roman" w:cs="Times New Roman"/>
              </w:rPr>
            </w:pPr>
          </w:p>
          <w:p w14:paraId="3CCACCAD" w14:textId="77777777" w:rsidR="00BE2C1D" w:rsidRPr="00BE2C1D" w:rsidRDefault="00BE2C1D" w:rsidP="00BE2C1D">
            <w:pPr>
              <w:spacing w:line="240" w:lineRule="auto"/>
              <w:rPr>
                <w:rFonts w:ascii="Times New Roman" w:hAnsi="Times New Roman" w:cs="Times New Roman"/>
              </w:rPr>
            </w:pPr>
          </w:p>
          <w:p w14:paraId="4B1AE981" w14:textId="77777777" w:rsidR="00BE2C1D" w:rsidRPr="00BE2C1D" w:rsidRDefault="00BE2C1D" w:rsidP="00BE2C1D">
            <w:pPr>
              <w:spacing w:line="240" w:lineRule="auto"/>
              <w:rPr>
                <w:rFonts w:ascii="Times New Roman" w:hAnsi="Times New Roman" w:cs="Times New Roman"/>
              </w:rPr>
            </w:pPr>
          </w:p>
          <w:p w14:paraId="627CDFD7" w14:textId="77777777" w:rsidR="00BE2C1D" w:rsidRPr="00BE2C1D" w:rsidRDefault="00BE2C1D" w:rsidP="00BE2C1D">
            <w:pPr>
              <w:spacing w:line="240" w:lineRule="auto"/>
              <w:rPr>
                <w:rFonts w:ascii="Times New Roman" w:hAnsi="Times New Roman" w:cs="Times New Roman"/>
              </w:rPr>
            </w:pPr>
          </w:p>
          <w:p w14:paraId="6BA41D1C" w14:textId="77777777" w:rsidR="00BE2C1D" w:rsidRPr="00BE2C1D" w:rsidRDefault="00BE2C1D" w:rsidP="00BE2C1D">
            <w:pPr>
              <w:spacing w:line="240" w:lineRule="auto"/>
              <w:rPr>
                <w:rFonts w:ascii="Times New Roman" w:hAnsi="Times New Roman" w:cs="Times New Roman"/>
              </w:rPr>
            </w:pPr>
          </w:p>
          <w:p w14:paraId="11FDAB7E" w14:textId="77777777" w:rsidR="00BE2C1D" w:rsidRPr="00BE2C1D" w:rsidRDefault="00BE2C1D" w:rsidP="00BE2C1D">
            <w:pPr>
              <w:spacing w:line="240" w:lineRule="auto"/>
              <w:rPr>
                <w:rFonts w:ascii="Times New Roman" w:hAnsi="Times New Roman" w:cs="Times New Roman"/>
              </w:rPr>
            </w:pPr>
          </w:p>
          <w:p w14:paraId="4BA8BF0A" w14:textId="77777777" w:rsidR="00BE2C1D" w:rsidRPr="00BE2C1D" w:rsidRDefault="00BE2C1D" w:rsidP="00BE2C1D">
            <w:pPr>
              <w:spacing w:line="240" w:lineRule="auto"/>
              <w:rPr>
                <w:rFonts w:ascii="Times New Roman" w:hAnsi="Times New Roman" w:cs="Times New Roman"/>
              </w:rPr>
            </w:pPr>
          </w:p>
          <w:p w14:paraId="23B5BA4D" w14:textId="77777777" w:rsidR="00BE2C1D" w:rsidRPr="00BE2C1D" w:rsidRDefault="00BE2C1D" w:rsidP="00BE2C1D">
            <w:pPr>
              <w:spacing w:line="240" w:lineRule="auto"/>
              <w:rPr>
                <w:rFonts w:ascii="Times New Roman" w:hAnsi="Times New Roman" w:cs="Times New Roman"/>
              </w:rPr>
            </w:pPr>
          </w:p>
          <w:p w14:paraId="0DB8E362" w14:textId="77777777" w:rsidR="00BE2C1D" w:rsidRPr="00BE2C1D" w:rsidRDefault="00BE2C1D" w:rsidP="00BE2C1D">
            <w:pPr>
              <w:spacing w:line="240" w:lineRule="auto"/>
              <w:rPr>
                <w:rFonts w:ascii="Times New Roman" w:hAnsi="Times New Roman" w:cs="Times New Roman"/>
              </w:rPr>
            </w:pPr>
          </w:p>
          <w:p w14:paraId="08F7DE0D" w14:textId="77777777" w:rsidR="00BE2C1D" w:rsidRPr="00BE2C1D" w:rsidRDefault="00BE2C1D" w:rsidP="00BE2C1D">
            <w:pPr>
              <w:spacing w:line="240" w:lineRule="auto"/>
              <w:rPr>
                <w:rFonts w:ascii="Times New Roman" w:hAnsi="Times New Roman" w:cs="Times New Roman"/>
              </w:rPr>
            </w:pPr>
          </w:p>
          <w:p w14:paraId="280E5C16" w14:textId="77777777" w:rsidR="00BE2C1D" w:rsidRPr="00BE2C1D" w:rsidRDefault="00BE2C1D" w:rsidP="00BE2C1D">
            <w:pPr>
              <w:spacing w:line="240" w:lineRule="auto"/>
              <w:rPr>
                <w:rFonts w:ascii="Times New Roman" w:hAnsi="Times New Roman" w:cs="Times New Roman"/>
              </w:rPr>
            </w:pPr>
          </w:p>
          <w:p w14:paraId="49EF76C8" w14:textId="77777777" w:rsidR="00BE2C1D" w:rsidRPr="00BE2C1D" w:rsidRDefault="00BE2C1D" w:rsidP="00BE2C1D">
            <w:pPr>
              <w:spacing w:line="240" w:lineRule="auto"/>
              <w:rPr>
                <w:rFonts w:ascii="Times New Roman" w:hAnsi="Times New Roman" w:cs="Times New Roman"/>
              </w:rPr>
            </w:pPr>
          </w:p>
          <w:p w14:paraId="02ACB8BE" w14:textId="77777777" w:rsidR="00BE2C1D" w:rsidRPr="00BE2C1D" w:rsidRDefault="00BE2C1D" w:rsidP="00BE2C1D">
            <w:pPr>
              <w:spacing w:line="240" w:lineRule="auto"/>
              <w:rPr>
                <w:rFonts w:ascii="Times New Roman" w:hAnsi="Times New Roman" w:cs="Times New Roman"/>
              </w:rPr>
            </w:pPr>
          </w:p>
          <w:p w14:paraId="3737FB95" w14:textId="77777777" w:rsidR="00BE2C1D" w:rsidRPr="00BE2C1D" w:rsidRDefault="00BE2C1D" w:rsidP="00BE2C1D">
            <w:pPr>
              <w:spacing w:line="240" w:lineRule="auto"/>
              <w:rPr>
                <w:rFonts w:ascii="Times New Roman" w:hAnsi="Times New Roman" w:cs="Times New Roman"/>
              </w:rPr>
            </w:pPr>
          </w:p>
          <w:p w14:paraId="79BB6390" w14:textId="77777777" w:rsidR="00BE2C1D" w:rsidRPr="00BE2C1D" w:rsidRDefault="00BE2C1D" w:rsidP="00BE2C1D">
            <w:pPr>
              <w:spacing w:line="240" w:lineRule="auto"/>
              <w:rPr>
                <w:rFonts w:ascii="Times New Roman" w:hAnsi="Times New Roman" w:cs="Times New Roman"/>
              </w:rPr>
            </w:pPr>
          </w:p>
          <w:p w14:paraId="24E77364" w14:textId="77777777" w:rsidR="00BE2C1D" w:rsidRPr="00BE2C1D" w:rsidRDefault="00BE2C1D" w:rsidP="00BE2C1D">
            <w:pPr>
              <w:spacing w:line="240" w:lineRule="auto"/>
              <w:rPr>
                <w:rFonts w:ascii="Times New Roman" w:hAnsi="Times New Roman" w:cs="Times New Roman"/>
              </w:rPr>
            </w:pPr>
          </w:p>
          <w:p w14:paraId="5E428257" w14:textId="77777777" w:rsidR="00BE2C1D" w:rsidRPr="00BE2C1D" w:rsidRDefault="00BE2C1D" w:rsidP="00BE2C1D">
            <w:pPr>
              <w:spacing w:line="240" w:lineRule="auto"/>
              <w:rPr>
                <w:rFonts w:ascii="Times New Roman" w:hAnsi="Times New Roman" w:cs="Times New Roman"/>
              </w:rPr>
            </w:pPr>
            <w:r w:rsidRPr="00BE2C1D">
              <w:rPr>
                <w:rFonts w:ascii="Times New Roman" w:hAnsi="Times New Roman" w:cs="Times New Roman"/>
              </w:rPr>
              <w:t>Arc.Dis.Ch.</w:t>
            </w:r>
          </w:p>
          <w:p w14:paraId="388F3A98" w14:textId="77777777" w:rsidR="00BE2C1D" w:rsidRPr="00BE2C1D" w:rsidRDefault="00BE2C1D" w:rsidP="00BE2C1D">
            <w:pPr>
              <w:spacing w:line="240" w:lineRule="auto"/>
              <w:rPr>
                <w:rFonts w:ascii="Times New Roman" w:hAnsi="Times New Roman" w:cs="Times New Roman"/>
                <w:i/>
              </w:rPr>
            </w:pPr>
            <w:r w:rsidRPr="00BE2C1D">
              <w:rPr>
                <w:rFonts w:ascii="Times New Roman" w:hAnsi="Times New Roman" w:cs="Times New Roman"/>
                <w:i/>
              </w:rPr>
              <w:t xml:space="preserve">The </w:t>
            </w:r>
            <w:r w:rsidRPr="00BE2C1D">
              <w:rPr>
                <w:rFonts w:ascii="Times New Roman" w:hAnsi="Times New Roman" w:cs="Times New Roman"/>
                <w:i/>
                <w:color w:val="FF0000"/>
              </w:rPr>
              <w:t xml:space="preserve">disability </w:t>
            </w:r>
            <w:r w:rsidRPr="00BE2C1D">
              <w:rPr>
                <w:rFonts w:ascii="Times New Roman" w:hAnsi="Times New Roman" w:cs="Times New Roman"/>
                <w:i/>
              </w:rPr>
              <w:t>of short stature</w:t>
            </w:r>
          </w:p>
          <w:p w14:paraId="69C79DC7" w14:textId="77777777" w:rsidR="00BE2C1D" w:rsidRPr="00BE2C1D" w:rsidRDefault="00BE2C1D" w:rsidP="00BE2C1D">
            <w:pPr>
              <w:rPr>
                <w:rFonts w:ascii="Times New Roman" w:hAnsi="Times New Roman" w:cs="Times New Roman"/>
              </w:rPr>
            </w:pPr>
          </w:p>
          <w:p w14:paraId="29FCBCDA" w14:textId="77777777" w:rsidR="00BE2C1D" w:rsidRPr="00BE2C1D" w:rsidRDefault="00BE2C1D" w:rsidP="00BE2C1D"/>
          <w:p w14:paraId="5FE5BDB4" w14:textId="77777777" w:rsidR="00BE2C1D" w:rsidRPr="00BE2C1D" w:rsidRDefault="00BE2C1D" w:rsidP="00BE2C1D"/>
        </w:tc>
        <w:tc>
          <w:tcPr>
            <w:tcW w:w="2864" w:type="dxa"/>
          </w:tcPr>
          <w:p w14:paraId="0BAB7950" w14:textId="77777777" w:rsidR="00BE2C1D" w:rsidRPr="00BE2C1D" w:rsidRDefault="00BE2C1D" w:rsidP="00BE2C1D">
            <w:pPr>
              <w:rPr>
                <w:rFonts w:ascii="Times New Roman" w:hAnsi="Times New Roman" w:cs="Times New Roman"/>
              </w:rPr>
            </w:pPr>
            <w:r w:rsidRPr="00BE2C1D">
              <w:rPr>
                <w:rFonts w:ascii="Times New Roman" w:hAnsi="Times New Roman" w:cs="Times New Roman"/>
              </w:rPr>
              <w:lastRenderedPageBreak/>
              <w:t>Review of literature</w:t>
            </w:r>
          </w:p>
          <w:p w14:paraId="4C599A26" w14:textId="77777777" w:rsidR="00BE2C1D" w:rsidRPr="00BE2C1D" w:rsidRDefault="00BE2C1D" w:rsidP="00BE2C1D">
            <w:pPr>
              <w:rPr>
                <w:rFonts w:ascii="Times New Roman" w:hAnsi="Times New Roman" w:cs="Times New Roman"/>
                <w:sz w:val="20"/>
                <w:szCs w:val="20"/>
              </w:rPr>
            </w:pPr>
            <w:r w:rsidRPr="00BE2C1D">
              <w:rPr>
                <w:rFonts w:ascii="Times New Roman" w:hAnsi="Times New Roman" w:cs="Times New Roman"/>
                <w:sz w:val="20"/>
                <w:szCs w:val="20"/>
              </w:rPr>
              <w:t xml:space="preserve">Areas of exploration: </w:t>
            </w:r>
          </w:p>
          <w:p w14:paraId="247B8477" w14:textId="77777777" w:rsidR="00BE2C1D" w:rsidRPr="00BE2C1D" w:rsidRDefault="00BE2C1D" w:rsidP="00BE2C1D">
            <w:pPr>
              <w:numPr>
                <w:ilvl w:val="0"/>
                <w:numId w:val="23"/>
              </w:numPr>
              <w:spacing w:after="200" w:line="276" w:lineRule="auto"/>
              <w:contextualSpacing/>
              <w:rPr>
                <w:rFonts w:ascii="Times New Roman" w:eastAsiaTheme="minorEastAsia" w:hAnsi="Times New Roman" w:cs="Times New Roman"/>
                <w:sz w:val="20"/>
                <w:szCs w:val="20"/>
                <w:lang w:eastAsia="zh-CN"/>
              </w:rPr>
            </w:pPr>
            <w:r w:rsidRPr="00BE2C1D">
              <w:rPr>
                <w:rFonts w:ascii="Times New Roman" w:eastAsiaTheme="minorEastAsia" w:hAnsi="Times New Roman" w:cs="Times New Roman"/>
                <w:sz w:val="20"/>
                <w:szCs w:val="20"/>
                <w:lang w:eastAsia="zh-CN"/>
              </w:rPr>
              <w:t>cognition (intellectual functioning)</w:t>
            </w:r>
          </w:p>
          <w:p w14:paraId="319588D9" w14:textId="77777777" w:rsidR="00BE2C1D" w:rsidRPr="00BE2C1D" w:rsidRDefault="00BE2C1D" w:rsidP="00BE2C1D">
            <w:pPr>
              <w:numPr>
                <w:ilvl w:val="0"/>
                <w:numId w:val="23"/>
              </w:numPr>
              <w:spacing w:after="200" w:line="276" w:lineRule="auto"/>
              <w:contextualSpacing/>
              <w:rPr>
                <w:rFonts w:ascii="Times New Roman" w:eastAsiaTheme="minorEastAsia" w:hAnsi="Times New Roman" w:cs="Times New Roman"/>
                <w:sz w:val="20"/>
                <w:szCs w:val="20"/>
                <w:lang w:eastAsia="zh-CN"/>
              </w:rPr>
            </w:pPr>
            <w:r w:rsidRPr="00BE2C1D">
              <w:rPr>
                <w:rFonts w:ascii="Times New Roman" w:eastAsiaTheme="minorEastAsia" w:hAnsi="Times New Roman" w:cs="Times New Roman"/>
                <w:sz w:val="20"/>
                <w:szCs w:val="20"/>
                <w:lang w:eastAsia="zh-CN"/>
              </w:rPr>
              <w:t>Social behaviour (relationships with peers and adults)</w:t>
            </w:r>
          </w:p>
          <w:p w14:paraId="50AFA879" w14:textId="77777777" w:rsidR="00BE2C1D" w:rsidRPr="00BE2C1D" w:rsidRDefault="00BE2C1D" w:rsidP="00BE2C1D">
            <w:pPr>
              <w:numPr>
                <w:ilvl w:val="0"/>
                <w:numId w:val="23"/>
              </w:numPr>
              <w:spacing w:after="200" w:line="276" w:lineRule="auto"/>
              <w:contextualSpacing/>
              <w:rPr>
                <w:rFonts w:ascii="Times New Roman" w:eastAsiaTheme="minorEastAsia" w:hAnsi="Times New Roman" w:cs="Times New Roman"/>
                <w:sz w:val="20"/>
                <w:szCs w:val="20"/>
                <w:lang w:eastAsia="zh-CN"/>
              </w:rPr>
            </w:pPr>
            <w:r w:rsidRPr="00BE2C1D">
              <w:rPr>
                <w:rFonts w:ascii="Times New Roman" w:eastAsiaTheme="minorEastAsia" w:hAnsi="Times New Roman" w:cs="Times New Roman"/>
                <w:sz w:val="20"/>
                <w:szCs w:val="20"/>
                <w:lang w:eastAsia="zh-CN"/>
              </w:rPr>
              <w:t>Emotional adjustment (ambient mood state and aggressive traits)</w:t>
            </w:r>
          </w:p>
          <w:p w14:paraId="7DDF1A45" w14:textId="77777777" w:rsidR="00BE2C1D" w:rsidRPr="00BE2C1D" w:rsidRDefault="00BE2C1D" w:rsidP="00BE2C1D">
            <w:pPr>
              <w:numPr>
                <w:ilvl w:val="0"/>
                <w:numId w:val="23"/>
              </w:numPr>
              <w:spacing w:after="200" w:line="276" w:lineRule="auto"/>
              <w:contextualSpacing/>
              <w:rPr>
                <w:rFonts w:ascii="Times New Roman" w:eastAsiaTheme="minorEastAsia" w:hAnsi="Times New Roman" w:cs="Times New Roman"/>
                <w:sz w:val="20"/>
                <w:szCs w:val="20"/>
                <w:lang w:eastAsia="zh-CN"/>
              </w:rPr>
            </w:pPr>
            <w:r w:rsidRPr="00BE2C1D">
              <w:rPr>
                <w:rFonts w:ascii="Times New Roman" w:eastAsiaTheme="minorEastAsia" w:hAnsi="Times New Roman" w:cs="Times New Roman"/>
                <w:sz w:val="20"/>
                <w:szCs w:val="20"/>
                <w:lang w:eastAsia="zh-CN"/>
              </w:rPr>
              <w:t>Child’s self concept (self-worth/self-esteem, ambitions for the future)</w:t>
            </w:r>
          </w:p>
          <w:p w14:paraId="72FFD3FB" w14:textId="77777777" w:rsidR="00BE2C1D" w:rsidRPr="00BE2C1D" w:rsidRDefault="00BE2C1D" w:rsidP="00BE2C1D">
            <w:pPr>
              <w:rPr>
                <w:rFonts w:ascii="Times New Roman" w:hAnsi="Times New Roman" w:cs="Times New Roman"/>
                <w:sz w:val="20"/>
                <w:szCs w:val="20"/>
              </w:rPr>
            </w:pPr>
            <w:r w:rsidRPr="00BE2C1D">
              <w:rPr>
                <w:rFonts w:ascii="Times New Roman" w:hAnsi="Times New Roman" w:cs="Times New Roman"/>
                <w:sz w:val="20"/>
                <w:szCs w:val="20"/>
              </w:rPr>
              <w:t>Conditions explored:</w:t>
            </w:r>
          </w:p>
          <w:p w14:paraId="5B743B65" w14:textId="77777777" w:rsidR="00BE2C1D" w:rsidRPr="00BE2C1D" w:rsidRDefault="00BE2C1D" w:rsidP="00BE2C1D">
            <w:pPr>
              <w:numPr>
                <w:ilvl w:val="0"/>
                <w:numId w:val="24"/>
              </w:numPr>
              <w:spacing w:after="200" w:line="276" w:lineRule="auto"/>
              <w:contextualSpacing/>
              <w:rPr>
                <w:rFonts w:ascii="Times New Roman" w:eastAsiaTheme="minorEastAsia" w:hAnsi="Times New Roman" w:cs="Times New Roman"/>
                <w:sz w:val="20"/>
                <w:szCs w:val="20"/>
                <w:lang w:eastAsia="zh-CN"/>
              </w:rPr>
            </w:pPr>
            <w:r w:rsidRPr="00BE2C1D">
              <w:rPr>
                <w:rFonts w:ascii="Times New Roman" w:eastAsiaTheme="minorEastAsia" w:hAnsi="Times New Roman" w:cs="Times New Roman"/>
                <w:sz w:val="20"/>
                <w:szCs w:val="20"/>
                <w:lang w:eastAsia="zh-CN"/>
              </w:rPr>
              <w:t>Hipopituitarism</w:t>
            </w:r>
          </w:p>
          <w:p w14:paraId="15176B3C" w14:textId="77777777" w:rsidR="00BE2C1D" w:rsidRPr="00BE2C1D" w:rsidRDefault="00BE2C1D" w:rsidP="00BE2C1D">
            <w:pPr>
              <w:numPr>
                <w:ilvl w:val="0"/>
                <w:numId w:val="24"/>
              </w:numPr>
              <w:spacing w:after="200" w:line="276" w:lineRule="auto"/>
              <w:contextualSpacing/>
              <w:rPr>
                <w:rFonts w:ascii="Times New Roman" w:eastAsiaTheme="minorEastAsia" w:hAnsi="Times New Roman" w:cs="Times New Roman"/>
                <w:sz w:val="20"/>
                <w:szCs w:val="20"/>
                <w:lang w:eastAsia="zh-CN"/>
              </w:rPr>
            </w:pPr>
            <w:r w:rsidRPr="00BE2C1D">
              <w:rPr>
                <w:rFonts w:ascii="Times New Roman" w:eastAsiaTheme="minorEastAsia" w:hAnsi="Times New Roman" w:cs="Times New Roman"/>
                <w:sz w:val="20"/>
                <w:szCs w:val="20"/>
                <w:lang w:eastAsia="zh-CN"/>
              </w:rPr>
              <w:t>Bone and Cartilage disorders</w:t>
            </w:r>
          </w:p>
          <w:p w14:paraId="3E799299" w14:textId="77777777" w:rsidR="00BE2C1D" w:rsidRPr="00BE2C1D" w:rsidRDefault="00BE2C1D" w:rsidP="00BE2C1D">
            <w:pPr>
              <w:numPr>
                <w:ilvl w:val="0"/>
                <w:numId w:val="24"/>
              </w:numPr>
              <w:spacing w:after="200" w:line="276" w:lineRule="auto"/>
              <w:contextualSpacing/>
              <w:rPr>
                <w:rFonts w:ascii="Times New Roman" w:eastAsiaTheme="minorEastAsia" w:hAnsi="Times New Roman" w:cs="Times New Roman"/>
                <w:sz w:val="20"/>
                <w:szCs w:val="20"/>
                <w:lang w:eastAsia="zh-CN"/>
              </w:rPr>
            </w:pPr>
            <w:r w:rsidRPr="00BE2C1D">
              <w:rPr>
                <w:rFonts w:ascii="Times New Roman" w:eastAsiaTheme="minorEastAsia" w:hAnsi="Times New Roman" w:cs="Times New Roman"/>
                <w:sz w:val="20"/>
                <w:szCs w:val="20"/>
                <w:lang w:eastAsia="zh-CN"/>
              </w:rPr>
              <w:t>Turner Syndrome</w:t>
            </w:r>
          </w:p>
          <w:p w14:paraId="58F9BB17" w14:textId="77777777" w:rsidR="00BE2C1D" w:rsidRPr="00BE2C1D" w:rsidRDefault="00BE2C1D" w:rsidP="00BE2C1D">
            <w:pPr>
              <w:numPr>
                <w:ilvl w:val="0"/>
                <w:numId w:val="24"/>
              </w:numPr>
              <w:spacing w:after="200" w:line="276" w:lineRule="auto"/>
              <w:contextualSpacing/>
              <w:rPr>
                <w:rFonts w:ascii="Times New Roman" w:eastAsiaTheme="minorEastAsia" w:hAnsi="Times New Roman" w:cs="Times New Roman"/>
                <w:sz w:val="20"/>
                <w:szCs w:val="20"/>
                <w:lang w:eastAsia="zh-CN"/>
              </w:rPr>
            </w:pPr>
            <w:r w:rsidRPr="00BE2C1D">
              <w:rPr>
                <w:rFonts w:ascii="Times New Roman" w:eastAsiaTheme="minorEastAsia" w:hAnsi="Times New Roman" w:cs="Times New Roman"/>
                <w:sz w:val="20"/>
                <w:szCs w:val="20"/>
                <w:lang w:eastAsia="zh-CN"/>
              </w:rPr>
              <w:t>Familial short stature</w:t>
            </w:r>
          </w:p>
          <w:p w14:paraId="7F8B5471" w14:textId="77777777" w:rsidR="00BE2C1D" w:rsidRPr="00BE2C1D" w:rsidRDefault="00BE2C1D" w:rsidP="00BE2C1D">
            <w:pPr>
              <w:numPr>
                <w:ilvl w:val="0"/>
                <w:numId w:val="24"/>
              </w:numPr>
              <w:spacing w:after="200" w:line="276" w:lineRule="auto"/>
              <w:contextualSpacing/>
              <w:rPr>
                <w:rFonts w:ascii="Times New Roman" w:eastAsiaTheme="minorEastAsia" w:hAnsi="Times New Roman" w:cs="Times New Roman"/>
                <w:sz w:val="20"/>
                <w:szCs w:val="20"/>
                <w:lang w:eastAsia="zh-CN"/>
              </w:rPr>
            </w:pPr>
            <w:r w:rsidRPr="00BE2C1D">
              <w:rPr>
                <w:rFonts w:ascii="Times New Roman" w:eastAsiaTheme="minorEastAsia" w:hAnsi="Times New Roman" w:cs="Times New Roman"/>
                <w:sz w:val="20"/>
                <w:szCs w:val="20"/>
                <w:lang w:eastAsia="zh-CN"/>
              </w:rPr>
              <w:t>Constitutional delay</w:t>
            </w:r>
          </w:p>
          <w:p w14:paraId="1F337341" w14:textId="77777777" w:rsidR="00BE2C1D" w:rsidRPr="00BE2C1D" w:rsidRDefault="00BE2C1D" w:rsidP="00BE2C1D">
            <w:pPr>
              <w:numPr>
                <w:ilvl w:val="0"/>
                <w:numId w:val="24"/>
              </w:numPr>
              <w:spacing w:after="200" w:line="276" w:lineRule="auto"/>
              <w:contextualSpacing/>
              <w:rPr>
                <w:rFonts w:ascii="Times New Roman" w:eastAsiaTheme="minorEastAsia" w:hAnsi="Times New Roman" w:cs="Times New Roman"/>
                <w:sz w:val="20"/>
                <w:szCs w:val="20"/>
                <w:lang w:eastAsia="zh-CN"/>
              </w:rPr>
            </w:pPr>
            <w:r w:rsidRPr="00BE2C1D">
              <w:rPr>
                <w:rFonts w:ascii="Times New Roman" w:eastAsiaTheme="minorEastAsia" w:hAnsi="Times New Roman" w:cs="Times New Roman"/>
                <w:sz w:val="20"/>
                <w:szCs w:val="20"/>
                <w:lang w:eastAsia="zh-CN"/>
              </w:rPr>
              <w:t>Environmental Growth Delay</w:t>
            </w:r>
          </w:p>
          <w:p w14:paraId="13D9565D" w14:textId="77777777" w:rsidR="00BE2C1D" w:rsidRPr="00BE2C1D" w:rsidRDefault="00BE2C1D" w:rsidP="00BE2C1D">
            <w:pPr>
              <w:rPr>
                <w:rFonts w:ascii="Times New Roman" w:hAnsi="Times New Roman" w:cs="Times New Roman"/>
              </w:rPr>
            </w:pPr>
          </w:p>
          <w:p w14:paraId="13D2E7C8" w14:textId="77777777" w:rsidR="00BE2C1D" w:rsidRPr="00BE2C1D" w:rsidRDefault="00BE2C1D" w:rsidP="00BE2C1D">
            <w:pPr>
              <w:rPr>
                <w:rFonts w:ascii="Times New Roman" w:hAnsi="Times New Roman" w:cs="Times New Roman"/>
              </w:rPr>
            </w:pPr>
          </w:p>
          <w:p w14:paraId="1D12ADC3" w14:textId="77777777" w:rsidR="00BE2C1D" w:rsidRPr="00BE2C1D" w:rsidRDefault="00BE2C1D" w:rsidP="00BE2C1D">
            <w:pPr>
              <w:rPr>
                <w:rFonts w:ascii="Times New Roman" w:hAnsi="Times New Roman" w:cs="Times New Roman"/>
              </w:rPr>
            </w:pPr>
          </w:p>
          <w:p w14:paraId="70A0DDF7" w14:textId="77777777" w:rsidR="00BE2C1D" w:rsidRPr="00BE2C1D" w:rsidRDefault="00BE2C1D" w:rsidP="00BE2C1D">
            <w:pPr>
              <w:rPr>
                <w:rFonts w:ascii="Times New Roman" w:hAnsi="Times New Roman" w:cs="Times New Roman"/>
              </w:rPr>
            </w:pPr>
          </w:p>
          <w:p w14:paraId="66703B8C" w14:textId="77777777" w:rsidR="00BE2C1D" w:rsidRPr="00BE2C1D" w:rsidRDefault="00BE2C1D" w:rsidP="00BE2C1D">
            <w:pPr>
              <w:rPr>
                <w:rFonts w:ascii="Times New Roman" w:hAnsi="Times New Roman" w:cs="Times New Roman"/>
              </w:rPr>
            </w:pPr>
          </w:p>
          <w:p w14:paraId="7AA95C92" w14:textId="77777777" w:rsidR="00BE2C1D" w:rsidRPr="00BE2C1D" w:rsidRDefault="00BE2C1D" w:rsidP="00BE2C1D">
            <w:pPr>
              <w:rPr>
                <w:rFonts w:ascii="Times New Roman" w:hAnsi="Times New Roman" w:cs="Times New Roman"/>
              </w:rPr>
            </w:pPr>
          </w:p>
          <w:p w14:paraId="4E5150C3" w14:textId="77777777" w:rsidR="00BE2C1D" w:rsidRPr="00BE2C1D" w:rsidRDefault="00BE2C1D" w:rsidP="00BE2C1D">
            <w:pPr>
              <w:rPr>
                <w:rFonts w:ascii="Times New Roman" w:hAnsi="Times New Roman" w:cs="Times New Roman"/>
              </w:rPr>
            </w:pPr>
          </w:p>
          <w:p w14:paraId="20942F45" w14:textId="77777777" w:rsidR="00BE2C1D" w:rsidRPr="00BE2C1D" w:rsidRDefault="00BE2C1D" w:rsidP="00BE2C1D">
            <w:pPr>
              <w:rPr>
                <w:rFonts w:ascii="Times New Roman" w:hAnsi="Times New Roman" w:cs="Times New Roman"/>
              </w:rPr>
            </w:pPr>
          </w:p>
          <w:p w14:paraId="6FE62927" w14:textId="77777777" w:rsidR="00BE2C1D" w:rsidRPr="00BE2C1D" w:rsidRDefault="00BE2C1D" w:rsidP="00BE2C1D">
            <w:pPr>
              <w:rPr>
                <w:rFonts w:ascii="Times New Roman" w:hAnsi="Times New Roman" w:cs="Times New Roman"/>
              </w:rPr>
            </w:pPr>
          </w:p>
          <w:p w14:paraId="6BC5BB1F" w14:textId="77777777" w:rsidR="00BE2C1D" w:rsidRPr="00BE2C1D" w:rsidRDefault="00BE2C1D" w:rsidP="00BE2C1D">
            <w:pPr>
              <w:rPr>
                <w:rFonts w:ascii="Times New Roman" w:hAnsi="Times New Roman" w:cs="Times New Roman"/>
              </w:rPr>
            </w:pPr>
          </w:p>
          <w:p w14:paraId="1BA87B24" w14:textId="77777777" w:rsidR="00BE2C1D" w:rsidRPr="00BE2C1D" w:rsidRDefault="00BE2C1D" w:rsidP="00BE2C1D">
            <w:pPr>
              <w:rPr>
                <w:rFonts w:ascii="Times New Roman" w:hAnsi="Times New Roman" w:cs="Times New Roman"/>
              </w:rPr>
            </w:pPr>
          </w:p>
          <w:p w14:paraId="2988D6B1" w14:textId="77777777" w:rsidR="00BE2C1D" w:rsidRPr="00BE2C1D" w:rsidRDefault="00BE2C1D" w:rsidP="00BE2C1D">
            <w:pPr>
              <w:rPr>
                <w:rFonts w:ascii="Times New Roman" w:hAnsi="Times New Roman" w:cs="Times New Roman"/>
              </w:rPr>
            </w:pPr>
          </w:p>
          <w:p w14:paraId="01A10A23" w14:textId="77777777" w:rsidR="00BE2C1D" w:rsidRPr="00BE2C1D" w:rsidRDefault="00BE2C1D" w:rsidP="00BE2C1D">
            <w:pPr>
              <w:rPr>
                <w:rFonts w:ascii="Times New Roman" w:hAnsi="Times New Roman" w:cs="Times New Roman"/>
              </w:rPr>
            </w:pPr>
          </w:p>
          <w:p w14:paraId="1A0E9F48" w14:textId="77777777" w:rsidR="00BE2C1D" w:rsidRPr="00BE2C1D" w:rsidRDefault="00BE2C1D" w:rsidP="00BE2C1D">
            <w:pPr>
              <w:rPr>
                <w:rFonts w:ascii="Times New Roman" w:hAnsi="Times New Roman" w:cs="Times New Roman"/>
              </w:rPr>
            </w:pPr>
          </w:p>
          <w:p w14:paraId="3E015A56" w14:textId="77777777" w:rsidR="00BE2C1D" w:rsidRPr="00BE2C1D" w:rsidRDefault="00BE2C1D" w:rsidP="00BE2C1D">
            <w:pPr>
              <w:rPr>
                <w:rFonts w:ascii="Times New Roman" w:hAnsi="Times New Roman" w:cs="Times New Roman"/>
              </w:rPr>
            </w:pPr>
          </w:p>
          <w:p w14:paraId="54F357AA" w14:textId="77777777" w:rsidR="00BE2C1D" w:rsidRPr="00BE2C1D" w:rsidRDefault="00BE2C1D" w:rsidP="00BE2C1D">
            <w:pPr>
              <w:rPr>
                <w:rFonts w:ascii="Times New Roman" w:hAnsi="Times New Roman" w:cs="Times New Roman"/>
              </w:rPr>
            </w:pPr>
          </w:p>
          <w:p w14:paraId="167702C1" w14:textId="77777777" w:rsidR="00BE2C1D" w:rsidRPr="00BE2C1D" w:rsidRDefault="00BE2C1D" w:rsidP="00BE2C1D">
            <w:pPr>
              <w:rPr>
                <w:rFonts w:ascii="Times New Roman" w:hAnsi="Times New Roman" w:cs="Times New Roman"/>
              </w:rPr>
            </w:pPr>
          </w:p>
          <w:p w14:paraId="6EB17276" w14:textId="77777777" w:rsidR="00BE2C1D" w:rsidRPr="00BE2C1D" w:rsidRDefault="00BE2C1D" w:rsidP="00BE2C1D">
            <w:pPr>
              <w:rPr>
                <w:rFonts w:ascii="Times New Roman" w:hAnsi="Times New Roman" w:cs="Times New Roman"/>
              </w:rPr>
            </w:pPr>
          </w:p>
          <w:p w14:paraId="28811C98" w14:textId="77777777" w:rsidR="00BE2C1D" w:rsidRPr="00BE2C1D" w:rsidRDefault="00BE2C1D" w:rsidP="00BE2C1D">
            <w:pPr>
              <w:rPr>
                <w:rFonts w:ascii="Times New Roman" w:hAnsi="Times New Roman" w:cs="Times New Roman"/>
              </w:rPr>
            </w:pPr>
          </w:p>
          <w:p w14:paraId="7C32B347" w14:textId="77777777" w:rsidR="00BE2C1D" w:rsidRPr="00BE2C1D" w:rsidRDefault="00BE2C1D" w:rsidP="00BE2C1D">
            <w:pPr>
              <w:rPr>
                <w:rFonts w:ascii="Times New Roman" w:hAnsi="Times New Roman" w:cs="Times New Roman"/>
              </w:rPr>
            </w:pPr>
          </w:p>
          <w:p w14:paraId="4014B69C" w14:textId="77777777" w:rsidR="00BE2C1D" w:rsidRPr="00BE2C1D" w:rsidRDefault="00BE2C1D" w:rsidP="00BE2C1D">
            <w:pPr>
              <w:rPr>
                <w:rFonts w:ascii="Times New Roman" w:hAnsi="Times New Roman" w:cs="Times New Roman"/>
              </w:rPr>
            </w:pPr>
          </w:p>
          <w:p w14:paraId="75AE5669" w14:textId="77777777" w:rsidR="00BE2C1D" w:rsidRPr="00BE2C1D" w:rsidRDefault="00BE2C1D" w:rsidP="00BE2C1D">
            <w:pPr>
              <w:rPr>
                <w:rFonts w:ascii="Times New Roman" w:hAnsi="Times New Roman" w:cs="Times New Roman"/>
              </w:rPr>
            </w:pPr>
          </w:p>
          <w:p w14:paraId="3C35EEE2" w14:textId="77777777" w:rsidR="00BE2C1D" w:rsidRPr="00BE2C1D" w:rsidRDefault="00BE2C1D" w:rsidP="00BE2C1D">
            <w:pPr>
              <w:rPr>
                <w:rFonts w:ascii="Times New Roman" w:hAnsi="Times New Roman" w:cs="Times New Roman"/>
              </w:rPr>
            </w:pPr>
          </w:p>
          <w:p w14:paraId="7C1A2DF0" w14:textId="77777777" w:rsidR="00BE2C1D" w:rsidRPr="00BE2C1D" w:rsidRDefault="00BE2C1D" w:rsidP="00BE2C1D">
            <w:pPr>
              <w:rPr>
                <w:rFonts w:ascii="Times New Roman" w:hAnsi="Times New Roman" w:cs="Times New Roman"/>
              </w:rPr>
            </w:pPr>
          </w:p>
          <w:p w14:paraId="1361483A" w14:textId="77777777" w:rsidR="00BE2C1D" w:rsidRPr="00BE2C1D" w:rsidRDefault="00BE2C1D" w:rsidP="00BE2C1D">
            <w:pPr>
              <w:rPr>
                <w:rFonts w:ascii="Times New Roman" w:hAnsi="Times New Roman" w:cs="Times New Roman"/>
              </w:rPr>
            </w:pPr>
          </w:p>
          <w:p w14:paraId="161C8C40" w14:textId="77777777" w:rsidR="00BE2C1D" w:rsidRPr="00BE2C1D" w:rsidRDefault="00BE2C1D" w:rsidP="00BE2C1D">
            <w:pPr>
              <w:rPr>
                <w:rFonts w:ascii="Times New Roman" w:hAnsi="Times New Roman" w:cs="Times New Roman"/>
              </w:rPr>
            </w:pPr>
          </w:p>
          <w:p w14:paraId="603D290C" w14:textId="77777777" w:rsidR="00BE2C1D" w:rsidRPr="00BE2C1D" w:rsidRDefault="00BE2C1D" w:rsidP="00BE2C1D">
            <w:pPr>
              <w:rPr>
                <w:rFonts w:ascii="Times New Roman" w:hAnsi="Times New Roman" w:cs="Times New Roman"/>
              </w:rPr>
            </w:pPr>
          </w:p>
          <w:p w14:paraId="255C9B3C" w14:textId="77777777" w:rsidR="00BE2C1D" w:rsidRPr="00BE2C1D" w:rsidRDefault="00BE2C1D" w:rsidP="00BE2C1D">
            <w:pPr>
              <w:rPr>
                <w:rFonts w:ascii="Times New Roman" w:hAnsi="Times New Roman" w:cs="Times New Roman"/>
              </w:rPr>
            </w:pPr>
          </w:p>
          <w:p w14:paraId="6CBC1985" w14:textId="77777777" w:rsidR="00BE2C1D" w:rsidRPr="00BE2C1D" w:rsidRDefault="00BE2C1D" w:rsidP="00BE2C1D">
            <w:pPr>
              <w:rPr>
                <w:rFonts w:ascii="Times New Roman" w:hAnsi="Times New Roman" w:cs="Times New Roman"/>
              </w:rPr>
            </w:pPr>
          </w:p>
          <w:p w14:paraId="072C0386" w14:textId="77777777" w:rsidR="00BE2C1D" w:rsidRPr="00BE2C1D" w:rsidRDefault="00BE2C1D" w:rsidP="00BE2C1D">
            <w:pPr>
              <w:rPr>
                <w:rFonts w:ascii="Times New Roman" w:hAnsi="Times New Roman" w:cs="Times New Roman"/>
              </w:rPr>
            </w:pPr>
          </w:p>
          <w:p w14:paraId="3E8FD710" w14:textId="77777777" w:rsidR="00BE2C1D" w:rsidRPr="00BE2C1D" w:rsidRDefault="00BE2C1D" w:rsidP="00BE2C1D">
            <w:pPr>
              <w:rPr>
                <w:rFonts w:ascii="Times New Roman" w:hAnsi="Times New Roman" w:cs="Times New Roman"/>
              </w:rPr>
            </w:pPr>
          </w:p>
          <w:p w14:paraId="2F3A612C" w14:textId="77777777" w:rsidR="00BE2C1D" w:rsidRPr="00BE2C1D" w:rsidRDefault="00BE2C1D" w:rsidP="00BE2C1D">
            <w:pPr>
              <w:rPr>
                <w:rFonts w:ascii="Times New Roman" w:hAnsi="Times New Roman" w:cs="Times New Roman"/>
              </w:rPr>
            </w:pPr>
          </w:p>
          <w:p w14:paraId="6DAE9F16" w14:textId="77777777" w:rsidR="00BE2C1D" w:rsidRPr="00BE2C1D" w:rsidRDefault="00BE2C1D" w:rsidP="00BE2C1D">
            <w:pPr>
              <w:rPr>
                <w:rFonts w:ascii="Times New Roman" w:hAnsi="Times New Roman" w:cs="Times New Roman"/>
              </w:rPr>
            </w:pPr>
          </w:p>
          <w:p w14:paraId="5F1A017B" w14:textId="77777777" w:rsidR="00BE2C1D" w:rsidRPr="00BE2C1D" w:rsidRDefault="00BE2C1D" w:rsidP="00BE2C1D">
            <w:pPr>
              <w:rPr>
                <w:rFonts w:ascii="Times New Roman" w:hAnsi="Times New Roman" w:cs="Times New Roman"/>
              </w:rPr>
            </w:pPr>
          </w:p>
          <w:p w14:paraId="03B7BA82" w14:textId="77777777" w:rsidR="00BE2C1D" w:rsidRPr="00BE2C1D" w:rsidRDefault="00BE2C1D" w:rsidP="00BE2C1D">
            <w:pPr>
              <w:rPr>
                <w:rFonts w:ascii="Times New Roman" w:hAnsi="Times New Roman" w:cs="Times New Roman"/>
              </w:rPr>
            </w:pPr>
          </w:p>
          <w:p w14:paraId="3A7AB324" w14:textId="77777777" w:rsidR="00BE2C1D" w:rsidRPr="00BE2C1D" w:rsidRDefault="00BE2C1D" w:rsidP="00BE2C1D">
            <w:pPr>
              <w:rPr>
                <w:rFonts w:ascii="Times New Roman" w:hAnsi="Times New Roman" w:cs="Times New Roman"/>
              </w:rPr>
            </w:pPr>
          </w:p>
          <w:p w14:paraId="10374279" w14:textId="77777777" w:rsidR="00BE2C1D" w:rsidRPr="00BE2C1D" w:rsidRDefault="00BE2C1D" w:rsidP="00BE2C1D">
            <w:pPr>
              <w:rPr>
                <w:rFonts w:ascii="Times New Roman" w:hAnsi="Times New Roman" w:cs="Times New Roman"/>
              </w:rPr>
            </w:pPr>
          </w:p>
          <w:p w14:paraId="32FDDFFE" w14:textId="77777777" w:rsidR="00BE2C1D" w:rsidRPr="00BE2C1D" w:rsidRDefault="00BE2C1D" w:rsidP="00BE2C1D">
            <w:pPr>
              <w:rPr>
                <w:rFonts w:ascii="Times New Roman" w:hAnsi="Times New Roman" w:cs="Times New Roman"/>
              </w:rPr>
            </w:pPr>
          </w:p>
          <w:p w14:paraId="5086EA6A" w14:textId="77777777" w:rsidR="00BE2C1D" w:rsidRPr="00BE2C1D" w:rsidRDefault="00BE2C1D" w:rsidP="00BE2C1D">
            <w:pPr>
              <w:rPr>
                <w:rFonts w:ascii="Times New Roman" w:hAnsi="Times New Roman" w:cs="Times New Roman"/>
              </w:rPr>
            </w:pPr>
          </w:p>
          <w:p w14:paraId="62DBC7DC" w14:textId="77777777" w:rsidR="00BE2C1D" w:rsidRPr="00BE2C1D" w:rsidRDefault="00BE2C1D" w:rsidP="00BE2C1D">
            <w:pPr>
              <w:rPr>
                <w:rFonts w:ascii="Times New Roman" w:hAnsi="Times New Roman" w:cs="Times New Roman"/>
              </w:rPr>
            </w:pPr>
            <w:r w:rsidRPr="00BE2C1D">
              <w:rPr>
                <w:rFonts w:ascii="Times New Roman" w:hAnsi="Times New Roman" w:cs="Times New Roman"/>
              </w:rPr>
              <w:t>Review of literature</w:t>
            </w:r>
          </w:p>
          <w:p w14:paraId="248F3D95" w14:textId="77777777" w:rsidR="00BE2C1D" w:rsidRPr="00BE2C1D" w:rsidRDefault="00BE2C1D" w:rsidP="00BE2C1D"/>
        </w:tc>
        <w:tc>
          <w:tcPr>
            <w:tcW w:w="2135" w:type="dxa"/>
          </w:tcPr>
          <w:p w14:paraId="263A3DDE" w14:textId="77777777" w:rsidR="00BE2C1D" w:rsidRPr="00BE2C1D" w:rsidRDefault="00BE2C1D" w:rsidP="00BE2C1D">
            <w:pPr>
              <w:rPr>
                <w:rFonts w:ascii="Times New Roman" w:hAnsi="Times New Roman" w:cs="Times New Roman"/>
                <w:i/>
              </w:rPr>
            </w:pPr>
            <w:r w:rsidRPr="00BE2C1D">
              <w:rPr>
                <w:rFonts w:ascii="Times New Roman" w:hAnsi="Times New Roman" w:cs="Times New Roman"/>
                <w:i/>
              </w:rPr>
              <w:lastRenderedPageBreak/>
              <w:t>Hipopituitarism (much research)</w:t>
            </w:r>
          </w:p>
          <w:p w14:paraId="23644518" w14:textId="77777777" w:rsidR="00BE2C1D" w:rsidRPr="00BE2C1D" w:rsidRDefault="00BE2C1D" w:rsidP="00BE2C1D">
            <w:pPr>
              <w:rPr>
                <w:rFonts w:ascii="Times New Roman" w:hAnsi="Times New Roman" w:cs="Times New Roman"/>
              </w:rPr>
            </w:pPr>
            <w:r w:rsidRPr="00BE2C1D">
              <w:rPr>
                <w:rFonts w:ascii="Times New Roman" w:hAnsi="Times New Roman" w:cs="Times New Roman"/>
              </w:rPr>
              <w:t>Specific learning difficulties triggered either from poor self-concept, emotional immaturity or by specific cognitive deficits (verbal performance and visuo-motor integration skills)</w:t>
            </w:r>
          </w:p>
          <w:p w14:paraId="58BB5C38" w14:textId="77777777" w:rsidR="00BE2C1D" w:rsidRPr="00BE2C1D" w:rsidRDefault="00BE2C1D" w:rsidP="00BE2C1D">
            <w:pPr>
              <w:rPr>
                <w:rFonts w:ascii="Times New Roman" w:hAnsi="Times New Roman" w:cs="Times New Roman"/>
              </w:rPr>
            </w:pPr>
            <w:r w:rsidRPr="00BE2C1D">
              <w:rPr>
                <w:rFonts w:ascii="Times New Roman" w:hAnsi="Times New Roman" w:cs="Times New Roman"/>
              </w:rPr>
              <w:t>Tendency to adopt immature social role</w:t>
            </w:r>
          </w:p>
          <w:p w14:paraId="26CDBA85" w14:textId="77777777" w:rsidR="00BE2C1D" w:rsidRPr="00BE2C1D" w:rsidRDefault="00BE2C1D" w:rsidP="00BE2C1D">
            <w:pPr>
              <w:rPr>
                <w:rFonts w:ascii="Times New Roman" w:hAnsi="Times New Roman" w:cs="Times New Roman"/>
              </w:rPr>
            </w:pPr>
            <w:r w:rsidRPr="00BE2C1D">
              <w:rPr>
                <w:rFonts w:ascii="Times New Roman" w:hAnsi="Times New Roman" w:cs="Times New Roman"/>
              </w:rPr>
              <w:t>Avoidance of conflict/confrontation</w:t>
            </w:r>
          </w:p>
          <w:p w14:paraId="3D79428E" w14:textId="77777777" w:rsidR="00BE2C1D" w:rsidRPr="00BE2C1D" w:rsidRDefault="00BE2C1D" w:rsidP="00BE2C1D">
            <w:pPr>
              <w:rPr>
                <w:rFonts w:ascii="Times New Roman" w:hAnsi="Times New Roman" w:cs="Times New Roman"/>
                <w:i/>
              </w:rPr>
            </w:pPr>
            <w:r w:rsidRPr="00BE2C1D">
              <w:rPr>
                <w:rFonts w:ascii="Times New Roman" w:hAnsi="Times New Roman" w:cs="Times New Roman"/>
                <w:i/>
              </w:rPr>
              <w:t>Bone and Cartilage disorders (little research)</w:t>
            </w:r>
          </w:p>
          <w:p w14:paraId="6FFB0AF0" w14:textId="77777777" w:rsidR="00BE2C1D" w:rsidRPr="00BE2C1D" w:rsidRDefault="00BE2C1D" w:rsidP="00BE2C1D">
            <w:pPr>
              <w:rPr>
                <w:rFonts w:ascii="Times New Roman" w:hAnsi="Times New Roman" w:cs="Times New Roman"/>
              </w:rPr>
            </w:pPr>
            <w:r w:rsidRPr="00BE2C1D">
              <w:rPr>
                <w:rFonts w:ascii="Times New Roman" w:hAnsi="Times New Roman" w:cs="Times New Roman"/>
              </w:rPr>
              <w:t>Minimal impairment of intellectual functioning</w:t>
            </w:r>
          </w:p>
          <w:p w14:paraId="0CDF92BA" w14:textId="77777777" w:rsidR="00BE2C1D" w:rsidRPr="00BE2C1D" w:rsidRDefault="00BE2C1D" w:rsidP="00BE2C1D">
            <w:pPr>
              <w:rPr>
                <w:rFonts w:ascii="Times New Roman" w:hAnsi="Times New Roman" w:cs="Times New Roman"/>
              </w:rPr>
            </w:pPr>
            <w:r w:rsidRPr="00BE2C1D">
              <w:rPr>
                <w:rFonts w:ascii="Times New Roman" w:hAnsi="Times New Roman" w:cs="Times New Roman"/>
              </w:rPr>
              <w:t>Emotional maturation may be delayed</w:t>
            </w:r>
          </w:p>
          <w:p w14:paraId="780C8EA8" w14:textId="77777777" w:rsidR="00BE2C1D" w:rsidRPr="00BE2C1D" w:rsidRDefault="00BE2C1D" w:rsidP="00BE2C1D">
            <w:pPr>
              <w:rPr>
                <w:rFonts w:ascii="Times New Roman" w:hAnsi="Times New Roman" w:cs="Times New Roman"/>
                <w:i/>
              </w:rPr>
            </w:pPr>
            <w:r w:rsidRPr="00BE2C1D">
              <w:rPr>
                <w:rFonts w:ascii="Times New Roman" w:hAnsi="Times New Roman" w:cs="Times New Roman"/>
                <w:i/>
              </w:rPr>
              <w:t>Turner Syndrome:</w:t>
            </w:r>
          </w:p>
          <w:p w14:paraId="14C9BFDD" w14:textId="77777777" w:rsidR="00BE2C1D" w:rsidRPr="00BE2C1D" w:rsidRDefault="00BE2C1D" w:rsidP="00BE2C1D">
            <w:pPr>
              <w:rPr>
                <w:rFonts w:ascii="Times New Roman" w:hAnsi="Times New Roman" w:cs="Times New Roman"/>
              </w:rPr>
            </w:pPr>
            <w:r w:rsidRPr="00BE2C1D">
              <w:rPr>
                <w:rFonts w:ascii="Times New Roman" w:hAnsi="Times New Roman" w:cs="Times New Roman"/>
              </w:rPr>
              <w:t xml:space="preserve">Specific cognitive and </w:t>
            </w:r>
            <w:r w:rsidRPr="00BE2C1D">
              <w:rPr>
                <w:rFonts w:ascii="Times New Roman" w:hAnsi="Times New Roman" w:cs="Times New Roman"/>
              </w:rPr>
              <w:lastRenderedPageBreak/>
              <w:t>neuropsychological deficits</w:t>
            </w:r>
          </w:p>
          <w:p w14:paraId="1AD24C71" w14:textId="77777777" w:rsidR="00BE2C1D" w:rsidRPr="00BE2C1D" w:rsidRDefault="00BE2C1D" w:rsidP="00BE2C1D">
            <w:pPr>
              <w:rPr>
                <w:rFonts w:ascii="Times New Roman" w:hAnsi="Times New Roman" w:cs="Times New Roman"/>
              </w:rPr>
            </w:pPr>
            <w:r w:rsidRPr="00BE2C1D">
              <w:rPr>
                <w:rFonts w:ascii="Times New Roman" w:hAnsi="Times New Roman" w:cs="Times New Roman"/>
              </w:rPr>
              <w:t>Poor visuo-spatial organization leads to a relatively low performance score on intelligence tests.</w:t>
            </w:r>
          </w:p>
          <w:p w14:paraId="10CB45A6" w14:textId="77777777" w:rsidR="00BE2C1D" w:rsidRPr="00BE2C1D" w:rsidRDefault="00BE2C1D" w:rsidP="00BE2C1D">
            <w:pPr>
              <w:rPr>
                <w:rFonts w:ascii="Times New Roman" w:hAnsi="Times New Roman" w:cs="Times New Roman"/>
              </w:rPr>
            </w:pPr>
            <w:r w:rsidRPr="00BE2C1D">
              <w:rPr>
                <w:rFonts w:ascii="Times New Roman" w:hAnsi="Times New Roman" w:cs="Times New Roman"/>
              </w:rPr>
              <w:t>Lack of assertiveness and poor peer relationships.</w:t>
            </w:r>
          </w:p>
          <w:p w14:paraId="613BA66D" w14:textId="77777777" w:rsidR="00BE2C1D" w:rsidRPr="00BE2C1D" w:rsidRDefault="00BE2C1D" w:rsidP="00BE2C1D">
            <w:pPr>
              <w:rPr>
                <w:rFonts w:ascii="Times New Roman" w:hAnsi="Times New Roman" w:cs="Times New Roman"/>
              </w:rPr>
            </w:pPr>
            <w:r w:rsidRPr="00BE2C1D">
              <w:rPr>
                <w:rFonts w:ascii="Times New Roman" w:hAnsi="Times New Roman" w:cs="Times New Roman"/>
              </w:rPr>
              <w:t>Behaviour problems such as impulsivity, overactivity and poor attention.</w:t>
            </w:r>
          </w:p>
          <w:p w14:paraId="486C9B7C" w14:textId="77777777" w:rsidR="00BE2C1D" w:rsidRPr="00BE2C1D" w:rsidRDefault="00BE2C1D" w:rsidP="00BE2C1D">
            <w:pPr>
              <w:rPr>
                <w:rFonts w:ascii="Times New Roman" w:hAnsi="Times New Roman" w:cs="Times New Roman"/>
              </w:rPr>
            </w:pPr>
            <w:r w:rsidRPr="00BE2C1D">
              <w:rPr>
                <w:rFonts w:ascii="Times New Roman" w:hAnsi="Times New Roman" w:cs="Times New Roman"/>
              </w:rPr>
              <w:t>Poor self-concept</w:t>
            </w:r>
          </w:p>
          <w:p w14:paraId="0995AF81" w14:textId="77777777" w:rsidR="00BE2C1D" w:rsidRPr="00BE2C1D" w:rsidRDefault="00BE2C1D" w:rsidP="00BE2C1D">
            <w:pPr>
              <w:rPr>
                <w:rFonts w:ascii="Times New Roman" w:hAnsi="Times New Roman" w:cs="Times New Roman"/>
                <w:i/>
              </w:rPr>
            </w:pPr>
            <w:r w:rsidRPr="00BE2C1D">
              <w:rPr>
                <w:rFonts w:ascii="Times New Roman" w:hAnsi="Times New Roman" w:cs="Times New Roman"/>
                <w:i/>
              </w:rPr>
              <w:t>Familial Short Stature (very little research)</w:t>
            </w:r>
          </w:p>
          <w:p w14:paraId="4E7A97F7" w14:textId="77777777" w:rsidR="00BE2C1D" w:rsidRPr="00BE2C1D" w:rsidRDefault="00BE2C1D" w:rsidP="00BE2C1D">
            <w:pPr>
              <w:rPr>
                <w:rFonts w:ascii="Times New Roman" w:hAnsi="Times New Roman" w:cs="Times New Roman"/>
              </w:rPr>
            </w:pPr>
            <w:r w:rsidRPr="00BE2C1D">
              <w:rPr>
                <w:rFonts w:ascii="Times New Roman" w:hAnsi="Times New Roman" w:cs="Times New Roman"/>
              </w:rPr>
              <w:t>No evidence of particular adjustment problems</w:t>
            </w:r>
          </w:p>
          <w:p w14:paraId="5024D019" w14:textId="77777777" w:rsidR="00BE2C1D" w:rsidRPr="00BE2C1D" w:rsidRDefault="00BE2C1D" w:rsidP="00BE2C1D">
            <w:pPr>
              <w:rPr>
                <w:rFonts w:ascii="Times New Roman" w:hAnsi="Times New Roman" w:cs="Times New Roman"/>
              </w:rPr>
            </w:pPr>
            <w:r w:rsidRPr="00BE2C1D">
              <w:rPr>
                <w:rFonts w:ascii="Times New Roman" w:hAnsi="Times New Roman" w:cs="Times New Roman"/>
              </w:rPr>
              <w:t>A weak by significant correlation between stature and IQ especially in socioeconomically deprived populations</w:t>
            </w:r>
          </w:p>
          <w:p w14:paraId="2F50221B" w14:textId="77777777" w:rsidR="00BE2C1D" w:rsidRPr="00BE2C1D" w:rsidRDefault="00BE2C1D" w:rsidP="00BE2C1D">
            <w:pPr>
              <w:rPr>
                <w:rFonts w:ascii="Times New Roman" w:hAnsi="Times New Roman" w:cs="Times New Roman"/>
                <w:i/>
              </w:rPr>
            </w:pPr>
            <w:r w:rsidRPr="00BE2C1D">
              <w:rPr>
                <w:rFonts w:ascii="Times New Roman" w:hAnsi="Times New Roman" w:cs="Times New Roman"/>
                <w:i/>
              </w:rPr>
              <w:t>Constitutional delay:</w:t>
            </w:r>
          </w:p>
          <w:p w14:paraId="3039232D" w14:textId="77777777" w:rsidR="00BE2C1D" w:rsidRPr="00BE2C1D" w:rsidRDefault="00BE2C1D" w:rsidP="00BE2C1D">
            <w:pPr>
              <w:rPr>
                <w:rFonts w:ascii="Times New Roman" w:hAnsi="Times New Roman" w:cs="Times New Roman"/>
              </w:rPr>
            </w:pPr>
            <w:r w:rsidRPr="00BE2C1D">
              <w:rPr>
                <w:rFonts w:ascii="Times New Roman" w:hAnsi="Times New Roman" w:cs="Times New Roman"/>
              </w:rPr>
              <w:t xml:space="preserve">Good social competence and emotional maturity </w:t>
            </w:r>
          </w:p>
          <w:p w14:paraId="1B07461F" w14:textId="77777777" w:rsidR="00BE2C1D" w:rsidRPr="00BE2C1D" w:rsidRDefault="00BE2C1D" w:rsidP="00BE2C1D">
            <w:pPr>
              <w:rPr>
                <w:rFonts w:ascii="Times New Roman" w:hAnsi="Times New Roman" w:cs="Times New Roman"/>
              </w:rPr>
            </w:pPr>
            <w:r w:rsidRPr="00BE2C1D">
              <w:rPr>
                <w:rFonts w:ascii="Times New Roman" w:hAnsi="Times New Roman" w:cs="Times New Roman"/>
              </w:rPr>
              <w:t xml:space="preserve">Withdrawal or even aloofness due to poor popularity </w:t>
            </w:r>
          </w:p>
          <w:p w14:paraId="0119E5C3" w14:textId="77777777" w:rsidR="00BE2C1D" w:rsidRPr="00BE2C1D" w:rsidRDefault="00BE2C1D" w:rsidP="00BE2C1D">
            <w:pPr>
              <w:rPr>
                <w:rFonts w:ascii="Times New Roman" w:hAnsi="Times New Roman" w:cs="Times New Roman"/>
                <w:i/>
              </w:rPr>
            </w:pPr>
            <w:r w:rsidRPr="00BE2C1D">
              <w:rPr>
                <w:rFonts w:ascii="Times New Roman" w:hAnsi="Times New Roman" w:cs="Times New Roman"/>
                <w:i/>
              </w:rPr>
              <w:t>Environmental Growth Delay:</w:t>
            </w:r>
          </w:p>
          <w:p w14:paraId="59901CCA" w14:textId="77777777" w:rsidR="00BE2C1D" w:rsidRPr="00BE2C1D" w:rsidRDefault="00BE2C1D" w:rsidP="00BE2C1D">
            <w:pPr>
              <w:rPr>
                <w:rFonts w:ascii="Times New Roman" w:hAnsi="Times New Roman" w:cs="Times New Roman"/>
              </w:rPr>
            </w:pPr>
            <w:r w:rsidRPr="00BE2C1D">
              <w:rPr>
                <w:rFonts w:ascii="Times New Roman" w:hAnsi="Times New Roman" w:cs="Times New Roman"/>
              </w:rPr>
              <w:t>Average IQ is markedly depressed, often into the moderately retarded ranges.</w:t>
            </w:r>
          </w:p>
          <w:p w14:paraId="08AD5F02" w14:textId="77777777" w:rsidR="00BE2C1D" w:rsidRPr="00BE2C1D" w:rsidRDefault="00BE2C1D" w:rsidP="00BE2C1D">
            <w:pPr>
              <w:rPr>
                <w:rFonts w:ascii="Times New Roman" w:hAnsi="Times New Roman" w:cs="Times New Roman"/>
              </w:rPr>
            </w:pPr>
            <w:r w:rsidRPr="00BE2C1D">
              <w:rPr>
                <w:rFonts w:ascii="Times New Roman" w:hAnsi="Times New Roman" w:cs="Times New Roman"/>
              </w:rPr>
              <w:lastRenderedPageBreak/>
              <w:t>Oppositional behaviour may be a prominent feature within and outside home.</w:t>
            </w:r>
          </w:p>
          <w:p w14:paraId="7E2284B3" w14:textId="77777777" w:rsidR="00BE2C1D" w:rsidRPr="00BE2C1D" w:rsidRDefault="00BE2C1D" w:rsidP="00BE2C1D">
            <w:pPr>
              <w:rPr>
                <w:rFonts w:ascii="Times New Roman" w:hAnsi="Times New Roman" w:cs="Times New Roman"/>
              </w:rPr>
            </w:pPr>
            <w:r w:rsidRPr="00BE2C1D">
              <w:rPr>
                <w:rFonts w:ascii="Times New Roman" w:hAnsi="Times New Roman" w:cs="Times New Roman"/>
              </w:rPr>
              <w:t>Poor self concept</w:t>
            </w:r>
          </w:p>
          <w:p w14:paraId="0D49B0FB" w14:textId="77777777" w:rsidR="00BE2C1D" w:rsidRPr="00BE2C1D" w:rsidRDefault="00BE2C1D" w:rsidP="00BE2C1D">
            <w:pPr>
              <w:rPr>
                <w:rFonts w:ascii="Times New Roman" w:hAnsi="Times New Roman" w:cs="Times New Roman"/>
              </w:rPr>
            </w:pPr>
            <w:r w:rsidRPr="00BE2C1D">
              <w:rPr>
                <w:rFonts w:ascii="Times New Roman" w:hAnsi="Times New Roman" w:cs="Times New Roman"/>
              </w:rPr>
              <w:t xml:space="preserve"> Children with </w:t>
            </w:r>
            <w:r w:rsidRPr="00BE2C1D">
              <w:rPr>
                <w:rFonts w:ascii="Times New Roman" w:hAnsi="Times New Roman" w:cs="Times New Roman"/>
                <w:u w:val="single"/>
              </w:rPr>
              <w:t>extreme</w:t>
            </w:r>
            <w:r w:rsidRPr="00BE2C1D">
              <w:rPr>
                <w:rFonts w:ascii="Times New Roman" w:hAnsi="Times New Roman" w:cs="Times New Roman"/>
              </w:rPr>
              <w:t xml:space="preserve"> short stature</w:t>
            </w:r>
          </w:p>
          <w:p w14:paraId="5F173AAA" w14:textId="77777777" w:rsidR="00BE2C1D" w:rsidRPr="00BE2C1D" w:rsidRDefault="00BE2C1D" w:rsidP="00BE2C1D">
            <w:pPr>
              <w:rPr>
                <w:rFonts w:ascii="Times New Roman" w:hAnsi="Times New Roman" w:cs="Times New Roman"/>
              </w:rPr>
            </w:pPr>
            <w:r w:rsidRPr="00BE2C1D">
              <w:rPr>
                <w:rFonts w:ascii="Times New Roman" w:hAnsi="Times New Roman" w:cs="Times New Roman"/>
                <w:i/>
              </w:rPr>
              <w:t>Psychological/Social features:</w:t>
            </w:r>
            <w:r w:rsidRPr="00BE2C1D">
              <w:rPr>
                <w:rFonts w:ascii="Times New Roman" w:hAnsi="Times New Roman" w:cs="Times New Roman"/>
              </w:rPr>
              <w:t xml:space="preserve"> Behavioural disorders, social isolation, lack of appropriate aggressive drive, babyish behaviour or “mascot figure” because of infantilization, depression, low-self esteem, poor social coping, increased incidence of somatic complaints.</w:t>
            </w:r>
          </w:p>
          <w:p w14:paraId="19326F6A" w14:textId="77777777" w:rsidR="00BE2C1D" w:rsidRPr="00BE2C1D" w:rsidRDefault="00BE2C1D" w:rsidP="00BE2C1D">
            <w:pPr>
              <w:rPr>
                <w:rFonts w:ascii="Times New Roman" w:hAnsi="Times New Roman" w:cs="Times New Roman"/>
                <w:i/>
              </w:rPr>
            </w:pPr>
            <w:r w:rsidRPr="00BE2C1D">
              <w:rPr>
                <w:rFonts w:ascii="Times New Roman" w:hAnsi="Times New Roman" w:cs="Times New Roman"/>
                <w:i/>
              </w:rPr>
              <w:t>Intellectual function:</w:t>
            </w:r>
          </w:p>
          <w:p w14:paraId="3EE8FF50" w14:textId="77777777" w:rsidR="00BE2C1D" w:rsidRPr="00BE2C1D" w:rsidRDefault="00BE2C1D" w:rsidP="00BE2C1D">
            <w:pPr>
              <w:rPr>
                <w:rFonts w:ascii="Times New Roman" w:hAnsi="Times New Roman" w:cs="Times New Roman"/>
              </w:rPr>
            </w:pPr>
            <w:r w:rsidRPr="00BE2C1D">
              <w:rPr>
                <w:rFonts w:ascii="Times New Roman" w:hAnsi="Times New Roman" w:cs="Times New Roman"/>
              </w:rPr>
              <w:t>Low IQ and retarded development in some conditions.</w:t>
            </w:r>
          </w:p>
          <w:p w14:paraId="0B9776AF" w14:textId="77777777" w:rsidR="00BE2C1D" w:rsidRPr="00BE2C1D" w:rsidRDefault="00BE2C1D" w:rsidP="00BE2C1D">
            <w:pPr>
              <w:rPr>
                <w:rFonts w:ascii="Times New Roman" w:hAnsi="Times New Roman" w:cs="Times New Roman"/>
              </w:rPr>
            </w:pPr>
            <w:r w:rsidRPr="00BE2C1D">
              <w:rPr>
                <w:rFonts w:ascii="Times New Roman" w:hAnsi="Times New Roman" w:cs="Times New Roman"/>
              </w:rPr>
              <w:t>In most cases of short stature, distribution of IQ is within the normal range.</w:t>
            </w:r>
          </w:p>
          <w:p w14:paraId="4CB0CA26" w14:textId="77777777" w:rsidR="00BE2C1D" w:rsidRPr="00BE2C1D" w:rsidRDefault="00BE2C1D" w:rsidP="00BE2C1D">
            <w:pPr>
              <w:rPr>
                <w:rFonts w:ascii="Times New Roman" w:hAnsi="Times New Roman" w:cs="Times New Roman"/>
                <w:i/>
              </w:rPr>
            </w:pPr>
            <w:r w:rsidRPr="00BE2C1D">
              <w:rPr>
                <w:rFonts w:ascii="Times New Roman" w:hAnsi="Times New Roman" w:cs="Times New Roman"/>
                <w:i/>
              </w:rPr>
              <w:t>School achievement:</w:t>
            </w:r>
          </w:p>
          <w:p w14:paraId="354804F3" w14:textId="77777777" w:rsidR="00BE2C1D" w:rsidRPr="00BE2C1D" w:rsidRDefault="00BE2C1D" w:rsidP="00BE2C1D">
            <w:pPr>
              <w:rPr>
                <w:rFonts w:ascii="Times New Roman" w:hAnsi="Times New Roman" w:cs="Times New Roman"/>
              </w:rPr>
            </w:pPr>
            <w:r w:rsidRPr="00BE2C1D">
              <w:rPr>
                <w:rFonts w:ascii="Times New Roman" w:hAnsi="Times New Roman" w:cs="Times New Roman"/>
              </w:rPr>
              <w:t>Scholastic underachievement</w:t>
            </w:r>
          </w:p>
          <w:p w14:paraId="26F29C65" w14:textId="77777777" w:rsidR="00BE2C1D" w:rsidRPr="00BE2C1D" w:rsidRDefault="00BE2C1D" w:rsidP="00BE2C1D">
            <w:pPr>
              <w:rPr>
                <w:rFonts w:ascii="Times New Roman" w:hAnsi="Times New Roman" w:cs="Times New Roman"/>
              </w:rPr>
            </w:pPr>
            <w:r w:rsidRPr="00BE2C1D">
              <w:rPr>
                <w:rFonts w:ascii="Times New Roman" w:hAnsi="Times New Roman" w:cs="Times New Roman"/>
              </w:rPr>
              <w:t xml:space="preserve">Grade retention </w:t>
            </w:r>
          </w:p>
          <w:p w14:paraId="4466986C" w14:textId="77777777" w:rsidR="00BE2C1D" w:rsidRPr="00BE2C1D" w:rsidRDefault="00BE2C1D" w:rsidP="00BE2C1D">
            <w:pPr>
              <w:rPr>
                <w:rFonts w:ascii="Times New Roman" w:hAnsi="Times New Roman" w:cs="Times New Roman"/>
                <w:i/>
              </w:rPr>
            </w:pPr>
            <w:r w:rsidRPr="00BE2C1D">
              <w:rPr>
                <w:rFonts w:ascii="Times New Roman" w:hAnsi="Times New Roman" w:cs="Times New Roman"/>
                <w:i/>
              </w:rPr>
              <w:t>Adult attitudes:</w:t>
            </w:r>
          </w:p>
          <w:p w14:paraId="2EF236E2" w14:textId="77777777" w:rsidR="00BE2C1D" w:rsidRPr="00BE2C1D" w:rsidRDefault="00BE2C1D" w:rsidP="00BE2C1D">
            <w:pPr>
              <w:rPr>
                <w:rFonts w:ascii="Times New Roman" w:hAnsi="Times New Roman" w:cs="Times New Roman"/>
              </w:rPr>
            </w:pPr>
            <w:r w:rsidRPr="00BE2C1D">
              <w:rPr>
                <w:rFonts w:ascii="Times New Roman" w:hAnsi="Times New Roman" w:cs="Times New Roman"/>
              </w:rPr>
              <w:t>Treatment at a size appropriate (“height age”) rather than age appropriate from parents, teachers and medical staff is a recurrent theme.</w:t>
            </w:r>
          </w:p>
        </w:tc>
      </w:tr>
      <w:tr w:rsidR="00BE2C1D" w:rsidRPr="00BE2C1D" w14:paraId="27BB6E3A" w14:textId="77777777" w:rsidTr="00BE2C1D">
        <w:trPr>
          <w:trHeight w:val="2780"/>
        </w:trPr>
        <w:tc>
          <w:tcPr>
            <w:tcW w:w="1130" w:type="dxa"/>
          </w:tcPr>
          <w:p w14:paraId="62D96AA9" w14:textId="77777777" w:rsidR="00BE2C1D" w:rsidRPr="00BE2C1D" w:rsidRDefault="00BE2C1D" w:rsidP="00BE2C1D">
            <w:r w:rsidRPr="00BE2C1D">
              <w:lastRenderedPageBreak/>
              <w:t>1990s</w:t>
            </w:r>
          </w:p>
        </w:tc>
        <w:tc>
          <w:tcPr>
            <w:tcW w:w="2244" w:type="dxa"/>
          </w:tcPr>
          <w:p w14:paraId="49DDBD65" w14:textId="77777777" w:rsidR="00BE2C1D" w:rsidRPr="00BE2C1D" w:rsidRDefault="00BE2C1D" w:rsidP="00BE2C1D">
            <w:pPr>
              <w:rPr>
                <w:rFonts w:ascii="Times New Roman" w:hAnsi="Times New Roman" w:cs="Times New Roman"/>
              </w:rPr>
            </w:pPr>
            <w:r w:rsidRPr="00BE2C1D">
              <w:rPr>
                <w:rFonts w:ascii="Times New Roman" w:hAnsi="Times New Roman" w:cs="Times New Roman"/>
              </w:rPr>
              <w:t>Gilmour &amp; Skuse, 1996 (</w:t>
            </w:r>
            <w:r w:rsidRPr="00BE2C1D">
              <w:rPr>
                <w:rFonts w:ascii="Times New Roman" w:hAnsi="Times New Roman" w:cs="Times New Roman"/>
                <w:sz w:val="20"/>
                <w:szCs w:val="20"/>
              </w:rPr>
              <w:t xml:space="preserve">supported by </w:t>
            </w:r>
            <w:r w:rsidRPr="00BE2C1D">
              <w:rPr>
                <w:rFonts w:ascii="Times New Roman" w:hAnsi="Times New Roman" w:cs="Times New Roman"/>
                <w:b/>
                <w:sz w:val="20"/>
                <w:szCs w:val="20"/>
                <w:u w:val="single"/>
              </w:rPr>
              <w:t>Children Nationwide Pharmacia Kabi Peptide Hormones</w:t>
            </w:r>
            <w:r w:rsidRPr="00BE2C1D">
              <w:rPr>
                <w:rFonts w:ascii="Times New Roman" w:hAnsi="Times New Roman" w:cs="Times New Roman"/>
              </w:rPr>
              <w:t>)</w:t>
            </w:r>
          </w:p>
          <w:p w14:paraId="5AB7AA06" w14:textId="77777777" w:rsidR="00BE2C1D" w:rsidRPr="00BE2C1D" w:rsidRDefault="00BE2C1D" w:rsidP="00BE2C1D">
            <w:pPr>
              <w:rPr>
                <w:rFonts w:ascii="Times New Roman" w:hAnsi="Times New Roman" w:cs="Times New Roman"/>
              </w:rPr>
            </w:pPr>
          </w:p>
          <w:p w14:paraId="53029C51" w14:textId="77777777" w:rsidR="00BE2C1D" w:rsidRPr="00BE2C1D" w:rsidRDefault="00BE2C1D" w:rsidP="00BE2C1D">
            <w:pPr>
              <w:rPr>
                <w:rFonts w:ascii="Times New Roman" w:hAnsi="Times New Roman" w:cs="Times New Roman"/>
              </w:rPr>
            </w:pPr>
          </w:p>
          <w:p w14:paraId="2633BE19" w14:textId="77777777" w:rsidR="00BE2C1D" w:rsidRPr="00BE2C1D" w:rsidRDefault="00BE2C1D" w:rsidP="00BE2C1D">
            <w:pPr>
              <w:rPr>
                <w:rFonts w:ascii="Times New Roman" w:hAnsi="Times New Roman" w:cs="Times New Roman"/>
              </w:rPr>
            </w:pPr>
          </w:p>
          <w:p w14:paraId="2A10836D" w14:textId="77777777" w:rsidR="00BE2C1D" w:rsidRPr="00BE2C1D" w:rsidRDefault="00BE2C1D" w:rsidP="00BE2C1D">
            <w:pPr>
              <w:rPr>
                <w:rFonts w:ascii="Times New Roman" w:hAnsi="Times New Roman" w:cs="Times New Roman"/>
              </w:rPr>
            </w:pPr>
          </w:p>
          <w:p w14:paraId="568EA4DE" w14:textId="77777777" w:rsidR="00BE2C1D" w:rsidRPr="00BE2C1D" w:rsidRDefault="00BE2C1D" w:rsidP="00BE2C1D">
            <w:pPr>
              <w:rPr>
                <w:rFonts w:ascii="Times New Roman" w:hAnsi="Times New Roman" w:cs="Times New Roman"/>
              </w:rPr>
            </w:pPr>
          </w:p>
          <w:p w14:paraId="3957C24C" w14:textId="77777777" w:rsidR="00BE2C1D" w:rsidRPr="00BE2C1D" w:rsidRDefault="00BE2C1D" w:rsidP="00BE2C1D">
            <w:pPr>
              <w:rPr>
                <w:rFonts w:ascii="Times New Roman" w:hAnsi="Times New Roman" w:cs="Times New Roman"/>
              </w:rPr>
            </w:pPr>
          </w:p>
          <w:p w14:paraId="76C5BBCB" w14:textId="77777777" w:rsidR="00BE2C1D" w:rsidRPr="00BE2C1D" w:rsidRDefault="00BE2C1D" w:rsidP="00BE2C1D">
            <w:pPr>
              <w:rPr>
                <w:rFonts w:ascii="Times New Roman" w:hAnsi="Times New Roman" w:cs="Times New Roman"/>
              </w:rPr>
            </w:pPr>
          </w:p>
          <w:p w14:paraId="1AC240F3" w14:textId="77777777" w:rsidR="00BE2C1D" w:rsidRPr="00BE2C1D" w:rsidRDefault="00BE2C1D" w:rsidP="00BE2C1D">
            <w:pPr>
              <w:rPr>
                <w:rFonts w:ascii="Times New Roman" w:hAnsi="Times New Roman" w:cs="Times New Roman"/>
              </w:rPr>
            </w:pPr>
          </w:p>
          <w:p w14:paraId="29427AD4" w14:textId="77777777" w:rsidR="00BE2C1D" w:rsidRPr="00BE2C1D" w:rsidRDefault="00BE2C1D" w:rsidP="00BE2C1D">
            <w:pPr>
              <w:rPr>
                <w:rFonts w:ascii="Times New Roman" w:hAnsi="Times New Roman" w:cs="Times New Roman"/>
              </w:rPr>
            </w:pPr>
          </w:p>
          <w:p w14:paraId="766ED49B" w14:textId="77777777" w:rsidR="00BE2C1D" w:rsidRPr="00BE2C1D" w:rsidRDefault="00BE2C1D" w:rsidP="00BE2C1D">
            <w:pPr>
              <w:rPr>
                <w:rFonts w:ascii="Times New Roman" w:hAnsi="Times New Roman" w:cs="Times New Roman"/>
              </w:rPr>
            </w:pPr>
          </w:p>
          <w:p w14:paraId="14DF23FD" w14:textId="77777777" w:rsidR="00BE2C1D" w:rsidRPr="00BE2C1D" w:rsidRDefault="00BE2C1D" w:rsidP="00BE2C1D">
            <w:pPr>
              <w:rPr>
                <w:rFonts w:ascii="Times New Roman" w:hAnsi="Times New Roman" w:cs="Times New Roman"/>
              </w:rPr>
            </w:pPr>
          </w:p>
          <w:p w14:paraId="4F74671E" w14:textId="77777777" w:rsidR="00BE2C1D" w:rsidRPr="00BE2C1D" w:rsidRDefault="00BE2C1D" w:rsidP="00BE2C1D">
            <w:pPr>
              <w:rPr>
                <w:rFonts w:ascii="Times New Roman" w:hAnsi="Times New Roman" w:cs="Times New Roman"/>
              </w:rPr>
            </w:pPr>
          </w:p>
          <w:p w14:paraId="3FA4CB4E" w14:textId="77777777" w:rsidR="00BE2C1D" w:rsidRPr="00BE2C1D" w:rsidRDefault="00BE2C1D" w:rsidP="00BE2C1D">
            <w:pPr>
              <w:rPr>
                <w:rFonts w:ascii="Times New Roman" w:hAnsi="Times New Roman" w:cs="Times New Roman"/>
              </w:rPr>
            </w:pPr>
          </w:p>
          <w:p w14:paraId="30184E45" w14:textId="77777777" w:rsidR="00BE2C1D" w:rsidRPr="00BE2C1D" w:rsidRDefault="00BE2C1D" w:rsidP="00BE2C1D">
            <w:pPr>
              <w:rPr>
                <w:rFonts w:ascii="Times New Roman" w:hAnsi="Times New Roman" w:cs="Times New Roman"/>
              </w:rPr>
            </w:pPr>
          </w:p>
          <w:p w14:paraId="2F7F8C3A" w14:textId="77777777" w:rsidR="00BE2C1D" w:rsidRPr="00BE2C1D" w:rsidRDefault="00BE2C1D" w:rsidP="00BE2C1D">
            <w:pPr>
              <w:rPr>
                <w:rFonts w:ascii="Times New Roman" w:hAnsi="Times New Roman" w:cs="Times New Roman"/>
              </w:rPr>
            </w:pPr>
          </w:p>
          <w:p w14:paraId="4B335AC5" w14:textId="77777777" w:rsidR="00BE2C1D" w:rsidRPr="00BE2C1D" w:rsidRDefault="00BE2C1D" w:rsidP="00BE2C1D">
            <w:pPr>
              <w:rPr>
                <w:rFonts w:ascii="Times New Roman" w:hAnsi="Times New Roman" w:cs="Times New Roman"/>
              </w:rPr>
            </w:pPr>
          </w:p>
          <w:p w14:paraId="0C2E1F45" w14:textId="77777777" w:rsidR="00BE2C1D" w:rsidRPr="00BE2C1D" w:rsidRDefault="00BE2C1D" w:rsidP="00BE2C1D">
            <w:pPr>
              <w:rPr>
                <w:rFonts w:ascii="Times New Roman" w:hAnsi="Times New Roman" w:cs="Times New Roman"/>
              </w:rPr>
            </w:pPr>
          </w:p>
          <w:p w14:paraId="60725C87" w14:textId="77777777" w:rsidR="00BE2C1D" w:rsidRPr="00BE2C1D" w:rsidRDefault="00BE2C1D" w:rsidP="00BE2C1D">
            <w:pPr>
              <w:rPr>
                <w:rFonts w:ascii="Times New Roman" w:hAnsi="Times New Roman" w:cs="Times New Roman"/>
              </w:rPr>
            </w:pPr>
          </w:p>
          <w:p w14:paraId="1E54854E" w14:textId="77777777" w:rsidR="00BE2C1D" w:rsidRPr="00BE2C1D" w:rsidRDefault="00BE2C1D" w:rsidP="00BE2C1D">
            <w:pPr>
              <w:rPr>
                <w:rFonts w:ascii="Times New Roman" w:hAnsi="Times New Roman" w:cs="Times New Roman"/>
              </w:rPr>
            </w:pPr>
          </w:p>
          <w:p w14:paraId="2B8AC825" w14:textId="77777777" w:rsidR="00BE2C1D" w:rsidRPr="00BE2C1D" w:rsidRDefault="00BE2C1D" w:rsidP="00BE2C1D">
            <w:pPr>
              <w:rPr>
                <w:rFonts w:ascii="Times New Roman" w:hAnsi="Times New Roman" w:cs="Times New Roman"/>
              </w:rPr>
            </w:pPr>
          </w:p>
          <w:p w14:paraId="062CFFDF" w14:textId="77777777" w:rsidR="00BE2C1D" w:rsidRPr="00BE2C1D" w:rsidRDefault="00BE2C1D" w:rsidP="00BE2C1D">
            <w:pPr>
              <w:rPr>
                <w:rFonts w:ascii="Times New Roman" w:hAnsi="Times New Roman" w:cs="Times New Roman"/>
              </w:rPr>
            </w:pPr>
          </w:p>
          <w:p w14:paraId="0760CBFB" w14:textId="77777777" w:rsidR="00BE2C1D" w:rsidRPr="00BE2C1D" w:rsidRDefault="00BE2C1D" w:rsidP="00BE2C1D">
            <w:pPr>
              <w:rPr>
                <w:rFonts w:ascii="Times New Roman" w:hAnsi="Times New Roman" w:cs="Times New Roman"/>
              </w:rPr>
            </w:pPr>
          </w:p>
          <w:p w14:paraId="277E17FA" w14:textId="77777777" w:rsidR="00BE2C1D" w:rsidRPr="00BE2C1D" w:rsidRDefault="00BE2C1D" w:rsidP="00BE2C1D">
            <w:pPr>
              <w:rPr>
                <w:rFonts w:ascii="Times New Roman" w:hAnsi="Times New Roman" w:cs="Times New Roman"/>
              </w:rPr>
            </w:pPr>
          </w:p>
          <w:p w14:paraId="2B6AA9B6" w14:textId="77777777" w:rsidR="00BE2C1D" w:rsidRPr="00BE2C1D" w:rsidRDefault="00BE2C1D" w:rsidP="00BE2C1D">
            <w:pPr>
              <w:rPr>
                <w:rFonts w:ascii="Times New Roman" w:hAnsi="Times New Roman" w:cs="Times New Roman"/>
              </w:rPr>
            </w:pPr>
          </w:p>
          <w:p w14:paraId="35FD876E" w14:textId="77777777" w:rsidR="00BE2C1D" w:rsidRPr="00BE2C1D" w:rsidRDefault="00BE2C1D" w:rsidP="00BE2C1D">
            <w:pPr>
              <w:rPr>
                <w:rFonts w:ascii="Times New Roman" w:hAnsi="Times New Roman" w:cs="Times New Roman"/>
              </w:rPr>
            </w:pPr>
          </w:p>
          <w:p w14:paraId="5A415868" w14:textId="77777777" w:rsidR="00BE2C1D" w:rsidRPr="00BE2C1D" w:rsidRDefault="00BE2C1D" w:rsidP="00BE2C1D">
            <w:pPr>
              <w:rPr>
                <w:rFonts w:ascii="Times New Roman" w:hAnsi="Times New Roman" w:cs="Times New Roman"/>
              </w:rPr>
            </w:pPr>
          </w:p>
          <w:p w14:paraId="17E978A2" w14:textId="77777777" w:rsidR="00BE2C1D" w:rsidRPr="00BE2C1D" w:rsidRDefault="00BE2C1D" w:rsidP="00BE2C1D">
            <w:pPr>
              <w:rPr>
                <w:rFonts w:ascii="Times New Roman" w:hAnsi="Times New Roman" w:cs="Times New Roman"/>
              </w:rPr>
            </w:pPr>
          </w:p>
          <w:p w14:paraId="72C59313" w14:textId="77777777" w:rsidR="00BE2C1D" w:rsidRPr="00BE2C1D" w:rsidRDefault="00BE2C1D" w:rsidP="00BE2C1D">
            <w:pPr>
              <w:rPr>
                <w:rFonts w:ascii="Times New Roman" w:hAnsi="Times New Roman" w:cs="Times New Roman"/>
              </w:rPr>
            </w:pPr>
          </w:p>
          <w:p w14:paraId="20A830E5" w14:textId="77777777" w:rsidR="00BE2C1D" w:rsidRPr="00BE2C1D" w:rsidRDefault="00BE2C1D" w:rsidP="00BE2C1D">
            <w:pPr>
              <w:rPr>
                <w:rFonts w:ascii="Times New Roman" w:hAnsi="Times New Roman" w:cs="Times New Roman"/>
              </w:rPr>
            </w:pPr>
            <w:r w:rsidRPr="00BE2C1D">
              <w:rPr>
                <w:rFonts w:ascii="Times New Roman" w:hAnsi="Times New Roman" w:cs="Times New Roman"/>
                <w:noProof/>
                <w:lang w:eastAsia="en-GB"/>
              </w:rPr>
              <w:lastRenderedPageBreak/>
              <mc:AlternateContent>
                <mc:Choice Requires="wps">
                  <w:drawing>
                    <wp:anchor distT="0" distB="0" distL="114300" distR="114300" simplePos="0" relativeHeight="251715584" behindDoc="0" locked="0" layoutInCell="1" allowOverlap="1" wp14:anchorId="0C0DEA50" wp14:editId="0CE2C3A0">
                      <wp:simplePos x="0" y="0"/>
                      <wp:positionH relativeFrom="column">
                        <wp:posOffset>-62230</wp:posOffset>
                      </wp:positionH>
                      <wp:positionV relativeFrom="paragraph">
                        <wp:posOffset>78105</wp:posOffset>
                      </wp:positionV>
                      <wp:extent cx="5954395" cy="10795"/>
                      <wp:effectExtent l="0" t="0" r="27305" b="27305"/>
                      <wp:wrapNone/>
                      <wp:docPr id="40" name="Straight Connector 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54395" cy="10795"/>
                              </a:xfrm>
                              <a:prstGeom prst="line">
                                <a:avLst/>
                              </a:prstGeom>
                              <a:noFill/>
                              <a:ln w="6350" cap="flat" cmpd="sng" algn="ctr">
                                <a:solidFill>
                                  <a:srgbClr val="4472C4"/>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18CD1A99" id="Straight Connector 40" o:spid="_x0000_s1026" style="position:absolute;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pt,6.15pt" to="463.9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Nrg2AEAAJYDAAAOAAAAZHJzL2Uyb0RvYy54bWysU8uO2jAU3VfqP1jelwQmzCMizAI03Yxa&#10;JNoPuDhOYtUvXbsE/r7XDjCddlc1C8u+j+N7jk9Wzyej2VFiUM42fD4rOZNWuFbZvuHfv718euQs&#10;RLAtaGdlw88y8Of1xw+r0ddy4QanW4mMQGyoR9/wIUZfF0UQgzQQZs5LS8nOoYFIR+yLFmEkdKOL&#10;RVneF6PD1qMTMgSKbqckX2f8rpMifu26ICPTDafZYl4xr4e0FusV1D2CH5S4jAH/MIUBZenSG9QW&#10;IrCfqP6CMkqgC66LM+FM4bpOCZk5EJt5+Qeb/QBeZi4kTvA3mcL/gxVfjjtkqm14RfJYMPRG+4ig&#10;+iGyjbOWFHTIKElKjT7U1LCxO0xcxcnu/asTPwLlinfJdAh+Kjt1aFI5kWWnrPz5prw8RSYouHxa&#10;VndPS84E5eblA20TJtTXZo8hfpbOsLRpuFY2CQM1HF9DnEqvJSls3YvSmuJQa8vGht/fLYmfALJY&#10;pyHS1ngiHWzPGeievCsiZsTgtGpTd2oO2B82GtkRyD9V9bDYVJfB3pWlq7cQhqkupyZnGRXJ3lqZ&#10;hj+W6bt0a5vQZTbohcCbZGl3cO15h1dd6fGzGhejJnf9fs7qv/1O618AAAD//wMAUEsDBBQABgAI&#10;AAAAIQABeV9I3wAAAAgBAAAPAAAAZHJzL2Rvd25yZXYueG1sTI/BTsMwEETvSPyDtUjcWrsBQhPi&#10;VBSJAxdUWg5wc+MlCcTrELtp+PsuJzjOzGrmbbGaXCdGHELrScNirkAgVd62VGt43T3OliBCNGRN&#10;5wk1/GCAVXl+Vpjc+iO94LiNteASCrnR0MTY51KGqkFnwtz3SJx9+MGZyHKopR3MkctdJxOlUulM&#10;S7zQmB4fGqy+tgenYZfebJZxsXn6Vu9v6yxN8HNcP2t9eTHd34GIOMW/Y/jFZ3QomWnvD2SD6DTM&#10;MiaP7CdXIDjPktsMxJ6NawWyLOT/B8oTAAAA//8DAFBLAQItABQABgAIAAAAIQC2gziS/gAAAOEB&#10;AAATAAAAAAAAAAAAAAAAAAAAAABbQ29udGVudF9UeXBlc10ueG1sUEsBAi0AFAAGAAgAAAAhADj9&#10;If/WAAAAlAEAAAsAAAAAAAAAAAAAAAAALwEAAF9yZWxzLy5yZWxzUEsBAi0AFAAGAAgAAAAhAGGM&#10;2uDYAQAAlgMAAA4AAAAAAAAAAAAAAAAALgIAAGRycy9lMm9Eb2MueG1sUEsBAi0AFAAGAAgAAAAh&#10;AAF5X0jfAAAACAEAAA8AAAAAAAAAAAAAAAAAMgQAAGRycy9kb3ducmV2LnhtbFBLBQYAAAAABAAE&#10;APMAAAA+BQAAAAA=&#10;" strokecolor="#4472c4" strokeweight=".5pt">
                      <v:stroke joinstyle="miter"/>
                      <o:lock v:ext="edit" shapetype="f"/>
                    </v:line>
                  </w:pict>
                </mc:Fallback>
              </mc:AlternateContent>
            </w:r>
          </w:p>
          <w:p w14:paraId="6F6897BB" w14:textId="77777777" w:rsidR="00BE2C1D" w:rsidRPr="00BE2C1D" w:rsidRDefault="00BE2C1D" w:rsidP="00BE2C1D">
            <w:pPr>
              <w:rPr>
                <w:rFonts w:ascii="Times New Roman" w:hAnsi="Times New Roman" w:cs="Times New Roman"/>
              </w:rPr>
            </w:pPr>
            <w:r w:rsidRPr="00BE2C1D">
              <w:rPr>
                <w:rFonts w:ascii="Times New Roman" w:hAnsi="Times New Roman" w:cs="Times New Roman"/>
              </w:rPr>
              <w:t xml:space="preserve">Downie, Mulligan, McCaugheym Stratford, Betts &amp; Voss, 1996 </w:t>
            </w:r>
            <w:r w:rsidRPr="00BE2C1D">
              <w:rPr>
                <w:rFonts w:ascii="Times New Roman" w:hAnsi="Times New Roman" w:cs="Times New Roman"/>
                <w:sz w:val="20"/>
                <w:szCs w:val="20"/>
              </w:rPr>
              <w:t xml:space="preserve">(supported by a research grant from  the </w:t>
            </w:r>
            <w:r w:rsidRPr="00BE2C1D">
              <w:rPr>
                <w:rFonts w:ascii="Times New Roman" w:hAnsi="Times New Roman" w:cs="Times New Roman"/>
                <w:b/>
                <w:sz w:val="20"/>
                <w:szCs w:val="20"/>
                <w:u w:val="single"/>
              </w:rPr>
              <w:t>Wessex</w:t>
            </w:r>
            <w:r w:rsidRPr="00BE2C1D">
              <w:rPr>
                <w:rFonts w:ascii="Times New Roman" w:hAnsi="Times New Roman" w:cs="Times New Roman"/>
                <w:sz w:val="20"/>
                <w:szCs w:val="20"/>
              </w:rPr>
              <w:t xml:space="preserve"> Regional Health Authority Research and Development Fund , and by a grant to the </w:t>
            </w:r>
            <w:r w:rsidRPr="00BE2C1D">
              <w:rPr>
                <w:rFonts w:ascii="Times New Roman" w:hAnsi="Times New Roman" w:cs="Times New Roman"/>
                <w:b/>
                <w:sz w:val="20"/>
                <w:szCs w:val="20"/>
                <w:u w:val="single"/>
              </w:rPr>
              <w:t xml:space="preserve">Wessex </w:t>
            </w:r>
            <w:r w:rsidRPr="00BE2C1D">
              <w:rPr>
                <w:rFonts w:ascii="Times New Roman" w:hAnsi="Times New Roman" w:cs="Times New Roman"/>
                <w:sz w:val="20"/>
                <w:szCs w:val="20"/>
              </w:rPr>
              <w:t>Medical School Trust from Pharmacia UK)</w:t>
            </w:r>
          </w:p>
          <w:p w14:paraId="1A91D945" w14:textId="77777777" w:rsidR="00BE2C1D" w:rsidRPr="00BE2C1D" w:rsidRDefault="00BE2C1D" w:rsidP="00BE2C1D">
            <w:pPr>
              <w:rPr>
                <w:rFonts w:ascii="Times New Roman" w:hAnsi="Times New Roman" w:cs="Times New Roman"/>
                <w:sz w:val="20"/>
                <w:szCs w:val="20"/>
              </w:rPr>
            </w:pPr>
          </w:p>
          <w:p w14:paraId="6848FB1D" w14:textId="77777777" w:rsidR="00BE2C1D" w:rsidRPr="00BE2C1D" w:rsidRDefault="00BE2C1D" w:rsidP="00BE2C1D">
            <w:pPr>
              <w:rPr>
                <w:rFonts w:ascii="Times New Roman" w:hAnsi="Times New Roman" w:cs="Times New Roman"/>
                <w:sz w:val="20"/>
                <w:szCs w:val="20"/>
              </w:rPr>
            </w:pPr>
          </w:p>
          <w:p w14:paraId="52D67993" w14:textId="77777777" w:rsidR="00BE2C1D" w:rsidRPr="00BE2C1D" w:rsidRDefault="00BE2C1D" w:rsidP="00BE2C1D">
            <w:pPr>
              <w:rPr>
                <w:rFonts w:ascii="Times New Roman" w:hAnsi="Times New Roman" w:cs="Times New Roman"/>
                <w:sz w:val="20"/>
                <w:szCs w:val="20"/>
              </w:rPr>
            </w:pPr>
          </w:p>
          <w:p w14:paraId="0902E7C7" w14:textId="77777777" w:rsidR="00BE2C1D" w:rsidRPr="00BE2C1D" w:rsidRDefault="00BE2C1D" w:rsidP="00BE2C1D">
            <w:pPr>
              <w:rPr>
                <w:rFonts w:ascii="Times New Roman" w:hAnsi="Times New Roman" w:cs="Times New Roman"/>
              </w:rPr>
            </w:pPr>
          </w:p>
          <w:p w14:paraId="4F827BEF" w14:textId="77777777" w:rsidR="00BE2C1D" w:rsidRPr="00BE2C1D" w:rsidRDefault="00BE2C1D" w:rsidP="00BE2C1D">
            <w:pPr>
              <w:rPr>
                <w:rFonts w:ascii="Times New Roman" w:hAnsi="Times New Roman" w:cs="Times New Roman"/>
              </w:rPr>
            </w:pPr>
          </w:p>
          <w:p w14:paraId="5BD953F8" w14:textId="77777777" w:rsidR="00BE2C1D" w:rsidRPr="00BE2C1D" w:rsidRDefault="00BE2C1D" w:rsidP="00BE2C1D">
            <w:pPr>
              <w:rPr>
                <w:rFonts w:ascii="Times New Roman" w:hAnsi="Times New Roman" w:cs="Times New Roman"/>
              </w:rPr>
            </w:pPr>
          </w:p>
          <w:p w14:paraId="3B772A42" w14:textId="77777777" w:rsidR="00BE2C1D" w:rsidRPr="00BE2C1D" w:rsidRDefault="00BE2C1D" w:rsidP="00BE2C1D">
            <w:pPr>
              <w:rPr>
                <w:rFonts w:ascii="Times New Roman" w:hAnsi="Times New Roman" w:cs="Times New Roman"/>
              </w:rPr>
            </w:pPr>
          </w:p>
          <w:p w14:paraId="659D05A8" w14:textId="77777777" w:rsidR="00BE2C1D" w:rsidRPr="00BE2C1D" w:rsidRDefault="00BE2C1D" w:rsidP="00BE2C1D">
            <w:pPr>
              <w:rPr>
                <w:rFonts w:ascii="Times New Roman" w:hAnsi="Times New Roman" w:cs="Times New Roman"/>
              </w:rPr>
            </w:pPr>
          </w:p>
          <w:p w14:paraId="53EEFC82" w14:textId="77777777" w:rsidR="00BE2C1D" w:rsidRPr="00BE2C1D" w:rsidRDefault="00BE2C1D" w:rsidP="00BE2C1D">
            <w:pPr>
              <w:rPr>
                <w:rFonts w:ascii="Times New Roman" w:hAnsi="Times New Roman" w:cs="Times New Roman"/>
              </w:rPr>
            </w:pPr>
          </w:p>
          <w:p w14:paraId="1259F872" w14:textId="77777777" w:rsidR="00BE2C1D" w:rsidRPr="00BE2C1D" w:rsidRDefault="00BE2C1D" w:rsidP="00BE2C1D">
            <w:pPr>
              <w:rPr>
                <w:rFonts w:ascii="Times New Roman" w:hAnsi="Times New Roman" w:cs="Times New Roman"/>
              </w:rPr>
            </w:pPr>
          </w:p>
          <w:p w14:paraId="209CF280" w14:textId="77777777" w:rsidR="00BE2C1D" w:rsidRPr="00BE2C1D" w:rsidRDefault="00BE2C1D" w:rsidP="00BE2C1D">
            <w:pPr>
              <w:rPr>
                <w:rFonts w:ascii="Times New Roman" w:hAnsi="Times New Roman" w:cs="Times New Roman"/>
              </w:rPr>
            </w:pPr>
          </w:p>
          <w:p w14:paraId="400FDE1C" w14:textId="77777777" w:rsidR="00BE2C1D" w:rsidRPr="00BE2C1D" w:rsidRDefault="00BE2C1D" w:rsidP="00BE2C1D">
            <w:pPr>
              <w:rPr>
                <w:rFonts w:ascii="Times New Roman" w:hAnsi="Times New Roman" w:cs="Times New Roman"/>
              </w:rPr>
            </w:pPr>
          </w:p>
          <w:p w14:paraId="3BC8A832" w14:textId="77777777" w:rsidR="00BE2C1D" w:rsidRPr="00BE2C1D" w:rsidRDefault="00BE2C1D" w:rsidP="00BE2C1D">
            <w:pPr>
              <w:rPr>
                <w:rFonts w:ascii="Times New Roman" w:hAnsi="Times New Roman" w:cs="Times New Roman"/>
              </w:rPr>
            </w:pPr>
          </w:p>
          <w:p w14:paraId="1BE95FB5" w14:textId="77777777" w:rsidR="00BE2C1D" w:rsidRPr="00BE2C1D" w:rsidRDefault="00BE2C1D" w:rsidP="00BE2C1D">
            <w:pPr>
              <w:rPr>
                <w:rFonts w:ascii="Times New Roman" w:hAnsi="Times New Roman" w:cs="Times New Roman"/>
              </w:rPr>
            </w:pPr>
          </w:p>
          <w:p w14:paraId="6309588D" w14:textId="77777777" w:rsidR="00BE2C1D" w:rsidRPr="00BE2C1D" w:rsidRDefault="00BE2C1D" w:rsidP="00BE2C1D">
            <w:pPr>
              <w:rPr>
                <w:rFonts w:ascii="Times New Roman" w:hAnsi="Times New Roman" w:cs="Times New Roman"/>
              </w:rPr>
            </w:pPr>
          </w:p>
          <w:p w14:paraId="78970318" w14:textId="77777777" w:rsidR="00BE2C1D" w:rsidRPr="00BE2C1D" w:rsidRDefault="00BE2C1D" w:rsidP="00BE2C1D">
            <w:pPr>
              <w:rPr>
                <w:rFonts w:ascii="Times New Roman" w:hAnsi="Times New Roman" w:cs="Times New Roman"/>
              </w:rPr>
            </w:pPr>
          </w:p>
          <w:p w14:paraId="545EA2CF" w14:textId="77777777" w:rsidR="00BE2C1D" w:rsidRPr="00BE2C1D" w:rsidRDefault="00BE2C1D" w:rsidP="00BE2C1D">
            <w:pPr>
              <w:rPr>
                <w:rFonts w:ascii="Times New Roman" w:hAnsi="Times New Roman" w:cs="Times New Roman"/>
              </w:rPr>
            </w:pPr>
          </w:p>
          <w:p w14:paraId="4D98B90A" w14:textId="77777777" w:rsidR="00BE2C1D" w:rsidRPr="00BE2C1D" w:rsidRDefault="00BE2C1D" w:rsidP="00BE2C1D">
            <w:pPr>
              <w:rPr>
                <w:rFonts w:ascii="Times New Roman" w:hAnsi="Times New Roman" w:cs="Times New Roman"/>
              </w:rPr>
            </w:pPr>
          </w:p>
          <w:p w14:paraId="76FF864D" w14:textId="77777777" w:rsidR="00BE2C1D" w:rsidRPr="00BE2C1D" w:rsidRDefault="00BE2C1D" w:rsidP="00BE2C1D">
            <w:pPr>
              <w:rPr>
                <w:rFonts w:ascii="Times New Roman" w:hAnsi="Times New Roman" w:cs="Times New Roman"/>
              </w:rPr>
            </w:pPr>
          </w:p>
          <w:p w14:paraId="43D037BA" w14:textId="77777777" w:rsidR="00BE2C1D" w:rsidRPr="00BE2C1D" w:rsidRDefault="00BE2C1D" w:rsidP="00BE2C1D">
            <w:pPr>
              <w:rPr>
                <w:rFonts w:ascii="Times New Roman" w:hAnsi="Times New Roman" w:cs="Times New Roman"/>
              </w:rPr>
            </w:pPr>
          </w:p>
          <w:p w14:paraId="25F6A8DF" w14:textId="77777777" w:rsidR="00BE2C1D" w:rsidRPr="00BE2C1D" w:rsidRDefault="00BE2C1D" w:rsidP="00BE2C1D">
            <w:pPr>
              <w:rPr>
                <w:rFonts w:ascii="Times New Roman" w:hAnsi="Times New Roman" w:cs="Times New Roman"/>
                <w:color w:val="4472C4" w:themeColor="accent1"/>
              </w:rPr>
            </w:pPr>
            <w:r w:rsidRPr="00BE2C1D">
              <w:rPr>
                <w:rFonts w:ascii="Times New Roman" w:hAnsi="Times New Roman" w:cs="Times New Roman"/>
                <w:noProof/>
                <w:lang w:eastAsia="en-GB"/>
              </w:rPr>
              <mc:AlternateContent>
                <mc:Choice Requires="wps">
                  <w:drawing>
                    <wp:anchor distT="4294967295" distB="4294967295" distL="114300" distR="114300" simplePos="0" relativeHeight="251713536" behindDoc="0" locked="0" layoutInCell="1" allowOverlap="1" wp14:anchorId="72778C51" wp14:editId="6F4EEC4B">
                      <wp:simplePos x="0" y="0"/>
                      <wp:positionH relativeFrom="column">
                        <wp:posOffset>-83820</wp:posOffset>
                      </wp:positionH>
                      <wp:positionV relativeFrom="paragraph">
                        <wp:posOffset>292099</wp:posOffset>
                      </wp:positionV>
                      <wp:extent cx="5965825" cy="0"/>
                      <wp:effectExtent l="0" t="0" r="0" b="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65825" cy="0"/>
                              </a:xfrm>
                              <a:prstGeom prst="line">
                                <a:avLst/>
                              </a:prstGeom>
                              <a:noFill/>
                              <a:ln w="6350" cap="flat" cmpd="sng" algn="ctr">
                                <a:solidFill>
                                  <a:srgbClr val="4472C4"/>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167947D0" id="Straight Connector 2" o:spid="_x0000_s1026" style="position:absolute;z-index:2517135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6pt,23pt" to="463.15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mF91AEAAJADAAAOAAAAZHJzL2Uyb0RvYy54bWysU02P0zAQvSPxHyzfabKhLSVquodWy2UF&#10;lbr8gKnjJBb+0tg06b9n7H6wCzdEDtbYM37j9+Zl/TgZzU4Sg3K24Q+zkjNphWuV7Rv+/eXpw4qz&#10;EMG2oJ2VDT/LwB8379+tR1/Lyg1OtxIZgdhQj77hQ4y+LoogBmkgzJyXlpKdQwORttgXLcJI6EYX&#10;VVkui9Fh69EJGQKd7i5Jvsn4XSdF/NZ1QUamG05vi3nFvB7TWmzWUPcIflDi+gz4h1cYUJaa3qF2&#10;EIH9RPUXlFECXXBdnAlnCtd1SsjMgdg8lH+wOQzgZeZC4gR/lyn8P1jx9bRHptqGV5xZMDSiQ0RQ&#10;/RDZ1llLAjpkVdJp9KGm8q3dY2IqJnvwz078CJQr3iTTJvhL2dShSeVElU1Z9/NddzlFJuhw8Xm5&#10;WFULzsQtV0B9u+gxxC/SGZaChmtlkyRQw+k5xNQa6ltJOrbuSWmdx6otGxu+/LigwQsgc3UaIoXG&#10;E91ge85A9+RaETEjBqdVm24nnID9cauRnYCcM59/qrbzJAJ1e1OWWu8gDJe6nLp4yqhIxtbKNHxV&#10;pu96W9uELrM1rwR+y5Wio2vPe7xpSmPPTa8WTb56vaf49Y+0+QUAAP//AwBQSwMEFAAGAAgAAAAh&#10;AFE5P67fAAAACQEAAA8AAABkcnMvZG93bnJldi54bWxMj8FOwzAMhu9IvENkJG5b2g6irTSdGBIH&#10;LmhsHOCWNaYtNE5psq68PUYc4Gj70+/vL9aT68SIQ2g9aUjnCQikytuWag3P+/vZEkSIhqzpPKGG&#10;LwywLs/PCpNbf6InHHexFhxCITcamhj7XMpQNehMmPseiW9vfnAm8jjU0g7mxOGuk1mSKOlMS/yh&#10;MT3eNVh97I5Ow15db5cx3T58Jq8vm5XK8H3cPGp9eTHd3oCIOMU/GH70WR1Kdjr4I9kgOg2zdJEx&#10;quFKcScGVplagDj8LmRZyP8Nym8AAAD//wMAUEsBAi0AFAAGAAgAAAAhALaDOJL+AAAA4QEAABMA&#10;AAAAAAAAAAAAAAAAAAAAAFtDb250ZW50X1R5cGVzXS54bWxQSwECLQAUAAYACAAAACEAOP0h/9YA&#10;AACUAQAACwAAAAAAAAAAAAAAAAAvAQAAX3JlbHMvLnJlbHNQSwECLQAUAAYACAAAACEAbnphfdQB&#10;AACQAwAADgAAAAAAAAAAAAAAAAAuAgAAZHJzL2Uyb0RvYy54bWxQSwECLQAUAAYACAAAACEAUTk/&#10;rt8AAAAJAQAADwAAAAAAAAAAAAAAAAAuBAAAZHJzL2Rvd25yZXYueG1sUEsFBgAAAAAEAAQA8wAA&#10;ADoFAAAAAA==&#10;" strokecolor="#4472c4" strokeweight=".5pt">
                      <v:stroke joinstyle="miter"/>
                      <o:lock v:ext="edit" shapetype="f"/>
                    </v:line>
                  </w:pict>
                </mc:Fallback>
              </mc:AlternateContent>
            </w:r>
          </w:p>
          <w:p w14:paraId="02B945BD" w14:textId="77777777" w:rsidR="00BE2C1D" w:rsidRPr="00BE2C1D" w:rsidRDefault="00BE2C1D" w:rsidP="00BE2C1D">
            <w:pPr>
              <w:rPr>
                <w:rFonts w:ascii="Times New Roman" w:hAnsi="Times New Roman" w:cs="Times New Roman"/>
                <w:sz w:val="20"/>
                <w:szCs w:val="20"/>
              </w:rPr>
            </w:pPr>
            <w:r w:rsidRPr="00BE2C1D">
              <w:rPr>
                <w:rFonts w:ascii="Times New Roman" w:hAnsi="Times New Roman" w:cs="Times New Roman"/>
              </w:rPr>
              <w:t xml:space="preserve">Dowdney, Skuse, Morris &amp; Pickles, 1998 </w:t>
            </w:r>
            <w:r w:rsidRPr="00BE2C1D">
              <w:rPr>
                <w:rFonts w:ascii="Times New Roman" w:hAnsi="Times New Roman" w:cs="Times New Roman"/>
                <w:sz w:val="20"/>
                <w:szCs w:val="20"/>
              </w:rPr>
              <w:t xml:space="preserve">(supported by a grant from the </w:t>
            </w:r>
            <w:r w:rsidRPr="00BE2C1D">
              <w:rPr>
                <w:rFonts w:ascii="Times New Roman" w:hAnsi="Times New Roman" w:cs="Times New Roman"/>
                <w:b/>
                <w:sz w:val="20"/>
                <w:szCs w:val="20"/>
                <w:u w:val="single"/>
              </w:rPr>
              <w:t xml:space="preserve">Bethlem </w:t>
            </w:r>
            <w:r w:rsidRPr="00BE2C1D">
              <w:rPr>
                <w:rFonts w:ascii="Times New Roman" w:hAnsi="Times New Roman" w:cs="Times New Roman"/>
                <w:b/>
                <w:sz w:val="20"/>
                <w:szCs w:val="20"/>
                <w:u w:val="single"/>
              </w:rPr>
              <w:lastRenderedPageBreak/>
              <w:t xml:space="preserve">Royal </w:t>
            </w:r>
            <w:r w:rsidRPr="00BE2C1D">
              <w:rPr>
                <w:rFonts w:ascii="Times New Roman" w:hAnsi="Times New Roman" w:cs="Times New Roman"/>
                <w:sz w:val="20"/>
                <w:szCs w:val="20"/>
              </w:rPr>
              <w:t xml:space="preserve">and </w:t>
            </w:r>
            <w:r w:rsidRPr="00BE2C1D">
              <w:rPr>
                <w:rFonts w:ascii="Times New Roman" w:hAnsi="Times New Roman" w:cs="Times New Roman"/>
                <w:b/>
                <w:sz w:val="20"/>
                <w:szCs w:val="20"/>
                <w:u w:val="single"/>
              </w:rPr>
              <w:t xml:space="preserve">Maudsley Hospitals Research Endowment </w:t>
            </w:r>
            <w:r w:rsidRPr="00BE2C1D">
              <w:rPr>
                <w:rFonts w:ascii="Times New Roman" w:hAnsi="Times New Roman" w:cs="Times New Roman"/>
                <w:sz w:val="20"/>
                <w:szCs w:val="20"/>
              </w:rPr>
              <w:t xml:space="preserve">Fund, and the follow up study was supported </w:t>
            </w:r>
            <w:r w:rsidRPr="00BE2C1D">
              <w:rPr>
                <w:rFonts w:ascii="Times New Roman" w:hAnsi="Times New Roman" w:cs="Times New Roman"/>
                <w:b/>
                <w:sz w:val="20"/>
                <w:szCs w:val="20"/>
                <w:u w:val="single"/>
              </w:rPr>
              <w:t>by the Child Health Research Appeal Trust of Great Ormond Hospital for Children and the Institute of Child Health</w:t>
            </w:r>
            <w:r w:rsidRPr="00BE2C1D">
              <w:rPr>
                <w:rFonts w:ascii="Times New Roman" w:hAnsi="Times New Roman" w:cs="Times New Roman"/>
                <w:sz w:val="20"/>
                <w:szCs w:val="20"/>
              </w:rPr>
              <w:t>)</w:t>
            </w:r>
          </w:p>
          <w:p w14:paraId="18B50528" w14:textId="77777777" w:rsidR="00BE2C1D" w:rsidRPr="00BE2C1D" w:rsidRDefault="00BE2C1D" w:rsidP="00BE2C1D">
            <w:pPr>
              <w:rPr>
                <w:rFonts w:ascii="Times New Roman" w:hAnsi="Times New Roman" w:cs="Times New Roman"/>
                <w:sz w:val="20"/>
                <w:szCs w:val="20"/>
              </w:rPr>
            </w:pPr>
          </w:p>
          <w:p w14:paraId="73938A6D" w14:textId="77777777" w:rsidR="00BE2C1D" w:rsidRPr="00BE2C1D" w:rsidRDefault="00BE2C1D" w:rsidP="00BE2C1D">
            <w:pPr>
              <w:rPr>
                <w:rFonts w:ascii="Times New Roman" w:hAnsi="Times New Roman" w:cs="Times New Roman"/>
              </w:rPr>
            </w:pPr>
          </w:p>
          <w:p w14:paraId="7E325F98" w14:textId="77777777" w:rsidR="00BE2C1D" w:rsidRPr="00BE2C1D" w:rsidRDefault="00BE2C1D" w:rsidP="00BE2C1D">
            <w:pPr>
              <w:rPr>
                <w:rFonts w:ascii="Times New Roman" w:hAnsi="Times New Roman" w:cs="Times New Roman"/>
                <w:color w:val="4472C4" w:themeColor="accent1"/>
              </w:rPr>
            </w:pPr>
          </w:p>
          <w:p w14:paraId="6D8A4EEA" w14:textId="77777777" w:rsidR="00BE2C1D" w:rsidRPr="00BE2C1D" w:rsidRDefault="00BE2C1D" w:rsidP="00BE2C1D">
            <w:pPr>
              <w:rPr>
                <w:rFonts w:ascii="Times New Roman" w:hAnsi="Times New Roman" w:cs="Times New Roman"/>
                <w:color w:val="4472C4" w:themeColor="accent1"/>
              </w:rPr>
            </w:pPr>
          </w:p>
          <w:p w14:paraId="6E025B38" w14:textId="77777777" w:rsidR="00BE2C1D" w:rsidRPr="00BE2C1D" w:rsidRDefault="00BE2C1D" w:rsidP="00BE2C1D">
            <w:pPr>
              <w:rPr>
                <w:rFonts w:ascii="Times New Roman" w:hAnsi="Times New Roman" w:cs="Times New Roman"/>
                <w:color w:val="4472C4" w:themeColor="accent1"/>
              </w:rPr>
            </w:pPr>
          </w:p>
          <w:p w14:paraId="6B72690E" w14:textId="77777777" w:rsidR="00BE2C1D" w:rsidRPr="00BE2C1D" w:rsidRDefault="00BE2C1D" w:rsidP="00BE2C1D">
            <w:pPr>
              <w:rPr>
                <w:rFonts w:ascii="Times New Roman" w:hAnsi="Times New Roman" w:cs="Times New Roman"/>
                <w:color w:val="4472C4" w:themeColor="accent1"/>
              </w:rPr>
            </w:pPr>
          </w:p>
          <w:p w14:paraId="1F3525B7" w14:textId="77777777" w:rsidR="00BE2C1D" w:rsidRPr="00BE2C1D" w:rsidRDefault="00BE2C1D" w:rsidP="00BE2C1D">
            <w:pPr>
              <w:rPr>
                <w:rFonts w:ascii="Times New Roman" w:hAnsi="Times New Roman" w:cs="Times New Roman"/>
                <w:color w:val="4472C4" w:themeColor="accent1"/>
              </w:rPr>
            </w:pPr>
          </w:p>
          <w:p w14:paraId="54F4990C" w14:textId="77777777" w:rsidR="00BE2C1D" w:rsidRPr="00BE2C1D" w:rsidRDefault="00BE2C1D" w:rsidP="00BE2C1D">
            <w:pPr>
              <w:rPr>
                <w:rFonts w:ascii="Times New Roman" w:hAnsi="Times New Roman" w:cs="Times New Roman"/>
                <w:color w:val="4472C4" w:themeColor="accent1"/>
              </w:rPr>
            </w:pPr>
          </w:p>
          <w:p w14:paraId="46A04AB5" w14:textId="77777777" w:rsidR="00BE2C1D" w:rsidRPr="00BE2C1D" w:rsidRDefault="00BE2C1D" w:rsidP="00BE2C1D">
            <w:pPr>
              <w:rPr>
                <w:rFonts w:ascii="Times New Roman" w:hAnsi="Times New Roman" w:cs="Times New Roman"/>
                <w:color w:val="4472C4" w:themeColor="accent1"/>
              </w:rPr>
            </w:pPr>
          </w:p>
          <w:p w14:paraId="0E5EEA6F" w14:textId="77777777" w:rsidR="00BE2C1D" w:rsidRPr="00BE2C1D" w:rsidRDefault="00BE2C1D" w:rsidP="00BE2C1D">
            <w:pPr>
              <w:rPr>
                <w:rFonts w:ascii="Times New Roman" w:hAnsi="Times New Roman" w:cs="Times New Roman"/>
                <w:color w:val="4472C4" w:themeColor="accent1"/>
              </w:rPr>
            </w:pPr>
          </w:p>
          <w:p w14:paraId="6A544E48" w14:textId="77777777" w:rsidR="00BE2C1D" w:rsidRPr="00BE2C1D" w:rsidRDefault="00BE2C1D" w:rsidP="00BE2C1D">
            <w:pPr>
              <w:rPr>
                <w:rFonts w:ascii="Times New Roman" w:hAnsi="Times New Roman" w:cs="Times New Roman"/>
              </w:rPr>
            </w:pPr>
            <w:r w:rsidRPr="00BE2C1D">
              <w:rPr>
                <w:rFonts w:ascii="Times New Roman" w:hAnsi="Times New Roman" w:cs="Times New Roman"/>
                <w:noProof/>
                <w:lang w:eastAsia="en-GB"/>
              </w:rPr>
              <mc:AlternateContent>
                <mc:Choice Requires="wps">
                  <w:drawing>
                    <wp:anchor distT="0" distB="0" distL="114300" distR="114300" simplePos="0" relativeHeight="251719680" behindDoc="0" locked="0" layoutInCell="1" allowOverlap="1" wp14:anchorId="41CBF69A" wp14:editId="48C04770">
                      <wp:simplePos x="0" y="0"/>
                      <wp:positionH relativeFrom="column">
                        <wp:posOffset>-52705</wp:posOffset>
                      </wp:positionH>
                      <wp:positionV relativeFrom="paragraph">
                        <wp:posOffset>-3175</wp:posOffset>
                      </wp:positionV>
                      <wp:extent cx="5953125" cy="9525"/>
                      <wp:effectExtent l="7620" t="9525" r="11430" b="9525"/>
                      <wp:wrapNone/>
                      <wp:docPr id="3"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5312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3806C4" id="Straight Arrow Connector 3" o:spid="_x0000_s1026" type="#_x0000_t32" style="position:absolute;margin-left:-4.15pt;margin-top:-.25pt;width:468.75pt;height:.7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Xr40AEAAI4DAAAOAAAAZHJzL2Uyb0RvYy54bWysU1GP0zAMfkfiP0R5Z103DXHVuhPacbwc&#10;MGnHD/DStI1I48jJ1u3f42S9wcEbog+WHcef/X1O1/fnwYqTpmDQ1bKczaXQTmFjXFfL78+P7z5I&#10;ESK4Biw6XcuLDvJ+8/bNevSVXmCPttEkGMSFavS17GP0VVEE1esBwgy9dpxskQaIHFJXNAQjow+2&#10;WMzn74sRqfGESofApw/XpNxk/LbVKn5r26CjsLXk2WK2lO0h2WKzhqoj8L1R0xjwD1MMYBw3vUE9&#10;QARxJPMX1GAUYcA2zhQOBbatUTpzYDbl/A82+x68zlxYnOBvMoX/B6u+nnYkTFPLpRQOBl7RPhKY&#10;ro/iIxGOYovOsYxIYpnUGn2ouGjrdpT4qrPb+ydUP4JwuO3BdTpP/XzxDFWmiuJVSQqC556H8Qs2&#10;fAeOEbN055aGBMmiiHPe0OW2IX2OQvHh6m61LBcrKRTn7lbspQZQvdR6CvGzxkEkp5ZhonLjUOZO&#10;cHoK8Vr4UpAaO3w01vI5VNaJcWqQwoDWNCmZA+oOW0viBOlN5W+a4tU1wqNrMlivofk0+RGMvfo8&#10;tXWTOkmQq7QHbC47SrMloXjpmd70QNOr+j3Ot379RpufAAAA//8DAFBLAwQUAAYACAAAACEAlNKf&#10;t9sAAAAGAQAADwAAAGRycy9kb3ducmV2LnhtbEyOQWvCQBCF7wX/wzJCL0V3TbGYNBsRoYceq4LX&#10;NTtNUrOzIbsxqb++01N7Gh7v482XbyfXihv2ofGkYbVUIJBKbxuqNJyOb4sNiBANWdN6Qg3fGGBb&#10;zB5yk1k/0gfeDrESPEIhMxrqGLtMylDW6ExY+g6Ju0/fOxM59pW0vRl53LUyUepFOtMQf6hNh/sa&#10;y+thcBowDOuV2qWuOr3fx6dzcv8au6PWj/Np9woi4hT/YPjVZ3Uo2OniB7JBtBoWm2cm+a5BcJ0m&#10;aQLiwpwCWeTyv37xAwAA//8DAFBLAQItABQABgAIAAAAIQC2gziS/gAAAOEBAAATAAAAAAAAAAAA&#10;AAAAAAAAAABbQ29udGVudF9UeXBlc10ueG1sUEsBAi0AFAAGAAgAAAAhADj9If/WAAAAlAEAAAsA&#10;AAAAAAAAAAAAAAAALwEAAF9yZWxzLy5yZWxzUEsBAi0AFAAGAAgAAAAhANPFevjQAQAAjgMAAA4A&#10;AAAAAAAAAAAAAAAALgIAAGRycy9lMm9Eb2MueG1sUEsBAi0AFAAGAAgAAAAhAJTSn7fbAAAABgEA&#10;AA8AAAAAAAAAAAAAAAAAKgQAAGRycy9kb3ducmV2LnhtbFBLBQYAAAAABAAEAPMAAAAyBQAAAAA=&#10;"/>
                  </w:pict>
                </mc:Fallback>
              </mc:AlternateContent>
            </w:r>
            <w:r w:rsidRPr="00BE2C1D">
              <w:rPr>
                <w:rFonts w:ascii="Times New Roman" w:hAnsi="Times New Roman" w:cs="Times New Roman"/>
              </w:rPr>
              <w:t>Stabler, Siegel, Clopper, Stoppani, Compton, Underwood, 1998 ,</w:t>
            </w:r>
            <w:r w:rsidRPr="00BE2C1D">
              <w:rPr>
                <w:rFonts w:ascii="Times New Roman" w:hAnsi="Times New Roman" w:cs="Times New Roman"/>
                <w:sz w:val="20"/>
                <w:szCs w:val="20"/>
              </w:rPr>
              <w:t xml:space="preserve">(supported through the National Cooperative Study Group, </w:t>
            </w:r>
            <w:r w:rsidRPr="00BE2C1D">
              <w:rPr>
                <w:rFonts w:ascii="Times New Roman" w:hAnsi="Times New Roman" w:cs="Times New Roman"/>
                <w:b/>
                <w:sz w:val="20"/>
                <w:szCs w:val="20"/>
                <w:u w:val="single"/>
              </w:rPr>
              <w:t>Genentech Inch</w:t>
            </w:r>
            <w:r w:rsidRPr="00BE2C1D">
              <w:rPr>
                <w:rFonts w:ascii="Times New Roman" w:hAnsi="Times New Roman" w:cs="Times New Roman"/>
                <w:sz w:val="20"/>
                <w:szCs w:val="20"/>
              </w:rPr>
              <w:t>.  and by National Institutes of Health grant from the Division of Research Resources to the General Clinic Research Centre at the University of North Carolina at Chapel Hill.)</w:t>
            </w:r>
          </w:p>
          <w:p w14:paraId="3F4C1592" w14:textId="77777777" w:rsidR="00BE2C1D" w:rsidRPr="00BE2C1D" w:rsidRDefault="00BE2C1D" w:rsidP="00BE2C1D">
            <w:pPr>
              <w:rPr>
                <w:rFonts w:ascii="Times New Roman" w:hAnsi="Times New Roman" w:cs="Times New Roman"/>
              </w:rPr>
            </w:pPr>
          </w:p>
          <w:p w14:paraId="64E44DB7" w14:textId="77777777" w:rsidR="00BE2C1D" w:rsidRPr="00BE2C1D" w:rsidRDefault="00BE2C1D" w:rsidP="00BE2C1D">
            <w:pPr>
              <w:rPr>
                <w:rFonts w:ascii="Times New Roman" w:hAnsi="Times New Roman" w:cs="Times New Roman"/>
              </w:rPr>
            </w:pPr>
          </w:p>
          <w:p w14:paraId="258650DB" w14:textId="77777777" w:rsidR="00BE2C1D" w:rsidRPr="00BE2C1D" w:rsidRDefault="00BE2C1D" w:rsidP="00BE2C1D">
            <w:pPr>
              <w:rPr>
                <w:rFonts w:ascii="Times New Roman" w:hAnsi="Times New Roman" w:cs="Times New Roman"/>
              </w:rPr>
            </w:pPr>
          </w:p>
          <w:p w14:paraId="2CD8A033" w14:textId="77777777" w:rsidR="00BE2C1D" w:rsidRPr="00BE2C1D" w:rsidRDefault="00BE2C1D" w:rsidP="00BE2C1D">
            <w:pPr>
              <w:rPr>
                <w:rFonts w:ascii="Times New Roman" w:hAnsi="Times New Roman" w:cs="Times New Roman"/>
              </w:rPr>
            </w:pPr>
          </w:p>
          <w:p w14:paraId="0D8698AD" w14:textId="77777777" w:rsidR="00BE2C1D" w:rsidRPr="00BE2C1D" w:rsidRDefault="00BE2C1D" w:rsidP="00BE2C1D">
            <w:pPr>
              <w:rPr>
                <w:rFonts w:ascii="Times New Roman" w:hAnsi="Times New Roman" w:cs="Times New Roman"/>
              </w:rPr>
            </w:pPr>
          </w:p>
          <w:p w14:paraId="7F9BD7A5" w14:textId="77777777" w:rsidR="00BE2C1D" w:rsidRPr="00BE2C1D" w:rsidRDefault="00BE2C1D" w:rsidP="00BE2C1D">
            <w:pPr>
              <w:rPr>
                <w:rFonts w:ascii="Times New Roman" w:hAnsi="Times New Roman" w:cs="Times New Roman"/>
              </w:rPr>
            </w:pPr>
          </w:p>
          <w:p w14:paraId="18ACDAFE" w14:textId="77777777" w:rsidR="00BE2C1D" w:rsidRPr="00BE2C1D" w:rsidRDefault="00BE2C1D" w:rsidP="00BE2C1D">
            <w:pPr>
              <w:rPr>
                <w:rFonts w:ascii="Times New Roman" w:hAnsi="Times New Roman" w:cs="Times New Roman"/>
              </w:rPr>
            </w:pPr>
          </w:p>
          <w:p w14:paraId="3A59F41A" w14:textId="77777777" w:rsidR="00BE2C1D" w:rsidRPr="00BE2C1D" w:rsidRDefault="00BE2C1D" w:rsidP="00BE2C1D">
            <w:pPr>
              <w:rPr>
                <w:rFonts w:ascii="Times New Roman" w:hAnsi="Times New Roman" w:cs="Times New Roman"/>
              </w:rPr>
            </w:pPr>
          </w:p>
          <w:p w14:paraId="27F65B45" w14:textId="77777777" w:rsidR="00BE2C1D" w:rsidRPr="00BE2C1D" w:rsidRDefault="00BE2C1D" w:rsidP="00BE2C1D">
            <w:pPr>
              <w:rPr>
                <w:rFonts w:ascii="Times New Roman" w:hAnsi="Times New Roman" w:cs="Times New Roman"/>
              </w:rPr>
            </w:pPr>
          </w:p>
          <w:p w14:paraId="31182708" w14:textId="77777777" w:rsidR="00BE2C1D" w:rsidRPr="00BE2C1D" w:rsidRDefault="00BE2C1D" w:rsidP="00BE2C1D">
            <w:pPr>
              <w:rPr>
                <w:rFonts w:ascii="Times New Roman" w:hAnsi="Times New Roman" w:cs="Times New Roman"/>
              </w:rPr>
            </w:pPr>
          </w:p>
          <w:p w14:paraId="069E23E5" w14:textId="77777777" w:rsidR="00BE2C1D" w:rsidRPr="00BE2C1D" w:rsidRDefault="00BE2C1D" w:rsidP="00BE2C1D">
            <w:pPr>
              <w:rPr>
                <w:rFonts w:ascii="Times New Roman" w:hAnsi="Times New Roman" w:cs="Times New Roman"/>
              </w:rPr>
            </w:pPr>
          </w:p>
          <w:p w14:paraId="7BD3AE54" w14:textId="77777777" w:rsidR="00BE2C1D" w:rsidRPr="00BE2C1D" w:rsidRDefault="00BE2C1D" w:rsidP="00BE2C1D">
            <w:pPr>
              <w:rPr>
                <w:rFonts w:ascii="Times New Roman" w:hAnsi="Times New Roman" w:cs="Times New Roman"/>
              </w:rPr>
            </w:pPr>
          </w:p>
          <w:p w14:paraId="02D3B7D1" w14:textId="77777777" w:rsidR="00BE2C1D" w:rsidRPr="00BE2C1D" w:rsidRDefault="00BE2C1D" w:rsidP="00BE2C1D">
            <w:pPr>
              <w:rPr>
                <w:rFonts w:ascii="Times New Roman" w:hAnsi="Times New Roman" w:cs="Times New Roman"/>
              </w:rPr>
            </w:pPr>
          </w:p>
          <w:p w14:paraId="0F3F849A" w14:textId="77777777" w:rsidR="00BE2C1D" w:rsidRPr="00BE2C1D" w:rsidRDefault="00BE2C1D" w:rsidP="00BE2C1D">
            <w:pPr>
              <w:rPr>
                <w:rFonts w:ascii="Times New Roman" w:hAnsi="Times New Roman" w:cs="Times New Roman"/>
              </w:rPr>
            </w:pPr>
          </w:p>
          <w:p w14:paraId="12CEB9DA" w14:textId="77777777" w:rsidR="00BE2C1D" w:rsidRPr="00BE2C1D" w:rsidRDefault="00BE2C1D" w:rsidP="00BE2C1D">
            <w:pPr>
              <w:rPr>
                <w:rFonts w:ascii="Times New Roman" w:hAnsi="Times New Roman" w:cs="Times New Roman"/>
              </w:rPr>
            </w:pPr>
          </w:p>
          <w:p w14:paraId="1FBCA9A1" w14:textId="77777777" w:rsidR="00BE2C1D" w:rsidRPr="00BE2C1D" w:rsidRDefault="00BE2C1D" w:rsidP="00BE2C1D">
            <w:pPr>
              <w:rPr>
                <w:rFonts w:ascii="Times New Roman" w:hAnsi="Times New Roman" w:cs="Times New Roman"/>
              </w:rPr>
            </w:pPr>
          </w:p>
          <w:p w14:paraId="23C43944" w14:textId="77777777" w:rsidR="00BE2C1D" w:rsidRPr="00BE2C1D" w:rsidRDefault="00BE2C1D" w:rsidP="00BE2C1D">
            <w:pPr>
              <w:rPr>
                <w:rFonts w:ascii="Times New Roman" w:hAnsi="Times New Roman" w:cs="Times New Roman"/>
              </w:rPr>
            </w:pPr>
          </w:p>
          <w:p w14:paraId="39D5ACE3" w14:textId="77777777" w:rsidR="00BE2C1D" w:rsidRPr="00BE2C1D" w:rsidRDefault="00BE2C1D" w:rsidP="00BE2C1D">
            <w:pPr>
              <w:rPr>
                <w:rFonts w:ascii="Times New Roman" w:hAnsi="Times New Roman" w:cs="Times New Roman"/>
              </w:rPr>
            </w:pPr>
          </w:p>
          <w:p w14:paraId="5556495E" w14:textId="77777777" w:rsidR="00BE2C1D" w:rsidRPr="00BE2C1D" w:rsidRDefault="00BE2C1D" w:rsidP="00BE2C1D">
            <w:pPr>
              <w:rPr>
                <w:rFonts w:ascii="Times New Roman" w:hAnsi="Times New Roman" w:cs="Times New Roman"/>
              </w:rPr>
            </w:pPr>
            <w:r w:rsidRPr="00BE2C1D">
              <w:rPr>
                <w:rFonts w:ascii="Times New Roman" w:hAnsi="Times New Roman" w:cs="Times New Roman"/>
                <w:noProof/>
                <w:lang w:eastAsia="en-GB"/>
              </w:rPr>
              <mc:AlternateContent>
                <mc:Choice Requires="wps">
                  <w:drawing>
                    <wp:anchor distT="4294967295" distB="4294967295" distL="114300" distR="114300" simplePos="0" relativeHeight="251714560" behindDoc="0" locked="0" layoutInCell="1" allowOverlap="1" wp14:anchorId="13817732" wp14:editId="68C67508">
                      <wp:simplePos x="0" y="0"/>
                      <wp:positionH relativeFrom="column">
                        <wp:posOffset>-142240</wp:posOffset>
                      </wp:positionH>
                      <wp:positionV relativeFrom="paragraph">
                        <wp:posOffset>174624</wp:posOffset>
                      </wp:positionV>
                      <wp:extent cx="6010275" cy="0"/>
                      <wp:effectExtent l="0" t="0" r="0" b="0"/>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10275" cy="0"/>
                              </a:xfrm>
                              <a:prstGeom prst="line">
                                <a:avLst/>
                              </a:prstGeom>
                              <a:noFill/>
                              <a:ln w="6350" cap="flat" cmpd="sng" algn="ctr">
                                <a:solidFill>
                                  <a:srgbClr val="4472C4"/>
                                </a:solidFill>
                                <a:prstDash val="solid"/>
                                <a:miter lim="800000"/>
                              </a:ln>
                              <a:effectLst/>
                            </wps:spPr>
                            <wps:bodyPr/>
                          </wps:wsp>
                        </a:graphicData>
                      </a:graphic>
                      <wp14:sizeRelH relativeFrom="page">
                        <wp14:pctWidth>0</wp14:pctWidth>
                      </wp14:sizeRelH>
                      <wp14:sizeRelV relativeFrom="margin">
                        <wp14:pctHeight>0</wp14:pctHeight>
                      </wp14:sizeRelV>
                    </wp:anchor>
                  </w:drawing>
                </mc:Choice>
                <mc:Fallback>
                  <w:pict>
                    <v:line w14:anchorId="290E57D3" id="Straight Connector 10" o:spid="_x0000_s1026" style="position:absolute;z-index:2517145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11.2pt,13.75pt" to="462.05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Z700wEAAJIDAAAOAAAAZHJzL2Uyb0RvYy54bWysU8tu2zAQvBfoPxC813Jc5wHBcg420kvQ&#10;GnD7AWuKkojyhV3Wsv++S/qRpLkF1YEgubuznNnR4vHgrNhrJBN8I28mUym0V6E1vm/kr59PXx6k&#10;oAS+BRu8buRRk3xcfv60GGOtZ2EIttUoGMRTPcZGDinFuqpIDdoBTULUnoNdQAeJj9hXLcLI6M5W&#10;s+n0rhoDthGD0kR8uz4F5bLgd51W6UfXkU7CNpLflsqKZd3ltVouoO4R4mDU+RnwgVc4MJ6bXqHW&#10;kED8QfMOyhmFgUKXJiq4KnSdUbpwYDY303/YbAeIunBhcSheZaL/B6u+7zcoTMuzY3k8OJ7RNiGY&#10;fkhiFbxnBQMKDrJSY6SaC1Z+g5mrOvhtfA7qN3GsehPMB4qntEOHLqczWXEoyh+vyutDEoov75j8&#10;7P5WCnWJVVBfCiNS+qaDE3nTSGt8FgVq2D9Tyq2hvqTkax+ejLVlsNaLkcG/3jI3BWyvzkLirYtM&#10;mHwvBdiefasSFkQK1rS5OuMQ9ruVRbEH9s58fj9bzbMI3O1NWm69BhpOeSV0cpUzia1tjWvkwzR/&#10;52rrM7ou5jwTeJEr73ahPW7woikPvjQ9mzQ76/WZ969/peVfAAAA//8DAFBLAwQUAAYACAAAACEA&#10;tcigtOAAAAAJAQAADwAAAGRycy9kb3ducmV2LnhtbEyPPW/CMBCG90r8B+sqdQMnFgRI46BSqUOX&#10;io8OsJn4mqTE5zQ2If33ddWBjnf36L3nzVaDaViPnastSYgnETCkwuqaSgnv+5fxApjzirRqLKGE&#10;b3Swykd3mUq1vdIW+50vWQghlyoJlfdtyrkrKjTKTWyLFG4ftjPKh7Erue7UNYSbhosoSrhRNYUP&#10;lWrxucLivLsYCftktln4ePP6FR0P62Ui8LNfv0n5cD88PQLzOPgbDL/6QR3y4HSyF9KONRLGQkwD&#10;KkHMZ8ACsBTTGNjpb8HzjP9vkP8AAAD//wMAUEsBAi0AFAAGAAgAAAAhALaDOJL+AAAA4QEAABMA&#10;AAAAAAAAAAAAAAAAAAAAAFtDb250ZW50X1R5cGVzXS54bWxQSwECLQAUAAYACAAAACEAOP0h/9YA&#10;AACUAQAACwAAAAAAAAAAAAAAAAAvAQAAX3JlbHMvLnJlbHNQSwECLQAUAAYACAAAACEA3B2e9NMB&#10;AACSAwAADgAAAAAAAAAAAAAAAAAuAgAAZHJzL2Uyb0RvYy54bWxQSwECLQAUAAYACAAAACEAtcig&#10;tOAAAAAJAQAADwAAAAAAAAAAAAAAAAAtBAAAZHJzL2Rvd25yZXYueG1sUEsFBgAAAAAEAAQA8wAA&#10;ADoFAAAAAA==&#10;" strokecolor="#4472c4" strokeweight=".5pt">
                      <v:stroke joinstyle="miter"/>
                      <o:lock v:ext="edit" shapetype="f"/>
                    </v:line>
                  </w:pict>
                </mc:Fallback>
              </mc:AlternateContent>
            </w:r>
          </w:p>
          <w:p w14:paraId="6A49913C" w14:textId="77777777" w:rsidR="00BE2C1D" w:rsidRPr="00BE2C1D" w:rsidRDefault="00BE2C1D" w:rsidP="00BE2C1D">
            <w:pPr>
              <w:rPr>
                <w:rFonts w:ascii="Times New Roman" w:hAnsi="Times New Roman" w:cs="Times New Roman"/>
              </w:rPr>
            </w:pPr>
            <w:r w:rsidRPr="00BE2C1D">
              <w:rPr>
                <w:rFonts w:ascii="Times New Roman" w:hAnsi="Times New Roman" w:cs="Times New Roman"/>
              </w:rPr>
              <w:t xml:space="preserve">Stabler, Clopper, Siegel, Stoppani, Compton, Underwood, 1994 </w:t>
            </w:r>
            <w:r w:rsidRPr="00BE2C1D">
              <w:rPr>
                <w:rFonts w:ascii="Times New Roman" w:hAnsi="Times New Roman" w:cs="Times New Roman"/>
                <w:sz w:val="20"/>
                <w:szCs w:val="20"/>
              </w:rPr>
              <w:t xml:space="preserve">(supported by </w:t>
            </w:r>
            <w:r w:rsidRPr="00BE2C1D">
              <w:rPr>
                <w:rFonts w:ascii="Times New Roman" w:hAnsi="Times New Roman" w:cs="Times New Roman"/>
                <w:b/>
                <w:sz w:val="20"/>
                <w:szCs w:val="20"/>
                <w:u w:val="single"/>
              </w:rPr>
              <w:t>Genentech, Inc</w:t>
            </w:r>
            <w:r w:rsidRPr="00BE2C1D">
              <w:rPr>
                <w:rFonts w:ascii="Times New Roman" w:hAnsi="Times New Roman" w:cs="Times New Roman"/>
                <w:sz w:val="20"/>
                <w:szCs w:val="20"/>
              </w:rPr>
              <w:t>.)</w:t>
            </w:r>
          </w:p>
          <w:p w14:paraId="23558ED4" w14:textId="77777777" w:rsidR="00BE2C1D" w:rsidRPr="00BE2C1D" w:rsidRDefault="00BE2C1D" w:rsidP="00BE2C1D">
            <w:pPr>
              <w:rPr>
                <w:rFonts w:ascii="Times New Roman" w:hAnsi="Times New Roman" w:cs="Times New Roman"/>
              </w:rPr>
            </w:pPr>
          </w:p>
          <w:p w14:paraId="2455214D" w14:textId="77777777" w:rsidR="00BE2C1D" w:rsidRPr="00BE2C1D" w:rsidRDefault="00BE2C1D" w:rsidP="00BE2C1D">
            <w:pPr>
              <w:rPr>
                <w:rFonts w:ascii="Times New Roman" w:hAnsi="Times New Roman" w:cs="Times New Roman"/>
              </w:rPr>
            </w:pPr>
          </w:p>
          <w:p w14:paraId="70EB48FB" w14:textId="77777777" w:rsidR="00BE2C1D" w:rsidRPr="00BE2C1D" w:rsidRDefault="00BE2C1D" w:rsidP="00BE2C1D">
            <w:pPr>
              <w:rPr>
                <w:rFonts w:ascii="Times New Roman" w:hAnsi="Times New Roman" w:cs="Times New Roman"/>
              </w:rPr>
            </w:pPr>
          </w:p>
          <w:p w14:paraId="0D5BC65D" w14:textId="77777777" w:rsidR="00BE2C1D" w:rsidRPr="00BE2C1D" w:rsidRDefault="00BE2C1D" w:rsidP="00BE2C1D">
            <w:pPr>
              <w:rPr>
                <w:rFonts w:ascii="Times New Roman" w:hAnsi="Times New Roman" w:cs="Times New Roman"/>
              </w:rPr>
            </w:pPr>
          </w:p>
          <w:p w14:paraId="14D596F5" w14:textId="77777777" w:rsidR="00BE2C1D" w:rsidRPr="00BE2C1D" w:rsidRDefault="00BE2C1D" w:rsidP="00BE2C1D">
            <w:pPr>
              <w:rPr>
                <w:rFonts w:ascii="Times New Roman" w:hAnsi="Times New Roman" w:cs="Times New Roman"/>
              </w:rPr>
            </w:pPr>
          </w:p>
          <w:p w14:paraId="610CFF2E" w14:textId="77777777" w:rsidR="00BE2C1D" w:rsidRPr="00BE2C1D" w:rsidRDefault="00BE2C1D" w:rsidP="00BE2C1D">
            <w:pPr>
              <w:rPr>
                <w:rFonts w:ascii="Times New Roman" w:hAnsi="Times New Roman" w:cs="Times New Roman"/>
              </w:rPr>
            </w:pPr>
          </w:p>
          <w:p w14:paraId="4AA6812B" w14:textId="77777777" w:rsidR="00BE2C1D" w:rsidRPr="00BE2C1D" w:rsidRDefault="00BE2C1D" w:rsidP="00BE2C1D">
            <w:pPr>
              <w:rPr>
                <w:rFonts w:ascii="Times New Roman" w:hAnsi="Times New Roman" w:cs="Times New Roman"/>
              </w:rPr>
            </w:pPr>
          </w:p>
          <w:p w14:paraId="70B63951" w14:textId="77777777" w:rsidR="00BE2C1D" w:rsidRPr="00BE2C1D" w:rsidRDefault="00BE2C1D" w:rsidP="00BE2C1D">
            <w:pPr>
              <w:rPr>
                <w:rFonts w:ascii="Times New Roman" w:hAnsi="Times New Roman" w:cs="Times New Roman"/>
              </w:rPr>
            </w:pPr>
          </w:p>
          <w:p w14:paraId="19C1CB72" w14:textId="77777777" w:rsidR="00BE2C1D" w:rsidRPr="00BE2C1D" w:rsidRDefault="00BE2C1D" w:rsidP="00BE2C1D">
            <w:pPr>
              <w:rPr>
                <w:rFonts w:ascii="Times New Roman" w:hAnsi="Times New Roman" w:cs="Times New Roman"/>
              </w:rPr>
            </w:pPr>
          </w:p>
          <w:p w14:paraId="3AA680FF" w14:textId="77777777" w:rsidR="00BE2C1D" w:rsidRPr="00BE2C1D" w:rsidRDefault="00BE2C1D" w:rsidP="00BE2C1D">
            <w:pPr>
              <w:rPr>
                <w:rFonts w:ascii="Times New Roman" w:hAnsi="Times New Roman" w:cs="Times New Roman"/>
              </w:rPr>
            </w:pPr>
          </w:p>
          <w:p w14:paraId="20AF9366" w14:textId="77777777" w:rsidR="00BE2C1D" w:rsidRPr="00BE2C1D" w:rsidRDefault="00BE2C1D" w:rsidP="00BE2C1D">
            <w:pPr>
              <w:rPr>
                <w:rFonts w:ascii="Times New Roman" w:hAnsi="Times New Roman" w:cs="Times New Roman"/>
              </w:rPr>
            </w:pPr>
          </w:p>
          <w:p w14:paraId="0AB684F4" w14:textId="77777777" w:rsidR="00BE2C1D" w:rsidRPr="00BE2C1D" w:rsidRDefault="00BE2C1D" w:rsidP="00BE2C1D">
            <w:pPr>
              <w:rPr>
                <w:rFonts w:ascii="Times New Roman" w:hAnsi="Times New Roman" w:cs="Times New Roman"/>
              </w:rPr>
            </w:pPr>
          </w:p>
          <w:p w14:paraId="17173067" w14:textId="77777777" w:rsidR="00BE2C1D" w:rsidRPr="00BE2C1D" w:rsidRDefault="00BE2C1D" w:rsidP="00BE2C1D">
            <w:pPr>
              <w:rPr>
                <w:rFonts w:ascii="Times New Roman" w:hAnsi="Times New Roman" w:cs="Times New Roman"/>
              </w:rPr>
            </w:pPr>
          </w:p>
          <w:p w14:paraId="6FA895E3" w14:textId="77777777" w:rsidR="00BE2C1D" w:rsidRPr="00BE2C1D" w:rsidRDefault="00BE2C1D" w:rsidP="00BE2C1D">
            <w:pPr>
              <w:rPr>
                <w:rFonts w:ascii="Times New Roman" w:hAnsi="Times New Roman" w:cs="Times New Roman"/>
              </w:rPr>
            </w:pPr>
          </w:p>
          <w:p w14:paraId="318B27B1" w14:textId="77777777" w:rsidR="00BE2C1D" w:rsidRPr="00BE2C1D" w:rsidRDefault="00BE2C1D" w:rsidP="00BE2C1D">
            <w:pPr>
              <w:rPr>
                <w:rFonts w:ascii="Times New Roman" w:hAnsi="Times New Roman" w:cs="Times New Roman"/>
              </w:rPr>
            </w:pPr>
          </w:p>
          <w:p w14:paraId="427E7F73" w14:textId="77777777" w:rsidR="00BE2C1D" w:rsidRPr="00BE2C1D" w:rsidRDefault="00BE2C1D" w:rsidP="00BE2C1D">
            <w:pPr>
              <w:rPr>
                <w:rFonts w:ascii="Times New Roman" w:hAnsi="Times New Roman" w:cs="Times New Roman"/>
              </w:rPr>
            </w:pPr>
          </w:p>
          <w:p w14:paraId="09EC49EE" w14:textId="77777777" w:rsidR="00BE2C1D" w:rsidRPr="00BE2C1D" w:rsidRDefault="00BE2C1D" w:rsidP="00BE2C1D">
            <w:pPr>
              <w:rPr>
                <w:rFonts w:ascii="Times New Roman" w:hAnsi="Times New Roman" w:cs="Times New Roman"/>
              </w:rPr>
            </w:pPr>
          </w:p>
          <w:p w14:paraId="48DCD932" w14:textId="77777777" w:rsidR="00BE2C1D" w:rsidRPr="00BE2C1D" w:rsidRDefault="00BE2C1D" w:rsidP="00BE2C1D">
            <w:pPr>
              <w:rPr>
                <w:rFonts w:ascii="Times New Roman" w:hAnsi="Times New Roman" w:cs="Times New Roman"/>
              </w:rPr>
            </w:pPr>
            <w:r w:rsidRPr="00BE2C1D">
              <w:rPr>
                <w:rFonts w:ascii="Times New Roman" w:hAnsi="Times New Roman" w:cs="Times New Roman"/>
              </w:rPr>
              <w:t xml:space="preserve">Sandberg, Brook &amp; Campos, 1994 </w:t>
            </w:r>
            <w:r w:rsidRPr="00BE2C1D">
              <w:rPr>
                <w:rFonts w:ascii="Times New Roman" w:hAnsi="Times New Roman" w:cs="Times New Roman"/>
                <w:sz w:val="20"/>
                <w:szCs w:val="20"/>
              </w:rPr>
              <w:t xml:space="preserve">(supported in part by a grant from the </w:t>
            </w:r>
            <w:r w:rsidRPr="00BE2C1D">
              <w:rPr>
                <w:rFonts w:ascii="Times New Roman" w:hAnsi="Times New Roman" w:cs="Times New Roman"/>
                <w:b/>
                <w:sz w:val="20"/>
                <w:szCs w:val="20"/>
                <w:u w:val="single"/>
              </w:rPr>
              <w:t>Human Growth Foundation</w:t>
            </w:r>
            <w:r w:rsidRPr="00BE2C1D">
              <w:rPr>
                <w:rFonts w:ascii="Times New Roman" w:hAnsi="Times New Roman" w:cs="Times New Roman"/>
                <w:sz w:val="20"/>
                <w:szCs w:val="20"/>
              </w:rPr>
              <w:t>)</w:t>
            </w:r>
          </w:p>
          <w:p w14:paraId="5B8533AC" w14:textId="77777777" w:rsidR="00BE2C1D" w:rsidRPr="00BE2C1D" w:rsidRDefault="00BE2C1D" w:rsidP="00BE2C1D">
            <w:pPr>
              <w:rPr>
                <w:rFonts w:ascii="Times New Roman" w:hAnsi="Times New Roman" w:cs="Times New Roman"/>
                <w:sz w:val="20"/>
                <w:szCs w:val="20"/>
              </w:rPr>
            </w:pPr>
          </w:p>
          <w:p w14:paraId="201C2587" w14:textId="77777777" w:rsidR="00BE2C1D" w:rsidRPr="00BE2C1D" w:rsidRDefault="00BE2C1D" w:rsidP="00BE2C1D">
            <w:pPr>
              <w:rPr>
                <w:rFonts w:ascii="Times New Roman" w:hAnsi="Times New Roman" w:cs="Times New Roman"/>
                <w:sz w:val="20"/>
                <w:szCs w:val="20"/>
              </w:rPr>
            </w:pPr>
          </w:p>
          <w:p w14:paraId="72D86FED" w14:textId="77777777" w:rsidR="00BE2C1D" w:rsidRPr="00BE2C1D" w:rsidRDefault="00BE2C1D" w:rsidP="00BE2C1D">
            <w:pPr>
              <w:rPr>
                <w:rFonts w:ascii="Times New Roman" w:hAnsi="Times New Roman" w:cs="Times New Roman"/>
                <w:sz w:val="20"/>
                <w:szCs w:val="20"/>
              </w:rPr>
            </w:pPr>
          </w:p>
          <w:p w14:paraId="744AC6AA" w14:textId="77777777" w:rsidR="00BE2C1D" w:rsidRPr="00BE2C1D" w:rsidRDefault="00BE2C1D" w:rsidP="00BE2C1D">
            <w:pPr>
              <w:rPr>
                <w:rFonts w:ascii="Times New Roman" w:hAnsi="Times New Roman" w:cs="Times New Roman"/>
                <w:sz w:val="20"/>
                <w:szCs w:val="20"/>
              </w:rPr>
            </w:pPr>
          </w:p>
          <w:p w14:paraId="73B4536D" w14:textId="77777777" w:rsidR="00BE2C1D" w:rsidRPr="00BE2C1D" w:rsidRDefault="00BE2C1D" w:rsidP="00BE2C1D">
            <w:pPr>
              <w:rPr>
                <w:rFonts w:ascii="Times New Roman" w:hAnsi="Times New Roman" w:cs="Times New Roman"/>
                <w:sz w:val="20"/>
                <w:szCs w:val="20"/>
              </w:rPr>
            </w:pPr>
          </w:p>
          <w:p w14:paraId="67F17D8C" w14:textId="77777777" w:rsidR="00BE2C1D" w:rsidRPr="00BE2C1D" w:rsidRDefault="00BE2C1D" w:rsidP="00BE2C1D">
            <w:pPr>
              <w:rPr>
                <w:rFonts w:ascii="Times New Roman" w:hAnsi="Times New Roman" w:cs="Times New Roman"/>
                <w:sz w:val="20"/>
                <w:szCs w:val="20"/>
              </w:rPr>
            </w:pPr>
          </w:p>
          <w:p w14:paraId="366A54ED" w14:textId="77777777" w:rsidR="00BE2C1D" w:rsidRPr="00BE2C1D" w:rsidRDefault="00BE2C1D" w:rsidP="00BE2C1D">
            <w:pPr>
              <w:rPr>
                <w:rFonts w:ascii="Times New Roman" w:hAnsi="Times New Roman" w:cs="Times New Roman"/>
                <w:sz w:val="20"/>
                <w:szCs w:val="20"/>
              </w:rPr>
            </w:pPr>
          </w:p>
          <w:p w14:paraId="2848E59C" w14:textId="77777777" w:rsidR="00BE2C1D" w:rsidRPr="00BE2C1D" w:rsidRDefault="00BE2C1D" w:rsidP="00BE2C1D">
            <w:pPr>
              <w:rPr>
                <w:rFonts w:ascii="Times New Roman" w:hAnsi="Times New Roman" w:cs="Times New Roman"/>
                <w:sz w:val="20"/>
                <w:szCs w:val="20"/>
              </w:rPr>
            </w:pPr>
          </w:p>
          <w:p w14:paraId="0F9D5F87" w14:textId="77777777" w:rsidR="00BE2C1D" w:rsidRPr="00BE2C1D" w:rsidRDefault="00BE2C1D" w:rsidP="00BE2C1D">
            <w:pPr>
              <w:rPr>
                <w:rFonts w:ascii="Times New Roman" w:hAnsi="Times New Roman" w:cs="Times New Roman"/>
                <w:sz w:val="20"/>
                <w:szCs w:val="20"/>
              </w:rPr>
            </w:pPr>
          </w:p>
          <w:p w14:paraId="236666F5" w14:textId="77777777" w:rsidR="00BE2C1D" w:rsidRPr="00BE2C1D" w:rsidRDefault="00BE2C1D" w:rsidP="00BE2C1D">
            <w:pPr>
              <w:rPr>
                <w:rFonts w:ascii="Times New Roman" w:hAnsi="Times New Roman" w:cs="Times New Roman"/>
                <w:sz w:val="20"/>
                <w:szCs w:val="20"/>
              </w:rPr>
            </w:pPr>
          </w:p>
          <w:p w14:paraId="2A887F3A" w14:textId="77777777" w:rsidR="00BE2C1D" w:rsidRPr="00BE2C1D" w:rsidRDefault="00BE2C1D" w:rsidP="00BE2C1D">
            <w:pPr>
              <w:rPr>
                <w:rFonts w:ascii="Times New Roman" w:hAnsi="Times New Roman" w:cs="Times New Roman"/>
                <w:sz w:val="20"/>
                <w:szCs w:val="20"/>
              </w:rPr>
            </w:pPr>
          </w:p>
          <w:p w14:paraId="51858CB7" w14:textId="77777777" w:rsidR="00BE2C1D" w:rsidRPr="00BE2C1D" w:rsidRDefault="00BE2C1D" w:rsidP="00BE2C1D">
            <w:pPr>
              <w:rPr>
                <w:rFonts w:ascii="Times New Roman" w:hAnsi="Times New Roman" w:cs="Times New Roman"/>
                <w:sz w:val="20"/>
                <w:szCs w:val="20"/>
              </w:rPr>
            </w:pPr>
          </w:p>
          <w:p w14:paraId="0B742E9C" w14:textId="77777777" w:rsidR="00BE2C1D" w:rsidRPr="00BE2C1D" w:rsidRDefault="00BE2C1D" w:rsidP="00BE2C1D">
            <w:pPr>
              <w:rPr>
                <w:rFonts w:ascii="Times New Roman" w:hAnsi="Times New Roman" w:cs="Times New Roman"/>
                <w:sz w:val="20"/>
                <w:szCs w:val="20"/>
              </w:rPr>
            </w:pPr>
          </w:p>
          <w:p w14:paraId="032CE041" w14:textId="77777777" w:rsidR="00BE2C1D" w:rsidRPr="00BE2C1D" w:rsidRDefault="00BE2C1D" w:rsidP="00BE2C1D">
            <w:pPr>
              <w:rPr>
                <w:rFonts w:ascii="Times New Roman" w:hAnsi="Times New Roman" w:cs="Times New Roman"/>
                <w:sz w:val="20"/>
                <w:szCs w:val="20"/>
              </w:rPr>
            </w:pPr>
          </w:p>
          <w:p w14:paraId="6BA3DF53" w14:textId="77777777" w:rsidR="00BE2C1D" w:rsidRPr="00BE2C1D" w:rsidRDefault="00BE2C1D" w:rsidP="00BE2C1D">
            <w:pPr>
              <w:rPr>
                <w:rFonts w:ascii="Times New Roman" w:hAnsi="Times New Roman" w:cs="Times New Roman"/>
                <w:sz w:val="20"/>
                <w:szCs w:val="20"/>
              </w:rPr>
            </w:pPr>
          </w:p>
          <w:p w14:paraId="08BB5876" w14:textId="77777777" w:rsidR="00BE2C1D" w:rsidRPr="00BE2C1D" w:rsidRDefault="00BE2C1D" w:rsidP="00BE2C1D">
            <w:pPr>
              <w:rPr>
                <w:rFonts w:ascii="Times New Roman" w:hAnsi="Times New Roman" w:cs="Times New Roman"/>
                <w:sz w:val="20"/>
                <w:szCs w:val="20"/>
              </w:rPr>
            </w:pPr>
          </w:p>
          <w:p w14:paraId="163D613D" w14:textId="77777777" w:rsidR="00BE2C1D" w:rsidRPr="00BE2C1D" w:rsidRDefault="00BE2C1D" w:rsidP="00BE2C1D">
            <w:pPr>
              <w:rPr>
                <w:rFonts w:ascii="Times New Roman" w:hAnsi="Times New Roman" w:cs="Times New Roman"/>
                <w:sz w:val="20"/>
                <w:szCs w:val="20"/>
              </w:rPr>
            </w:pPr>
          </w:p>
          <w:p w14:paraId="4BC827BE" w14:textId="77777777" w:rsidR="00BE2C1D" w:rsidRPr="00BE2C1D" w:rsidRDefault="00BE2C1D" w:rsidP="00BE2C1D">
            <w:pPr>
              <w:rPr>
                <w:rFonts w:ascii="Times New Roman" w:hAnsi="Times New Roman" w:cs="Times New Roman"/>
                <w:sz w:val="20"/>
                <w:szCs w:val="20"/>
              </w:rPr>
            </w:pPr>
          </w:p>
          <w:p w14:paraId="58A981E8" w14:textId="77777777" w:rsidR="00BE2C1D" w:rsidRPr="00BE2C1D" w:rsidRDefault="00BE2C1D" w:rsidP="00BE2C1D">
            <w:pPr>
              <w:rPr>
                <w:rFonts w:ascii="Times New Roman" w:hAnsi="Times New Roman" w:cs="Times New Roman"/>
                <w:sz w:val="20"/>
                <w:szCs w:val="20"/>
              </w:rPr>
            </w:pPr>
          </w:p>
          <w:p w14:paraId="79E991F8" w14:textId="77777777" w:rsidR="00BE2C1D" w:rsidRPr="00BE2C1D" w:rsidRDefault="00BE2C1D" w:rsidP="00BE2C1D">
            <w:pPr>
              <w:rPr>
                <w:rFonts w:ascii="Times New Roman" w:hAnsi="Times New Roman" w:cs="Times New Roman"/>
                <w:sz w:val="20"/>
                <w:szCs w:val="20"/>
              </w:rPr>
            </w:pPr>
          </w:p>
          <w:p w14:paraId="1091DE7E" w14:textId="77777777" w:rsidR="00BE2C1D" w:rsidRPr="00BE2C1D" w:rsidRDefault="00BE2C1D" w:rsidP="00BE2C1D">
            <w:pPr>
              <w:rPr>
                <w:rFonts w:ascii="Times New Roman" w:hAnsi="Times New Roman" w:cs="Times New Roman"/>
                <w:sz w:val="20"/>
                <w:szCs w:val="20"/>
              </w:rPr>
            </w:pPr>
          </w:p>
          <w:p w14:paraId="471143F1" w14:textId="77777777" w:rsidR="00BE2C1D" w:rsidRPr="00BE2C1D" w:rsidRDefault="00BE2C1D" w:rsidP="00BE2C1D">
            <w:pPr>
              <w:rPr>
                <w:rFonts w:ascii="Times New Roman" w:hAnsi="Times New Roman" w:cs="Times New Roman"/>
                <w:sz w:val="20"/>
                <w:szCs w:val="20"/>
              </w:rPr>
            </w:pPr>
          </w:p>
          <w:p w14:paraId="7C6848EB" w14:textId="77777777" w:rsidR="00BE2C1D" w:rsidRPr="00BE2C1D" w:rsidRDefault="00BE2C1D" w:rsidP="00BE2C1D">
            <w:pPr>
              <w:rPr>
                <w:rFonts w:ascii="Times New Roman" w:hAnsi="Times New Roman" w:cs="Times New Roman"/>
                <w:sz w:val="20"/>
                <w:szCs w:val="20"/>
              </w:rPr>
            </w:pPr>
          </w:p>
          <w:p w14:paraId="47C24D71" w14:textId="77777777" w:rsidR="00BE2C1D" w:rsidRPr="00BE2C1D" w:rsidRDefault="00BE2C1D" w:rsidP="00BE2C1D">
            <w:pPr>
              <w:rPr>
                <w:rFonts w:ascii="Times New Roman" w:hAnsi="Times New Roman" w:cs="Times New Roman"/>
              </w:rPr>
            </w:pPr>
          </w:p>
          <w:p w14:paraId="0421BB73" w14:textId="77777777" w:rsidR="00BE2C1D" w:rsidRPr="00BE2C1D" w:rsidRDefault="00BE2C1D" w:rsidP="00BE2C1D">
            <w:pPr>
              <w:rPr>
                <w:rFonts w:ascii="Times New Roman" w:hAnsi="Times New Roman" w:cs="Times New Roman"/>
                <w:sz w:val="20"/>
                <w:szCs w:val="20"/>
              </w:rPr>
            </w:pPr>
            <w:r w:rsidRPr="00BE2C1D">
              <w:rPr>
                <w:rFonts w:ascii="Times New Roman" w:hAnsi="Times New Roman" w:cs="Times New Roman"/>
              </w:rPr>
              <w:t>Cutler, Silvers, Singh, Marrero, Filkelstein, Tannin &amp;Neuhauser, 1996</w:t>
            </w:r>
            <w:r w:rsidRPr="00BE2C1D">
              <w:rPr>
                <w:rFonts w:ascii="Times New Roman" w:hAnsi="Times New Roman" w:cs="Times New Roman"/>
                <w:sz w:val="20"/>
                <w:szCs w:val="20"/>
              </w:rPr>
              <w:t xml:space="preserve"> (supported by a grant from the </w:t>
            </w:r>
            <w:r w:rsidRPr="00BE2C1D">
              <w:rPr>
                <w:rFonts w:ascii="Times New Roman" w:hAnsi="Times New Roman" w:cs="Times New Roman"/>
                <w:b/>
                <w:sz w:val="20"/>
                <w:szCs w:val="20"/>
                <w:u w:val="single"/>
              </w:rPr>
              <w:t xml:space="preserve">National </w:t>
            </w:r>
            <w:r w:rsidRPr="00BE2C1D">
              <w:rPr>
                <w:rFonts w:ascii="Times New Roman" w:hAnsi="Times New Roman" w:cs="Times New Roman"/>
                <w:b/>
                <w:sz w:val="20"/>
                <w:szCs w:val="20"/>
                <w:u w:val="single"/>
              </w:rPr>
              <w:lastRenderedPageBreak/>
              <w:t>Institutes of Health</w:t>
            </w:r>
            <w:r w:rsidRPr="00BE2C1D">
              <w:rPr>
                <w:rFonts w:ascii="Times New Roman" w:hAnsi="Times New Roman" w:cs="Times New Roman"/>
                <w:sz w:val="20"/>
                <w:szCs w:val="20"/>
              </w:rPr>
              <w:t xml:space="preserve">, Bethesda, Md)    </w:t>
            </w:r>
          </w:p>
          <w:p w14:paraId="1D20E4A0" w14:textId="77777777" w:rsidR="00BE2C1D" w:rsidRPr="00BE2C1D" w:rsidRDefault="00BE2C1D" w:rsidP="00BE2C1D">
            <w:pPr>
              <w:rPr>
                <w:rFonts w:ascii="Times New Roman" w:hAnsi="Times New Roman" w:cs="Times New Roman"/>
                <w:sz w:val="20"/>
                <w:szCs w:val="20"/>
              </w:rPr>
            </w:pPr>
          </w:p>
          <w:p w14:paraId="11EF8A4C" w14:textId="77777777" w:rsidR="00BE2C1D" w:rsidRPr="00BE2C1D" w:rsidRDefault="00BE2C1D" w:rsidP="00BE2C1D">
            <w:pPr>
              <w:rPr>
                <w:rFonts w:ascii="Times New Roman" w:hAnsi="Times New Roman" w:cs="Times New Roman"/>
                <w:sz w:val="20"/>
                <w:szCs w:val="20"/>
              </w:rPr>
            </w:pPr>
          </w:p>
          <w:p w14:paraId="2D99339E" w14:textId="77777777" w:rsidR="00BE2C1D" w:rsidRPr="00BE2C1D" w:rsidRDefault="00BE2C1D" w:rsidP="00BE2C1D">
            <w:pPr>
              <w:rPr>
                <w:rFonts w:ascii="Times New Roman" w:hAnsi="Times New Roman" w:cs="Times New Roman"/>
                <w:sz w:val="20"/>
                <w:szCs w:val="20"/>
              </w:rPr>
            </w:pPr>
          </w:p>
          <w:p w14:paraId="695DFC1A" w14:textId="77777777" w:rsidR="00BE2C1D" w:rsidRPr="00BE2C1D" w:rsidRDefault="00BE2C1D" w:rsidP="00BE2C1D">
            <w:pPr>
              <w:rPr>
                <w:rFonts w:ascii="Times New Roman" w:hAnsi="Times New Roman" w:cs="Times New Roman"/>
                <w:sz w:val="20"/>
                <w:szCs w:val="20"/>
              </w:rPr>
            </w:pPr>
          </w:p>
          <w:p w14:paraId="559D6B21" w14:textId="77777777" w:rsidR="00BE2C1D" w:rsidRPr="00BE2C1D" w:rsidRDefault="00BE2C1D" w:rsidP="00BE2C1D">
            <w:pPr>
              <w:rPr>
                <w:rFonts w:ascii="Times New Roman" w:hAnsi="Times New Roman" w:cs="Times New Roman"/>
                <w:sz w:val="20"/>
                <w:szCs w:val="20"/>
              </w:rPr>
            </w:pPr>
          </w:p>
          <w:p w14:paraId="1323AA3B" w14:textId="77777777" w:rsidR="00BE2C1D" w:rsidRPr="00BE2C1D" w:rsidRDefault="00BE2C1D" w:rsidP="00BE2C1D">
            <w:pPr>
              <w:rPr>
                <w:rFonts w:ascii="Times New Roman" w:hAnsi="Times New Roman" w:cs="Times New Roman"/>
                <w:sz w:val="20"/>
                <w:szCs w:val="20"/>
              </w:rPr>
            </w:pPr>
          </w:p>
          <w:p w14:paraId="5A4659B9" w14:textId="77777777" w:rsidR="00BE2C1D" w:rsidRPr="00BE2C1D" w:rsidRDefault="00BE2C1D" w:rsidP="00BE2C1D">
            <w:pPr>
              <w:rPr>
                <w:rFonts w:ascii="Times New Roman" w:hAnsi="Times New Roman" w:cs="Times New Roman"/>
                <w:sz w:val="20"/>
                <w:szCs w:val="20"/>
              </w:rPr>
            </w:pPr>
          </w:p>
          <w:p w14:paraId="57ECE233" w14:textId="77777777" w:rsidR="00BE2C1D" w:rsidRPr="00BE2C1D" w:rsidRDefault="00BE2C1D" w:rsidP="00BE2C1D">
            <w:pPr>
              <w:rPr>
                <w:rFonts w:ascii="Times New Roman" w:hAnsi="Times New Roman" w:cs="Times New Roman"/>
                <w:sz w:val="20"/>
                <w:szCs w:val="20"/>
              </w:rPr>
            </w:pPr>
          </w:p>
          <w:p w14:paraId="35AEB01F" w14:textId="77777777" w:rsidR="00BE2C1D" w:rsidRPr="00BE2C1D" w:rsidRDefault="00BE2C1D" w:rsidP="00BE2C1D">
            <w:pPr>
              <w:rPr>
                <w:rFonts w:ascii="Times New Roman" w:hAnsi="Times New Roman" w:cs="Times New Roman"/>
                <w:sz w:val="20"/>
                <w:szCs w:val="20"/>
              </w:rPr>
            </w:pPr>
          </w:p>
          <w:p w14:paraId="09A756D4" w14:textId="77777777" w:rsidR="00BE2C1D" w:rsidRPr="00BE2C1D" w:rsidRDefault="00BE2C1D" w:rsidP="00BE2C1D">
            <w:pPr>
              <w:rPr>
                <w:rFonts w:ascii="Times New Roman" w:hAnsi="Times New Roman" w:cs="Times New Roman"/>
                <w:sz w:val="20"/>
                <w:szCs w:val="20"/>
              </w:rPr>
            </w:pPr>
          </w:p>
          <w:p w14:paraId="73BAB404" w14:textId="77777777" w:rsidR="00BE2C1D" w:rsidRPr="00BE2C1D" w:rsidRDefault="00BE2C1D" w:rsidP="00BE2C1D">
            <w:pPr>
              <w:rPr>
                <w:rFonts w:ascii="Times New Roman" w:hAnsi="Times New Roman" w:cs="Times New Roman"/>
                <w:sz w:val="20"/>
                <w:szCs w:val="20"/>
              </w:rPr>
            </w:pPr>
          </w:p>
          <w:p w14:paraId="5C98F5B6" w14:textId="77777777" w:rsidR="00BE2C1D" w:rsidRPr="00BE2C1D" w:rsidRDefault="00BE2C1D" w:rsidP="00BE2C1D">
            <w:pPr>
              <w:rPr>
                <w:rFonts w:ascii="Times New Roman" w:hAnsi="Times New Roman" w:cs="Times New Roman"/>
                <w:sz w:val="20"/>
                <w:szCs w:val="20"/>
              </w:rPr>
            </w:pPr>
            <w:r w:rsidRPr="00BE2C1D">
              <w:rPr>
                <w:rFonts w:ascii="Times New Roman" w:hAnsi="Times New Roman" w:cs="Times New Roman"/>
                <w:noProof/>
                <w:sz w:val="20"/>
                <w:szCs w:val="20"/>
                <w:lang w:eastAsia="en-GB"/>
              </w:rPr>
              <mc:AlternateContent>
                <mc:Choice Requires="wps">
                  <w:drawing>
                    <wp:anchor distT="0" distB="0" distL="114300" distR="114300" simplePos="0" relativeHeight="251716608" behindDoc="0" locked="0" layoutInCell="1" allowOverlap="1" wp14:anchorId="208492C5" wp14:editId="18FF4165">
                      <wp:simplePos x="0" y="0"/>
                      <wp:positionH relativeFrom="column">
                        <wp:posOffset>-36195</wp:posOffset>
                      </wp:positionH>
                      <wp:positionV relativeFrom="paragraph">
                        <wp:posOffset>208915</wp:posOffset>
                      </wp:positionV>
                      <wp:extent cx="6000750" cy="28575"/>
                      <wp:effectExtent l="5080" t="9525" r="13970" b="9525"/>
                      <wp:wrapNone/>
                      <wp:docPr id="23" name="Straight Arrow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00750" cy="285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0287A1" id="Straight Arrow Connector 23" o:spid="_x0000_s1026" type="#_x0000_t32" style="position:absolute;margin-left:-2.85pt;margin-top:16.45pt;width:472.5pt;height:2.2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iXl1gEAAJEDAAAOAAAAZHJzL2Uyb0RvYy54bWysU8Fu2zAMvQ/YPwi6L3YypO2MOMWQrrt0&#10;W4B0H8DIsi1MFgVKiZO/H6U62brdhvkgiCL5+PhIr+5PgxVHTcGgq+V8VkqhncLGuK6W358f391J&#10;ESK4Biw6XcuzDvJ+/fbNavSVXmCPttEkGMSFavS17GP0VVEE1esBwgy9duxskQaIbFJXNAQjow+2&#10;WJTlTTEiNZ5Q6RD49eHFKdcZv221it/aNugobC2ZW8wn5XOfzmK9gqoj8L1REw34BxYDGMdFr1AP&#10;EEEcyPwFNRhFGLCNM4VDgW1rlM49cDfz8o9udj14nXthcYK/yhT+H6z6etySME0tF++lcDDwjHaR&#10;wHR9FB+JcBQbdI51RBIcwnqNPlSctnFbSh2rk9v5J1Q/gnC46cF1OvN+PnvGmqeM4lVKMoLnqvvx&#10;CzYcA4eIWbxTS0OCZFnEKc/ofJ2RPkWh+PGmLMvbJY9SsW9xt7xd5gpQXZI9hfhZ4yDSpZZhauba&#10;xTyXguNTiIkaVJeEVNnho7E2L4V1Yqzlh+VimRMCWtMkZwoL1O03lsQR0lrlb2LxKozw4JoM1mto&#10;Pk33CMa+3Lm4dZM8SZEXbffYnLd0kY3nnllOO5oW63c7Z//6k9Y/AQAA//8DAFBLAwQUAAYACAAA&#10;ACEAHTirvt8AAAAIAQAADwAAAGRycy9kb3ducmV2LnhtbEyPwU7DMBBE70j9B2uRekGt04RSEuJU&#10;FVIPHGkrcXXjJQnE6yh2mtCv73KC4+yMZt7m28m24oK9bxwpWC0jEEilMw1VCk7H/eIZhA+ajG4d&#10;oYIf9LAtZne5zowb6R0vh1AJLiGfaQV1CF0mpS9rtNovXYfE3qfrrQ4s+0qaXo9cblsZR9GTtLoh&#10;Xqh1h681lt+HwSpAP6xX0S611entOj58xNevsTsqNb+fdi8gAk7hLwy/+IwOBTOd3UDGi1bBYr3h&#10;pIIkTkGwnyZpAuLMh80jyCKX/x8obgAAAP//AwBQSwECLQAUAAYACAAAACEAtoM4kv4AAADhAQAA&#10;EwAAAAAAAAAAAAAAAAAAAAAAW0NvbnRlbnRfVHlwZXNdLnhtbFBLAQItABQABgAIAAAAIQA4/SH/&#10;1gAAAJQBAAALAAAAAAAAAAAAAAAAAC8BAABfcmVscy8ucmVsc1BLAQItABQABgAIAAAAIQC2ZiXl&#10;1gEAAJEDAAAOAAAAAAAAAAAAAAAAAC4CAABkcnMvZTJvRG9jLnhtbFBLAQItABQABgAIAAAAIQAd&#10;OKu+3wAAAAgBAAAPAAAAAAAAAAAAAAAAADAEAABkcnMvZG93bnJldi54bWxQSwUGAAAAAAQABADz&#10;AAAAPAUAAAAA&#10;"/>
                  </w:pict>
                </mc:Fallback>
              </mc:AlternateContent>
            </w:r>
          </w:p>
          <w:p w14:paraId="7317357C" w14:textId="77777777" w:rsidR="00BE2C1D" w:rsidRPr="00BE2C1D" w:rsidRDefault="00BE2C1D" w:rsidP="00BE2C1D">
            <w:pPr>
              <w:rPr>
                <w:rFonts w:ascii="Times New Roman" w:hAnsi="Times New Roman" w:cs="Times New Roman"/>
              </w:rPr>
            </w:pPr>
            <w:r w:rsidRPr="00BE2C1D">
              <w:rPr>
                <w:rFonts w:ascii="Times New Roman" w:hAnsi="Times New Roman" w:cs="Times New Roman"/>
              </w:rPr>
              <w:t xml:space="preserve">Downie, Mulligan, Stratford, Betts &amp; Voss, 1997 (supported by funding from </w:t>
            </w:r>
            <w:r w:rsidRPr="00BE2C1D">
              <w:rPr>
                <w:rFonts w:ascii="Times New Roman" w:hAnsi="Times New Roman" w:cs="Times New Roman"/>
                <w:b/>
                <w:u w:val="single"/>
              </w:rPr>
              <w:t>Wessex Regional Health Authority</w:t>
            </w:r>
            <w:r w:rsidRPr="00BE2C1D">
              <w:rPr>
                <w:rFonts w:ascii="Times New Roman" w:hAnsi="Times New Roman" w:cs="Times New Roman"/>
              </w:rPr>
              <w:t xml:space="preserve"> and </w:t>
            </w:r>
            <w:r w:rsidRPr="00BE2C1D">
              <w:rPr>
                <w:rFonts w:ascii="Times New Roman" w:hAnsi="Times New Roman" w:cs="Times New Roman"/>
                <w:b/>
                <w:u w:val="single"/>
              </w:rPr>
              <w:t>Wessex Medical Trust from Pharmacia Upjohn</w:t>
            </w:r>
            <w:r w:rsidRPr="00BE2C1D">
              <w:rPr>
                <w:rFonts w:ascii="Times New Roman" w:hAnsi="Times New Roman" w:cs="Times New Roman"/>
              </w:rPr>
              <w:t>)</w:t>
            </w:r>
          </w:p>
          <w:p w14:paraId="5C6BC53D" w14:textId="77777777" w:rsidR="00BE2C1D" w:rsidRPr="00BE2C1D" w:rsidRDefault="00BE2C1D" w:rsidP="00BE2C1D">
            <w:pPr>
              <w:rPr>
                <w:rFonts w:ascii="Times New Roman" w:hAnsi="Times New Roman" w:cs="Times New Roman"/>
              </w:rPr>
            </w:pPr>
          </w:p>
          <w:p w14:paraId="2D7AA448" w14:textId="77777777" w:rsidR="00BE2C1D" w:rsidRPr="00BE2C1D" w:rsidRDefault="00BE2C1D" w:rsidP="00BE2C1D">
            <w:pPr>
              <w:rPr>
                <w:rFonts w:ascii="Times New Roman" w:hAnsi="Times New Roman" w:cs="Times New Roman"/>
              </w:rPr>
            </w:pPr>
          </w:p>
        </w:tc>
        <w:tc>
          <w:tcPr>
            <w:tcW w:w="2175" w:type="dxa"/>
          </w:tcPr>
          <w:p w14:paraId="54FD1FF1" w14:textId="77777777" w:rsidR="00BE2C1D" w:rsidRPr="00BE2C1D" w:rsidRDefault="00BE2C1D" w:rsidP="00BE2C1D">
            <w:pPr>
              <w:spacing w:line="240" w:lineRule="auto"/>
              <w:rPr>
                <w:rFonts w:ascii="Times New Roman" w:hAnsi="Times New Roman" w:cs="Times New Roman"/>
              </w:rPr>
            </w:pPr>
            <w:r w:rsidRPr="00BE2C1D">
              <w:rPr>
                <w:rFonts w:ascii="Times New Roman" w:hAnsi="Times New Roman" w:cs="Times New Roman"/>
              </w:rPr>
              <w:lastRenderedPageBreak/>
              <w:t>Arc.Dis.Ch.</w:t>
            </w:r>
          </w:p>
          <w:p w14:paraId="0DBF4CD3" w14:textId="77777777" w:rsidR="00BE2C1D" w:rsidRPr="00BE2C1D" w:rsidRDefault="00BE2C1D" w:rsidP="00BE2C1D">
            <w:pPr>
              <w:spacing w:line="240" w:lineRule="auto"/>
              <w:rPr>
                <w:rFonts w:ascii="Times New Roman" w:hAnsi="Times New Roman" w:cs="Times New Roman"/>
                <w:i/>
              </w:rPr>
            </w:pPr>
            <w:r w:rsidRPr="00BE2C1D">
              <w:rPr>
                <w:rFonts w:ascii="Times New Roman" w:hAnsi="Times New Roman" w:cs="Times New Roman"/>
                <w:i/>
              </w:rPr>
              <w:t xml:space="preserve">Short stature-the role of </w:t>
            </w:r>
            <w:r w:rsidRPr="00BE2C1D">
              <w:rPr>
                <w:rFonts w:ascii="Times New Roman" w:hAnsi="Times New Roman" w:cs="Times New Roman"/>
                <w:i/>
                <w:color w:val="FF0000"/>
              </w:rPr>
              <w:t>intelligenc</w:t>
            </w:r>
            <w:r w:rsidRPr="00BE2C1D">
              <w:rPr>
                <w:rFonts w:ascii="Times New Roman" w:hAnsi="Times New Roman" w:cs="Times New Roman"/>
                <w:i/>
              </w:rPr>
              <w:t xml:space="preserve">e in </w:t>
            </w:r>
            <w:r w:rsidRPr="00BE2C1D">
              <w:rPr>
                <w:rFonts w:ascii="Times New Roman" w:hAnsi="Times New Roman" w:cs="Times New Roman"/>
                <w:i/>
                <w:color w:val="FF0000"/>
              </w:rPr>
              <w:t>psychosocial adjustment</w:t>
            </w:r>
            <w:r w:rsidRPr="00BE2C1D">
              <w:rPr>
                <w:rFonts w:ascii="Times New Roman" w:hAnsi="Times New Roman" w:cs="Times New Roman"/>
                <w:i/>
              </w:rPr>
              <w:t>.</w:t>
            </w:r>
          </w:p>
          <w:p w14:paraId="7EF3002F" w14:textId="77777777" w:rsidR="00BE2C1D" w:rsidRPr="00BE2C1D" w:rsidRDefault="00BE2C1D" w:rsidP="00BE2C1D">
            <w:pPr>
              <w:rPr>
                <w:rFonts w:ascii="Times New Roman" w:hAnsi="Times New Roman" w:cs="Times New Roman"/>
              </w:rPr>
            </w:pPr>
          </w:p>
          <w:p w14:paraId="4B5AFA7E" w14:textId="77777777" w:rsidR="00BE2C1D" w:rsidRPr="00BE2C1D" w:rsidRDefault="00BE2C1D" w:rsidP="00BE2C1D">
            <w:pPr>
              <w:rPr>
                <w:rFonts w:ascii="Times New Roman" w:hAnsi="Times New Roman" w:cs="Times New Roman"/>
              </w:rPr>
            </w:pPr>
          </w:p>
          <w:p w14:paraId="7C489181" w14:textId="77777777" w:rsidR="00BE2C1D" w:rsidRPr="00BE2C1D" w:rsidRDefault="00BE2C1D" w:rsidP="00BE2C1D">
            <w:pPr>
              <w:rPr>
                <w:rFonts w:ascii="Times New Roman" w:hAnsi="Times New Roman" w:cs="Times New Roman"/>
              </w:rPr>
            </w:pPr>
          </w:p>
          <w:p w14:paraId="07030AFC" w14:textId="77777777" w:rsidR="00BE2C1D" w:rsidRPr="00BE2C1D" w:rsidRDefault="00BE2C1D" w:rsidP="00BE2C1D">
            <w:pPr>
              <w:rPr>
                <w:rFonts w:ascii="Times New Roman" w:hAnsi="Times New Roman" w:cs="Times New Roman"/>
              </w:rPr>
            </w:pPr>
          </w:p>
          <w:p w14:paraId="1AC9289C" w14:textId="77777777" w:rsidR="00BE2C1D" w:rsidRPr="00BE2C1D" w:rsidRDefault="00BE2C1D" w:rsidP="00BE2C1D">
            <w:pPr>
              <w:rPr>
                <w:rFonts w:ascii="Times New Roman" w:hAnsi="Times New Roman" w:cs="Times New Roman"/>
              </w:rPr>
            </w:pPr>
          </w:p>
          <w:p w14:paraId="3227B1F4" w14:textId="77777777" w:rsidR="00BE2C1D" w:rsidRPr="00BE2C1D" w:rsidRDefault="00BE2C1D" w:rsidP="00BE2C1D">
            <w:pPr>
              <w:rPr>
                <w:rFonts w:ascii="Times New Roman" w:hAnsi="Times New Roman" w:cs="Times New Roman"/>
              </w:rPr>
            </w:pPr>
          </w:p>
          <w:p w14:paraId="37E2A9D8" w14:textId="77777777" w:rsidR="00BE2C1D" w:rsidRPr="00BE2C1D" w:rsidRDefault="00BE2C1D" w:rsidP="00BE2C1D">
            <w:pPr>
              <w:rPr>
                <w:rFonts w:ascii="Times New Roman" w:hAnsi="Times New Roman" w:cs="Times New Roman"/>
              </w:rPr>
            </w:pPr>
          </w:p>
          <w:p w14:paraId="0D9A92E5" w14:textId="77777777" w:rsidR="00BE2C1D" w:rsidRPr="00BE2C1D" w:rsidRDefault="00BE2C1D" w:rsidP="00BE2C1D">
            <w:pPr>
              <w:rPr>
                <w:rFonts w:ascii="Times New Roman" w:hAnsi="Times New Roman" w:cs="Times New Roman"/>
              </w:rPr>
            </w:pPr>
          </w:p>
          <w:p w14:paraId="7E022358" w14:textId="77777777" w:rsidR="00BE2C1D" w:rsidRPr="00BE2C1D" w:rsidRDefault="00BE2C1D" w:rsidP="00BE2C1D">
            <w:pPr>
              <w:rPr>
                <w:rFonts w:ascii="Times New Roman" w:hAnsi="Times New Roman" w:cs="Times New Roman"/>
              </w:rPr>
            </w:pPr>
          </w:p>
          <w:p w14:paraId="3312E41A" w14:textId="77777777" w:rsidR="00BE2C1D" w:rsidRPr="00BE2C1D" w:rsidRDefault="00BE2C1D" w:rsidP="00BE2C1D">
            <w:pPr>
              <w:rPr>
                <w:rFonts w:ascii="Times New Roman" w:hAnsi="Times New Roman" w:cs="Times New Roman"/>
              </w:rPr>
            </w:pPr>
          </w:p>
          <w:p w14:paraId="76C57A1B" w14:textId="77777777" w:rsidR="00BE2C1D" w:rsidRPr="00BE2C1D" w:rsidRDefault="00BE2C1D" w:rsidP="00BE2C1D">
            <w:pPr>
              <w:rPr>
                <w:rFonts w:ascii="Times New Roman" w:hAnsi="Times New Roman" w:cs="Times New Roman"/>
              </w:rPr>
            </w:pPr>
          </w:p>
          <w:p w14:paraId="10EA54A6" w14:textId="77777777" w:rsidR="00BE2C1D" w:rsidRPr="00BE2C1D" w:rsidRDefault="00BE2C1D" w:rsidP="00BE2C1D">
            <w:pPr>
              <w:rPr>
                <w:rFonts w:ascii="Times New Roman" w:hAnsi="Times New Roman" w:cs="Times New Roman"/>
              </w:rPr>
            </w:pPr>
          </w:p>
          <w:p w14:paraId="08BE1B15" w14:textId="77777777" w:rsidR="00BE2C1D" w:rsidRPr="00BE2C1D" w:rsidRDefault="00BE2C1D" w:rsidP="00BE2C1D">
            <w:pPr>
              <w:rPr>
                <w:rFonts w:ascii="Times New Roman" w:hAnsi="Times New Roman" w:cs="Times New Roman"/>
              </w:rPr>
            </w:pPr>
          </w:p>
          <w:p w14:paraId="00219FA4" w14:textId="77777777" w:rsidR="00BE2C1D" w:rsidRPr="00BE2C1D" w:rsidRDefault="00BE2C1D" w:rsidP="00BE2C1D">
            <w:pPr>
              <w:rPr>
                <w:rFonts w:ascii="Times New Roman" w:hAnsi="Times New Roman" w:cs="Times New Roman"/>
              </w:rPr>
            </w:pPr>
          </w:p>
          <w:p w14:paraId="24F61419" w14:textId="77777777" w:rsidR="00BE2C1D" w:rsidRPr="00BE2C1D" w:rsidRDefault="00BE2C1D" w:rsidP="00BE2C1D">
            <w:pPr>
              <w:rPr>
                <w:rFonts w:ascii="Times New Roman" w:hAnsi="Times New Roman" w:cs="Times New Roman"/>
              </w:rPr>
            </w:pPr>
          </w:p>
          <w:p w14:paraId="0F6DBB6F" w14:textId="77777777" w:rsidR="00BE2C1D" w:rsidRPr="00BE2C1D" w:rsidRDefault="00BE2C1D" w:rsidP="00BE2C1D">
            <w:pPr>
              <w:rPr>
                <w:rFonts w:ascii="Times New Roman" w:hAnsi="Times New Roman" w:cs="Times New Roman"/>
              </w:rPr>
            </w:pPr>
          </w:p>
          <w:p w14:paraId="7FBC4399" w14:textId="77777777" w:rsidR="00BE2C1D" w:rsidRPr="00BE2C1D" w:rsidRDefault="00BE2C1D" w:rsidP="00BE2C1D">
            <w:pPr>
              <w:rPr>
                <w:rFonts w:ascii="Times New Roman" w:hAnsi="Times New Roman" w:cs="Times New Roman"/>
              </w:rPr>
            </w:pPr>
          </w:p>
          <w:p w14:paraId="747A4036" w14:textId="77777777" w:rsidR="00BE2C1D" w:rsidRPr="00BE2C1D" w:rsidRDefault="00BE2C1D" w:rsidP="00BE2C1D">
            <w:pPr>
              <w:rPr>
                <w:rFonts w:ascii="Times New Roman" w:hAnsi="Times New Roman" w:cs="Times New Roman"/>
              </w:rPr>
            </w:pPr>
          </w:p>
          <w:p w14:paraId="10FE4CBC" w14:textId="77777777" w:rsidR="00BE2C1D" w:rsidRPr="00BE2C1D" w:rsidRDefault="00BE2C1D" w:rsidP="00BE2C1D">
            <w:pPr>
              <w:rPr>
                <w:rFonts w:ascii="Times New Roman" w:hAnsi="Times New Roman" w:cs="Times New Roman"/>
              </w:rPr>
            </w:pPr>
          </w:p>
          <w:p w14:paraId="06D2782E" w14:textId="77777777" w:rsidR="00BE2C1D" w:rsidRPr="00BE2C1D" w:rsidRDefault="00BE2C1D" w:rsidP="00BE2C1D">
            <w:pPr>
              <w:rPr>
                <w:rFonts w:ascii="Times New Roman" w:hAnsi="Times New Roman" w:cs="Times New Roman"/>
              </w:rPr>
            </w:pPr>
          </w:p>
          <w:p w14:paraId="535932CF" w14:textId="77777777" w:rsidR="00BE2C1D" w:rsidRPr="00BE2C1D" w:rsidRDefault="00BE2C1D" w:rsidP="00BE2C1D">
            <w:pPr>
              <w:rPr>
                <w:rFonts w:ascii="Times New Roman" w:hAnsi="Times New Roman" w:cs="Times New Roman"/>
              </w:rPr>
            </w:pPr>
          </w:p>
          <w:p w14:paraId="1FFF0E96" w14:textId="77777777" w:rsidR="00BE2C1D" w:rsidRPr="00BE2C1D" w:rsidRDefault="00BE2C1D" w:rsidP="00BE2C1D">
            <w:pPr>
              <w:rPr>
                <w:rFonts w:ascii="Times New Roman" w:hAnsi="Times New Roman" w:cs="Times New Roman"/>
              </w:rPr>
            </w:pPr>
          </w:p>
          <w:p w14:paraId="16DF4CBD" w14:textId="77777777" w:rsidR="00BE2C1D" w:rsidRPr="00BE2C1D" w:rsidRDefault="00BE2C1D" w:rsidP="00BE2C1D">
            <w:pPr>
              <w:rPr>
                <w:rFonts w:ascii="Times New Roman" w:hAnsi="Times New Roman" w:cs="Times New Roman"/>
              </w:rPr>
            </w:pPr>
          </w:p>
          <w:p w14:paraId="0F8FA3A3" w14:textId="77777777" w:rsidR="00BE2C1D" w:rsidRPr="00BE2C1D" w:rsidRDefault="00BE2C1D" w:rsidP="00BE2C1D">
            <w:pPr>
              <w:rPr>
                <w:rFonts w:ascii="Times New Roman" w:hAnsi="Times New Roman" w:cs="Times New Roman"/>
              </w:rPr>
            </w:pPr>
          </w:p>
          <w:p w14:paraId="148567CE" w14:textId="77777777" w:rsidR="00BE2C1D" w:rsidRPr="00BE2C1D" w:rsidRDefault="00BE2C1D" w:rsidP="00BE2C1D">
            <w:pPr>
              <w:rPr>
                <w:rFonts w:ascii="Times New Roman" w:hAnsi="Times New Roman" w:cs="Times New Roman"/>
              </w:rPr>
            </w:pPr>
          </w:p>
          <w:p w14:paraId="5CEBF72B" w14:textId="77777777" w:rsidR="00BE2C1D" w:rsidRPr="00BE2C1D" w:rsidRDefault="00BE2C1D" w:rsidP="00BE2C1D">
            <w:pPr>
              <w:rPr>
                <w:rFonts w:ascii="Times New Roman" w:hAnsi="Times New Roman" w:cs="Times New Roman"/>
              </w:rPr>
            </w:pPr>
          </w:p>
          <w:p w14:paraId="63760256" w14:textId="77777777" w:rsidR="00BE2C1D" w:rsidRPr="00BE2C1D" w:rsidRDefault="00BE2C1D" w:rsidP="00BE2C1D">
            <w:pPr>
              <w:rPr>
                <w:rFonts w:ascii="Times New Roman" w:hAnsi="Times New Roman" w:cs="Times New Roman"/>
              </w:rPr>
            </w:pPr>
          </w:p>
          <w:p w14:paraId="414495A7" w14:textId="77777777" w:rsidR="00BE2C1D" w:rsidRPr="00BE2C1D" w:rsidRDefault="00BE2C1D" w:rsidP="00BE2C1D">
            <w:pPr>
              <w:rPr>
                <w:rFonts w:ascii="Times New Roman" w:hAnsi="Times New Roman" w:cs="Times New Roman"/>
              </w:rPr>
            </w:pPr>
          </w:p>
          <w:p w14:paraId="7F2DFD88" w14:textId="77777777" w:rsidR="00BE2C1D" w:rsidRPr="00BE2C1D" w:rsidRDefault="00BE2C1D" w:rsidP="00BE2C1D">
            <w:pPr>
              <w:rPr>
                <w:rFonts w:ascii="Times New Roman" w:hAnsi="Times New Roman" w:cs="Times New Roman"/>
              </w:rPr>
            </w:pPr>
          </w:p>
          <w:p w14:paraId="226450C1" w14:textId="77777777" w:rsidR="00BE2C1D" w:rsidRPr="00BE2C1D" w:rsidRDefault="00BE2C1D" w:rsidP="00BE2C1D">
            <w:pPr>
              <w:rPr>
                <w:rFonts w:ascii="Times New Roman" w:hAnsi="Times New Roman" w:cs="Times New Roman"/>
              </w:rPr>
            </w:pPr>
            <w:r w:rsidRPr="00BE2C1D">
              <w:rPr>
                <w:rFonts w:ascii="Times New Roman" w:hAnsi="Times New Roman" w:cs="Times New Roman"/>
              </w:rPr>
              <w:t>Arc.Dis.Ch.</w:t>
            </w:r>
          </w:p>
          <w:p w14:paraId="7D7AC9CF" w14:textId="77777777" w:rsidR="00BE2C1D" w:rsidRPr="00BE2C1D" w:rsidRDefault="00BE2C1D" w:rsidP="00BE2C1D">
            <w:pPr>
              <w:spacing w:line="240" w:lineRule="auto"/>
              <w:rPr>
                <w:rFonts w:ascii="Times New Roman" w:hAnsi="Times New Roman" w:cs="Times New Roman"/>
                <w:i/>
              </w:rPr>
            </w:pPr>
            <w:r w:rsidRPr="00BE2C1D">
              <w:rPr>
                <w:rFonts w:ascii="Times New Roman" w:hAnsi="Times New Roman" w:cs="Times New Roman"/>
                <w:i/>
                <w:color w:val="FF0000"/>
              </w:rPr>
              <w:t xml:space="preserve">Psychological </w:t>
            </w:r>
            <w:r w:rsidRPr="00BE2C1D">
              <w:rPr>
                <w:rFonts w:ascii="Times New Roman" w:hAnsi="Times New Roman" w:cs="Times New Roman"/>
                <w:i/>
              </w:rPr>
              <w:t xml:space="preserve">response to growth hormone treatment in </w:t>
            </w:r>
            <w:r w:rsidRPr="00BE2C1D">
              <w:rPr>
                <w:rFonts w:ascii="Times New Roman" w:hAnsi="Times New Roman" w:cs="Times New Roman"/>
                <w:i/>
                <w:color w:val="FF0000"/>
                <w:u w:val="single"/>
              </w:rPr>
              <w:t xml:space="preserve">short normal </w:t>
            </w:r>
            <w:r w:rsidRPr="00BE2C1D">
              <w:rPr>
                <w:rFonts w:ascii="Times New Roman" w:hAnsi="Times New Roman" w:cs="Times New Roman"/>
                <w:i/>
              </w:rPr>
              <w:t>children.</w:t>
            </w:r>
          </w:p>
          <w:p w14:paraId="6A9D1843" w14:textId="77777777" w:rsidR="00BE2C1D" w:rsidRPr="00BE2C1D" w:rsidRDefault="00BE2C1D" w:rsidP="00BE2C1D">
            <w:pPr>
              <w:rPr>
                <w:rFonts w:ascii="Times New Roman" w:hAnsi="Times New Roman" w:cs="Times New Roman"/>
              </w:rPr>
            </w:pPr>
          </w:p>
          <w:p w14:paraId="27B8AB2B" w14:textId="77777777" w:rsidR="00BE2C1D" w:rsidRPr="00BE2C1D" w:rsidRDefault="00BE2C1D" w:rsidP="00BE2C1D">
            <w:pPr>
              <w:rPr>
                <w:rFonts w:ascii="Times New Roman" w:hAnsi="Times New Roman" w:cs="Times New Roman"/>
              </w:rPr>
            </w:pPr>
          </w:p>
          <w:p w14:paraId="728B4884" w14:textId="77777777" w:rsidR="00BE2C1D" w:rsidRPr="00BE2C1D" w:rsidRDefault="00BE2C1D" w:rsidP="00BE2C1D">
            <w:pPr>
              <w:rPr>
                <w:rFonts w:ascii="Times New Roman" w:hAnsi="Times New Roman" w:cs="Times New Roman"/>
              </w:rPr>
            </w:pPr>
          </w:p>
          <w:p w14:paraId="6469DD1F" w14:textId="77777777" w:rsidR="00BE2C1D" w:rsidRPr="00BE2C1D" w:rsidRDefault="00BE2C1D" w:rsidP="00BE2C1D">
            <w:pPr>
              <w:rPr>
                <w:rFonts w:ascii="Times New Roman" w:hAnsi="Times New Roman" w:cs="Times New Roman"/>
              </w:rPr>
            </w:pPr>
          </w:p>
          <w:p w14:paraId="4C54E120" w14:textId="77777777" w:rsidR="00BE2C1D" w:rsidRPr="00BE2C1D" w:rsidRDefault="00BE2C1D" w:rsidP="00BE2C1D">
            <w:pPr>
              <w:rPr>
                <w:rFonts w:ascii="Times New Roman" w:hAnsi="Times New Roman" w:cs="Times New Roman"/>
              </w:rPr>
            </w:pPr>
          </w:p>
          <w:p w14:paraId="6F4D73EB" w14:textId="77777777" w:rsidR="00BE2C1D" w:rsidRPr="00BE2C1D" w:rsidRDefault="00BE2C1D" w:rsidP="00BE2C1D">
            <w:pPr>
              <w:rPr>
                <w:rFonts w:ascii="Times New Roman" w:hAnsi="Times New Roman" w:cs="Times New Roman"/>
              </w:rPr>
            </w:pPr>
          </w:p>
          <w:p w14:paraId="096502C6" w14:textId="77777777" w:rsidR="00BE2C1D" w:rsidRPr="00BE2C1D" w:rsidRDefault="00BE2C1D" w:rsidP="00BE2C1D">
            <w:pPr>
              <w:rPr>
                <w:rFonts w:ascii="Times New Roman" w:hAnsi="Times New Roman" w:cs="Times New Roman"/>
              </w:rPr>
            </w:pPr>
          </w:p>
          <w:p w14:paraId="032817E9" w14:textId="77777777" w:rsidR="00BE2C1D" w:rsidRPr="00BE2C1D" w:rsidRDefault="00BE2C1D" w:rsidP="00BE2C1D">
            <w:pPr>
              <w:spacing w:line="240" w:lineRule="auto"/>
              <w:rPr>
                <w:rFonts w:ascii="Times New Roman" w:hAnsi="Times New Roman" w:cs="Times New Roman"/>
              </w:rPr>
            </w:pPr>
          </w:p>
          <w:p w14:paraId="3429FF0A" w14:textId="77777777" w:rsidR="00BE2C1D" w:rsidRPr="00BE2C1D" w:rsidRDefault="00BE2C1D" w:rsidP="00BE2C1D">
            <w:pPr>
              <w:spacing w:line="240" w:lineRule="auto"/>
              <w:rPr>
                <w:rFonts w:ascii="Times New Roman" w:hAnsi="Times New Roman" w:cs="Times New Roman"/>
              </w:rPr>
            </w:pPr>
          </w:p>
          <w:p w14:paraId="4A2A01B8" w14:textId="77777777" w:rsidR="00BE2C1D" w:rsidRPr="00BE2C1D" w:rsidRDefault="00BE2C1D" w:rsidP="00BE2C1D">
            <w:pPr>
              <w:spacing w:line="240" w:lineRule="auto"/>
              <w:rPr>
                <w:rFonts w:ascii="Times New Roman" w:hAnsi="Times New Roman" w:cs="Times New Roman"/>
              </w:rPr>
            </w:pPr>
          </w:p>
          <w:p w14:paraId="4890CD94" w14:textId="77777777" w:rsidR="00BE2C1D" w:rsidRPr="00BE2C1D" w:rsidRDefault="00BE2C1D" w:rsidP="00BE2C1D">
            <w:pPr>
              <w:spacing w:line="240" w:lineRule="auto"/>
              <w:rPr>
                <w:rFonts w:ascii="Times New Roman" w:hAnsi="Times New Roman" w:cs="Times New Roman"/>
              </w:rPr>
            </w:pPr>
          </w:p>
          <w:p w14:paraId="762B8985" w14:textId="77777777" w:rsidR="00BE2C1D" w:rsidRPr="00BE2C1D" w:rsidRDefault="00BE2C1D" w:rsidP="00BE2C1D">
            <w:pPr>
              <w:spacing w:line="240" w:lineRule="auto"/>
              <w:rPr>
                <w:rFonts w:ascii="Times New Roman" w:hAnsi="Times New Roman" w:cs="Times New Roman"/>
              </w:rPr>
            </w:pPr>
          </w:p>
          <w:p w14:paraId="7F479C96" w14:textId="77777777" w:rsidR="00BE2C1D" w:rsidRPr="00BE2C1D" w:rsidRDefault="00BE2C1D" w:rsidP="00BE2C1D">
            <w:pPr>
              <w:spacing w:line="240" w:lineRule="auto"/>
              <w:rPr>
                <w:rFonts w:ascii="Times New Roman" w:hAnsi="Times New Roman" w:cs="Times New Roman"/>
              </w:rPr>
            </w:pPr>
          </w:p>
          <w:p w14:paraId="794F2EA2" w14:textId="77777777" w:rsidR="00BE2C1D" w:rsidRPr="00BE2C1D" w:rsidRDefault="00BE2C1D" w:rsidP="00BE2C1D">
            <w:pPr>
              <w:spacing w:line="240" w:lineRule="auto"/>
              <w:rPr>
                <w:rFonts w:ascii="Times New Roman" w:hAnsi="Times New Roman" w:cs="Times New Roman"/>
              </w:rPr>
            </w:pPr>
          </w:p>
          <w:p w14:paraId="6DBCFEB3" w14:textId="77777777" w:rsidR="00BE2C1D" w:rsidRPr="00BE2C1D" w:rsidRDefault="00BE2C1D" w:rsidP="00BE2C1D">
            <w:pPr>
              <w:spacing w:line="240" w:lineRule="auto"/>
              <w:rPr>
                <w:rFonts w:ascii="Times New Roman" w:hAnsi="Times New Roman" w:cs="Times New Roman"/>
              </w:rPr>
            </w:pPr>
          </w:p>
          <w:p w14:paraId="068410FE" w14:textId="77777777" w:rsidR="00BE2C1D" w:rsidRPr="00BE2C1D" w:rsidRDefault="00BE2C1D" w:rsidP="00BE2C1D">
            <w:pPr>
              <w:spacing w:line="240" w:lineRule="auto"/>
              <w:rPr>
                <w:rFonts w:ascii="Times New Roman" w:hAnsi="Times New Roman" w:cs="Times New Roman"/>
              </w:rPr>
            </w:pPr>
          </w:p>
          <w:p w14:paraId="138C8C69" w14:textId="77777777" w:rsidR="00BE2C1D" w:rsidRPr="00BE2C1D" w:rsidRDefault="00BE2C1D" w:rsidP="00BE2C1D">
            <w:pPr>
              <w:spacing w:line="240" w:lineRule="auto"/>
              <w:rPr>
                <w:rFonts w:ascii="Times New Roman" w:hAnsi="Times New Roman" w:cs="Times New Roman"/>
              </w:rPr>
            </w:pPr>
          </w:p>
          <w:p w14:paraId="11F34B19" w14:textId="77777777" w:rsidR="00BE2C1D" w:rsidRPr="00BE2C1D" w:rsidRDefault="00BE2C1D" w:rsidP="00BE2C1D">
            <w:pPr>
              <w:spacing w:line="240" w:lineRule="auto"/>
              <w:rPr>
                <w:rFonts w:ascii="Times New Roman" w:hAnsi="Times New Roman" w:cs="Times New Roman"/>
              </w:rPr>
            </w:pPr>
          </w:p>
          <w:p w14:paraId="3D94C557" w14:textId="77777777" w:rsidR="00BE2C1D" w:rsidRPr="00BE2C1D" w:rsidRDefault="00BE2C1D" w:rsidP="00BE2C1D">
            <w:pPr>
              <w:spacing w:line="240" w:lineRule="auto"/>
              <w:rPr>
                <w:rFonts w:ascii="Times New Roman" w:hAnsi="Times New Roman" w:cs="Times New Roman"/>
              </w:rPr>
            </w:pPr>
          </w:p>
          <w:p w14:paraId="0F636A7B" w14:textId="77777777" w:rsidR="00BE2C1D" w:rsidRPr="00BE2C1D" w:rsidRDefault="00BE2C1D" w:rsidP="00BE2C1D">
            <w:pPr>
              <w:spacing w:line="240" w:lineRule="auto"/>
              <w:rPr>
                <w:rFonts w:ascii="Times New Roman" w:hAnsi="Times New Roman" w:cs="Times New Roman"/>
              </w:rPr>
            </w:pPr>
          </w:p>
          <w:p w14:paraId="73F8BC49" w14:textId="77777777" w:rsidR="00BE2C1D" w:rsidRPr="00BE2C1D" w:rsidRDefault="00BE2C1D" w:rsidP="00BE2C1D">
            <w:pPr>
              <w:spacing w:line="240" w:lineRule="auto"/>
              <w:rPr>
                <w:rFonts w:ascii="Times New Roman" w:hAnsi="Times New Roman" w:cs="Times New Roman"/>
              </w:rPr>
            </w:pPr>
          </w:p>
          <w:p w14:paraId="285C20ED" w14:textId="77777777" w:rsidR="00BE2C1D" w:rsidRPr="00BE2C1D" w:rsidRDefault="00BE2C1D" w:rsidP="00BE2C1D">
            <w:pPr>
              <w:spacing w:line="240" w:lineRule="auto"/>
              <w:rPr>
                <w:rFonts w:ascii="Times New Roman" w:hAnsi="Times New Roman" w:cs="Times New Roman"/>
              </w:rPr>
            </w:pPr>
          </w:p>
          <w:p w14:paraId="7167E6DB" w14:textId="77777777" w:rsidR="00BE2C1D" w:rsidRPr="00BE2C1D" w:rsidRDefault="00BE2C1D" w:rsidP="00BE2C1D">
            <w:pPr>
              <w:spacing w:line="240" w:lineRule="auto"/>
              <w:rPr>
                <w:rFonts w:ascii="Times New Roman" w:hAnsi="Times New Roman" w:cs="Times New Roman"/>
              </w:rPr>
            </w:pPr>
          </w:p>
          <w:p w14:paraId="3A1059B1" w14:textId="77777777" w:rsidR="00BE2C1D" w:rsidRPr="00BE2C1D" w:rsidRDefault="00BE2C1D" w:rsidP="00BE2C1D">
            <w:pPr>
              <w:spacing w:line="240" w:lineRule="auto"/>
              <w:rPr>
                <w:rFonts w:ascii="Times New Roman" w:hAnsi="Times New Roman" w:cs="Times New Roman"/>
              </w:rPr>
            </w:pPr>
          </w:p>
          <w:p w14:paraId="204DB824" w14:textId="77777777" w:rsidR="00BE2C1D" w:rsidRPr="00BE2C1D" w:rsidRDefault="00BE2C1D" w:rsidP="00BE2C1D">
            <w:pPr>
              <w:spacing w:line="240" w:lineRule="auto"/>
              <w:rPr>
                <w:rFonts w:ascii="Times New Roman" w:hAnsi="Times New Roman" w:cs="Times New Roman"/>
              </w:rPr>
            </w:pPr>
          </w:p>
          <w:p w14:paraId="609DF293" w14:textId="77777777" w:rsidR="00BE2C1D" w:rsidRPr="00BE2C1D" w:rsidRDefault="00BE2C1D" w:rsidP="00BE2C1D">
            <w:pPr>
              <w:spacing w:line="240" w:lineRule="auto"/>
              <w:rPr>
                <w:rFonts w:ascii="Times New Roman" w:hAnsi="Times New Roman" w:cs="Times New Roman"/>
              </w:rPr>
            </w:pPr>
          </w:p>
          <w:p w14:paraId="266FE5C5" w14:textId="77777777" w:rsidR="00BE2C1D" w:rsidRPr="00BE2C1D" w:rsidRDefault="00BE2C1D" w:rsidP="00BE2C1D">
            <w:pPr>
              <w:spacing w:line="240" w:lineRule="auto"/>
              <w:rPr>
                <w:rFonts w:ascii="Times New Roman" w:hAnsi="Times New Roman" w:cs="Times New Roman"/>
              </w:rPr>
            </w:pPr>
            <w:r w:rsidRPr="00BE2C1D">
              <w:rPr>
                <w:rFonts w:ascii="Times New Roman" w:hAnsi="Times New Roman" w:cs="Times New Roman"/>
              </w:rPr>
              <w:t>J Child PsycholPsychiat</w:t>
            </w:r>
          </w:p>
          <w:p w14:paraId="2DCE6D6A" w14:textId="77777777" w:rsidR="00BE2C1D" w:rsidRPr="00BE2C1D" w:rsidRDefault="00BE2C1D" w:rsidP="00BE2C1D">
            <w:pPr>
              <w:spacing w:line="240" w:lineRule="auto"/>
              <w:rPr>
                <w:rFonts w:ascii="Times New Roman" w:hAnsi="Times New Roman" w:cs="Times New Roman"/>
                <w:i/>
              </w:rPr>
            </w:pPr>
            <w:r w:rsidRPr="00BE2C1D">
              <w:rPr>
                <w:rFonts w:ascii="Times New Roman" w:hAnsi="Times New Roman" w:cs="Times New Roman"/>
                <w:i/>
                <w:color w:val="FF0000"/>
                <w:u w:val="single"/>
              </w:rPr>
              <w:lastRenderedPageBreak/>
              <w:t>Short Normal</w:t>
            </w:r>
            <w:r w:rsidRPr="00BE2C1D">
              <w:rPr>
                <w:rFonts w:ascii="Times New Roman" w:hAnsi="Times New Roman" w:cs="Times New Roman"/>
                <w:i/>
              </w:rPr>
              <w:t xml:space="preserve"> Children and </w:t>
            </w:r>
            <w:r w:rsidRPr="00BE2C1D">
              <w:rPr>
                <w:rFonts w:ascii="Times New Roman" w:hAnsi="Times New Roman" w:cs="Times New Roman"/>
                <w:i/>
                <w:color w:val="FF0000"/>
              </w:rPr>
              <w:t>Environmental Disadvantage</w:t>
            </w:r>
            <w:r w:rsidRPr="00BE2C1D">
              <w:rPr>
                <w:rFonts w:ascii="Times New Roman" w:hAnsi="Times New Roman" w:cs="Times New Roman"/>
                <w:i/>
              </w:rPr>
              <w:t xml:space="preserve">: A Longitudinal Study of Growth and </w:t>
            </w:r>
            <w:r w:rsidRPr="00BE2C1D">
              <w:rPr>
                <w:rFonts w:ascii="Times New Roman" w:hAnsi="Times New Roman" w:cs="Times New Roman"/>
                <w:i/>
                <w:color w:val="FF0000"/>
              </w:rPr>
              <w:t>Cognitive Development</w:t>
            </w:r>
            <w:r w:rsidRPr="00BE2C1D">
              <w:rPr>
                <w:rFonts w:ascii="Times New Roman" w:hAnsi="Times New Roman" w:cs="Times New Roman"/>
                <w:i/>
              </w:rPr>
              <w:t xml:space="preserve"> from 4 to 11 years</w:t>
            </w:r>
          </w:p>
          <w:p w14:paraId="634853D9" w14:textId="77777777" w:rsidR="00BE2C1D" w:rsidRPr="00BE2C1D" w:rsidRDefault="00BE2C1D" w:rsidP="00BE2C1D">
            <w:pPr>
              <w:rPr>
                <w:rFonts w:ascii="Times New Roman" w:hAnsi="Times New Roman" w:cs="Times New Roman"/>
              </w:rPr>
            </w:pPr>
          </w:p>
          <w:p w14:paraId="68C58B97" w14:textId="77777777" w:rsidR="00BE2C1D" w:rsidRPr="00BE2C1D" w:rsidRDefault="00BE2C1D" w:rsidP="00BE2C1D">
            <w:pPr>
              <w:rPr>
                <w:rFonts w:ascii="Times New Roman" w:hAnsi="Times New Roman" w:cs="Times New Roman"/>
              </w:rPr>
            </w:pPr>
          </w:p>
          <w:p w14:paraId="7D88FEF0" w14:textId="77777777" w:rsidR="00BE2C1D" w:rsidRPr="00BE2C1D" w:rsidRDefault="00BE2C1D" w:rsidP="00BE2C1D">
            <w:pPr>
              <w:rPr>
                <w:rFonts w:ascii="Times New Roman" w:hAnsi="Times New Roman" w:cs="Times New Roman"/>
              </w:rPr>
            </w:pPr>
          </w:p>
          <w:p w14:paraId="0BA92A49" w14:textId="77777777" w:rsidR="00BE2C1D" w:rsidRPr="00BE2C1D" w:rsidRDefault="00BE2C1D" w:rsidP="00BE2C1D">
            <w:pPr>
              <w:rPr>
                <w:rFonts w:ascii="Times New Roman" w:hAnsi="Times New Roman" w:cs="Times New Roman"/>
              </w:rPr>
            </w:pPr>
          </w:p>
          <w:p w14:paraId="73C7F7FA" w14:textId="77777777" w:rsidR="00BE2C1D" w:rsidRPr="00BE2C1D" w:rsidRDefault="00BE2C1D" w:rsidP="00BE2C1D">
            <w:pPr>
              <w:rPr>
                <w:rFonts w:ascii="Times New Roman" w:hAnsi="Times New Roman" w:cs="Times New Roman"/>
              </w:rPr>
            </w:pPr>
          </w:p>
          <w:p w14:paraId="59811A45" w14:textId="77777777" w:rsidR="00BE2C1D" w:rsidRPr="00BE2C1D" w:rsidRDefault="00BE2C1D" w:rsidP="00BE2C1D">
            <w:pPr>
              <w:rPr>
                <w:rFonts w:ascii="Times New Roman" w:hAnsi="Times New Roman" w:cs="Times New Roman"/>
              </w:rPr>
            </w:pPr>
          </w:p>
          <w:p w14:paraId="48D9AAFF" w14:textId="77777777" w:rsidR="00BE2C1D" w:rsidRPr="00BE2C1D" w:rsidRDefault="00BE2C1D" w:rsidP="00BE2C1D">
            <w:pPr>
              <w:spacing w:line="240" w:lineRule="auto"/>
              <w:rPr>
                <w:rFonts w:ascii="Times New Roman" w:hAnsi="Times New Roman" w:cs="Times New Roman"/>
              </w:rPr>
            </w:pPr>
          </w:p>
          <w:p w14:paraId="6181E1FC" w14:textId="77777777" w:rsidR="00BE2C1D" w:rsidRPr="00BE2C1D" w:rsidRDefault="00BE2C1D" w:rsidP="00BE2C1D">
            <w:pPr>
              <w:spacing w:line="240" w:lineRule="auto"/>
              <w:rPr>
                <w:rFonts w:ascii="Times New Roman" w:hAnsi="Times New Roman" w:cs="Times New Roman"/>
              </w:rPr>
            </w:pPr>
          </w:p>
          <w:p w14:paraId="4EC76939" w14:textId="77777777" w:rsidR="00BE2C1D" w:rsidRPr="00BE2C1D" w:rsidRDefault="00BE2C1D" w:rsidP="00BE2C1D">
            <w:pPr>
              <w:spacing w:line="240" w:lineRule="auto"/>
              <w:rPr>
                <w:rFonts w:ascii="Times New Roman" w:hAnsi="Times New Roman" w:cs="Times New Roman"/>
              </w:rPr>
            </w:pPr>
          </w:p>
          <w:p w14:paraId="531C8008" w14:textId="77777777" w:rsidR="00BE2C1D" w:rsidRPr="00BE2C1D" w:rsidRDefault="00BE2C1D" w:rsidP="00BE2C1D">
            <w:pPr>
              <w:spacing w:line="240" w:lineRule="auto"/>
              <w:rPr>
                <w:rFonts w:ascii="Times New Roman" w:hAnsi="Times New Roman" w:cs="Times New Roman"/>
              </w:rPr>
            </w:pPr>
          </w:p>
          <w:p w14:paraId="076881F6" w14:textId="77777777" w:rsidR="00BE2C1D" w:rsidRPr="00BE2C1D" w:rsidRDefault="00BE2C1D" w:rsidP="00BE2C1D">
            <w:pPr>
              <w:spacing w:line="240" w:lineRule="auto"/>
              <w:rPr>
                <w:rFonts w:ascii="Times New Roman" w:hAnsi="Times New Roman" w:cs="Times New Roman"/>
              </w:rPr>
            </w:pPr>
          </w:p>
          <w:p w14:paraId="4F4E5FAE" w14:textId="77777777" w:rsidR="00BE2C1D" w:rsidRPr="00BE2C1D" w:rsidRDefault="00BE2C1D" w:rsidP="00BE2C1D">
            <w:pPr>
              <w:spacing w:line="240" w:lineRule="auto"/>
              <w:rPr>
                <w:rFonts w:ascii="Times New Roman" w:hAnsi="Times New Roman" w:cs="Times New Roman"/>
              </w:rPr>
            </w:pPr>
          </w:p>
          <w:p w14:paraId="0CB98196" w14:textId="77777777" w:rsidR="00BE2C1D" w:rsidRPr="00BE2C1D" w:rsidRDefault="00BE2C1D" w:rsidP="00BE2C1D">
            <w:pPr>
              <w:spacing w:line="240" w:lineRule="auto"/>
              <w:rPr>
                <w:rFonts w:ascii="Times New Roman" w:hAnsi="Times New Roman" w:cs="Times New Roman"/>
              </w:rPr>
            </w:pPr>
          </w:p>
          <w:p w14:paraId="43AD1622" w14:textId="77777777" w:rsidR="00BE2C1D" w:rsidRPr="00BE2C1D" w:rsidRDefault="00BE2C1D" w:rsidP="00BE2C1D">
            <w:pPr>
              <w:spacing w:line="240" w:lineRule="auto"/>
              <w:rPr>
                <w:rFonts w:ascii="Times New Roman" w:hAnsi="Times New Roman" w:cs="Times New Roman"/>
              </w:rPr>
            </w:pPr>
            <w:r w:rsidRPr="00BE2C1D">
              <w:rPr>
                <w:rFonts w:ascii="Times New Roman" w:hAnsi="Times New Roman" w:cs="Times New Roman"/>
              </w:rPr>
              <w:t>JPed.</w:t>
            </w:r>
          </w:p>
          <w:p w14:paraId="6236EA7F" w14:textId="77777777" w:rsidR="00BE2C1D" w:rsidRPr="00BE2C1D" w:rsidRDefault="00BE2C1D" w:rsidP="00BE2C1D">
            <w:pPr>
              <w:spacing w:line="240" w:lineRule="auto"/>
              <w:rPr>
                <w:rFonts w:ascii="Times New Roman" w:hAnsi="Times New Roman" w:cs="Times New Roman"/>
                <w:i/>
              </w:rPr>
            </w:pPr>
            <w:r w:rsidRPr="00BE2C1D">
              <w:rPr>
                <w:rFonts w:ascii="Times New Roman" w:hAnsi="Times New Roman" w:cs="Times New Roman"/>
                <w:i/>
                <w:color w:val="FF0000"/>
              </w:rPr>
              <w:t>Behavior change</w:t>
            </w:r>
            <w:r w:rsidRPr="00BE2C1D">
              <w:rPr>
                <w:rFonts w:ascii="Times New Roman" w:hAnsi="Times New Roman" w:cs="Times New Roman"/>
                <w:i/>
              </w:rPr>
              <w:t xml:space="preserve"> after growth hormone treatment of children with short stature.</w:t>
            </w:r>
          </w:p>
          <w:p w14:paraId="6FCEE34C" w14:textId="77777777" w:rsidR="00BE2C1D" w:rsidRPr="00BE2C1D" w:rsidRDefault="00BE2C1D" w:rsidP="00BE2C1D">
            <w:pPr>
              <w:rPr>
                <w:rFonts w:ascii="Times New Roman" w:hAnsi="Times New Roman" w:cs="Times New Roman"/>
              </w:rPr>
            </w:pPr>
          </w:p>
          <w:p w14:paraId="6EF2E0A7" w14:textId="77777777" w:rsidR="00BE2C1D" w:rsidRPr="00BE2C1D" w:rsidRDefault="00BE2C1D" w:rsidP="00BE2C1D">
            <w:pPr>
              <w:rPr>
                <w:rFonts w:ascii="Times New Roman" w:hAnsi="Times New Roman" w:cs="Times New Roman"/>
              </w:rPr>
            </w:pPr>
          </w:p>
          <w:p w14:paraId="76A16538" w14:textId="77777777" w:rsidR="00BE2C1D" w:rsidRPr="00BE2C1D" w:rsidRDefault="00BE2C1D" w:rsidP="00BE2C1D">
            <w:pPr>
              <w:rPr>
                <w:rFonts w:ascii="Times New Roman" w:hAnsi="Times New Roman" w:cs="Times New Roman"/>
              </w:rPr>
            </w:pPr>
          </w:p>
          <w:p w14:paraId="28B50D9B" w14:textId="77777777" w:rsidR="00BE2C1D" w:rsidRPr="00BE2C1D" w:rsidRDefault="00BE2C1D" w:rsidP="00BE2C1D">
            <w:pPr>
              <w:rPr>
                <w:rFonts w:ascii="Times New Roman" w:hAnsi="Times New Roman" w:cs="Times New Roman"/>
              </w:rPr>
            </w:pPr>
          </w:p>
          <w:p w14:paraId="44D7BB51" w14:textId="77777777" w:rsidR="00BE2C1D" w:rsidRPr="00BE2C1D" w:rsidRDefault="00BE2C1D" w:rsidP="00BE2C1D">
            <w:pPr>
              <w:rPr>
                <w:rFonts w:ascii="Times New Roman" w:hAnsi="Times New Roman" w:cs="Times New Roman"/>
              </w:rPr>
            </w:pPr>
          </w:p>
          <w:p w14:paraId="2339DB42" w14:textId="77777777" w:rsidR="00BE2C1D" w:rsidRPr="00BE2C1D" w:rsidRDefault="00BE2C1D" w:rsidP="00BE2C1D">
            <w:pPr>
              <w:rPr>
                <w:rFonts w:ascii="Times New Roman" w:hAnsi="Times New Roman" w:cs="Times New Roman"/>
              </w:rPr>
            </w:pPr>
          </w:p>
          <w:p w14:paraId="7D9D3BBA" w14:textId="77777777" w:rsidR="00BE2C1D" w:rsidRPr="00BE2C1D" w:rsidRDefault="00BE2C1D" w:rsidP="00BE2C1D">
            <w:pPr>
              <w:rPr>
                <w:rFonts w:ascii="Times New Roman" w:hAnsi="Times New Roman" w:cs="Times New Roman"/>
              </w:rPr>
            </w:pPr>
          </w:p>
          <w:p w14:paraId="14095D16" w14:textId="77777777" w:rsidR="00BE2C1D" w:rsidRPr="00BE2C1D" w:rsidRDefault="00BE2C1D" w:rsidP="00BE2C1D">
            <w:pPr>
              <w:rPr>
                <w:rFonts w:ascii="Times New Roman" w:hAnsi="Times New Roman" w:cs="Times New Roman"/>
              </w:rPr>
            </w:pPr>
          </w:p>
          <w:p w14:paraId="4644DB0D" w14:textId="77777777" w:rsidR="00BE2C1D" w:rsidRPr="00BE2C1D" w:rsidRDefault="00BE2C1D" w:rsidP="00BE2C1D">
            <w:pPr>
              <w:rPr>
                <w:rFonts w:ascii="Times New Roman" w:hAnsi="Times New Roman" w:cs="Times New Roman"/>
              </w:rPr>
            </w:pPr>
          </w:p>
          <w:p w14:paraId="5A945531" w14:textId="77777777" w:rsidR="00BE2C1D" w:rsidRPr="00BE2C1D" w:rsidRDefault="00BE2C1D" w:rsidP="00BE2C1D">
            <w:pPr>
              <w:rPr>
                <w:rFonts w:ascii="Times New Roman" w:hAnsi="Times New Roman" w:cs="Times New Roman"/>
              </w:rPr>
            </w:pPr>
          </w:p>
          <w:p w14:paraId="07951FFB" w14:textId="77777777" w:rsidR="00BE2C1D" w:rsidRPr="00BE2C1D" w:rsidRDefault="00BE2C1D" w:rsidP="00BE2C1D">
            <w:pPr>
              <w:rPr>
                <w:rFonts w:ascii="Times New Roman" w:hAnsi="Times New Roman" w:cs="Times New Roman"/>
              </w:rPr>
            </w:pPr>
          </w:p>
          <w:p w14:paraId="7EF8983A" w14:textId="77777777" w:rsidR="00BE2C1D" w:rsidRPr="00BE2C1D" w:rsidRDefault="00BE2C1D" w:rsidP="00BE2C1D">
            <w:pPr>
              <w:rPr>
                <w:rFonts w:ascii="Times New Roman" w:hAnsi="Times New Roman" w:cs="Times New Roman"/>
              </w:rPr>
            </w:pPr>
          </w:p>
          <w:p w14:paraId="21F4E42E" w14:textId="77777777" w:rsidR="00BE2C1D" w:rsidRPr="00BE2C1D" w:rsidRDefault="00BE2C1D" w:rsidP="00BE2C1D">
            <w:pPr>
              <w:rPr>
                <w:rFonts w:ascii="Times New Roman" w:hAnsi="Times New Roman" w:cs="Times New Roman"/>
              </w:rPr>
            </w:pPr>
          </w:p>
          <w:p w14:paraId="4AE27CF8" w14:textId="77777777" w:rsidR="00BE2C1D" w:rsidRPr="00BE2C1D" w:rsidRDefault="00BE2C1D" w:rsidP="00BE2C1D">
            <w:pPr>
              <w:rPr>
                <w:rFonts w:ascii="Times New Roman" w:hAnsi="Times New Roman" w:cs="Times New Roman"/>
              </w:rPr>
            </w:pPr>
          </w:p>
          <w:p w14:paraId="6DE12223" w14:textId="77777777" w:rsidR="00BE2C1D" w:rsidRPr="00BE2C1D" w:rsidRDefault="00BE2C1D" w:rsidP="00BE2C1D">
            <w:pPr>
              <w:rPr>
                <w:rFonts w:ascii="Times New Roman" w:hAnsi="Times New Roman" w:cs="Times New Roman"/>
              </w:rPr>
            </w:pPr>
          </w:p>
          <w:p w14:paraId="70E79611" w14:textId="77777777" w:rsidR="00BE2C1D" w:rsidRPr="00BE2C1D" w:rsidRDefault="00BE2C1D" w:rsidP="00BE2C1D">
            <w:pPr>
              <w:rPr>
                <w:rFonts w:ascii="Times New Roman" w:hAnsi="Times New Roman" w:cs="Times New Roman"/>
              </w:rPr>
            </w:pPr>
          </w:p>
          <w:p w14:paraId="7F750607" w14:textId="77777777" w:rsidR="00BE2C1D" w:rsidRPr="00BE2C1D" w:rsidRDefault="00BE2C1D" w:rsidP="00BE2C1D">
            <w:pPr>
              <w:rPr>
                <w:rFonts w:ascii="Times New Roman" w:hAnsi="Times New Roman" w:cs="Times New Roman"/>
              </w:rPr>
            </w:pPr>
          </w:p>
          <w:p w14:paraId="4775447C" w14:textId="77777777" w:rsidR="00BE2C1D" w:rsidRPr="00BE2C1D" w:rsidRDefault="00BE2C1D" w:rsidP="00BE2C1D">
            <w:pPr>
              <w:rPr>
                <w:rFonts w:ascii="Times New Roman" w:hAnsi="Times New Roman" w:cs="Times New Roman"/>
              </w:rPr>
            </w:pPr>
          </w:p>
          <w:p w14:paraId="78D13251" w14:textId="77777777" w:rsidR="00BE2C1D" w:rsidRPr="00BE2C1D" w:rsidRDefault="00BE2C1D" w:rsidP="00BE2C1D">
            <w:pPr>
              <w:rPr>
                <w:rFonts w:ascii="Times New Roman" w:hAnsi="Times New Roman" w:cs="Times New Roman"/>
              </w:rPr>
            </w:pPr>
          </w:p>
          <w:p w14:paraId="0C845580" w14:textId="77777777" w:rsidR="00BE2C1D" w:rsidRPr="00BE2C1D" w:rsidRDefault="00BE2C1D" w:rsidP="00BE2C1D">
            <w:pPr>
              <w:rPr>
                <w:rFonts w:ascii="Times New Roman" w:hAnsi="Times New Roman" w:cs="Times New Roman"/>
              </w:rPr>
            </w:pPr>
          </w:p>
          <w:p w14:paraId="4BD0BD95" w14:textId="77777777" w:rsidR="00BE2C1D" w:rsidRPr="00BE2C1D" w:rsidRDefault="00BE2C1D" w:rsidP="00BE2C1D">
            <w:pPr>
              <w:rPr>
                <w:rFonts w:ascii="Times New Roman" w:hAnsi="Times New Roman" w:cs="Times New Roman"/>
              </w:rPr>
            </w:pPr>
          </w:p>
          <w:p w14:paraId="2205CBCE" w14:textId="77777777" w:rsidR="00BE2C1D" w:rsidRPr="00BE2C1D" w:rsidRDefault="00BE2C1D" w:rsidP="00BE2C1D">
            <w:pPr>
              <w:rPr>
                <w:rFonts w:ascii="Times New Roman" w:hAnsi="Times New Roman" w:cs="Times New Roman"/>
              </w:rPr>
            </w:pPr>
          </w:p>
          <w:p w14:paraId="53686D09" w14:textId="77777777" w:rsidR="00BE2C1D" w:rsidRPr="00BE2C1D" w:rsidRDefault="00BE2C1D" w:rsidP="00BE2C1D">
            <w:pPr>
              <w:rPr>
                <w:rFonts w:ascii="Times New Roman" w:hAnsi="Times New Roman" w:cs="Times New Roman"/>
              </w:rPr>
            </w:pPr>
          </w:p>
          <w:p w14:paraId="682BCBE2" w14:textId="77777777" w:rsidR="00BE2C1D" w:rsidRPr="00BE2C1D" w:rsidRDefault="00BE2C1D" w:rsidP="00BE2C1D">
            <w:pPr>
              <w:spacing w:line="240" w:lineRule="auto"/>
              <w:rPr>
                <w:rFonts w:ascii="Times New Roman" w:hAnsi="Times New Roman" w:cs="Times New Roman"/>
              </w:rPr>
            </w:pPr>
            <w:r w:rsidRPr="00BE2C1D">
              <w:rPr>
                <w:rFonts w:ascii="Times New Roman" w:hAnsi="Times New Roman" w:cs="Times New Roman"/>
              </w:rPr>
              <w:t>J Dev BehavPediatr</w:t>
            </w:r>
          </w:p>
          <w:p w14:paraId="7339803B" w14:textId="77777777" w:rsidR="00BE2C1D" w:rsidRPr="00BE2C1D" w:rsidRDefault="00BE2C1D" w:rsidP="00BE2C1D">
            <w:pPr>
              <w:spacing w:line="240" w:lineRule="auto"/>
              <w:rPr>
                <w:rFonts w:ascii="Times New Roman" w:hAnsi="Times New Roman" w:cs="Times New Roman"/>
                <w:i/>
              </w:rPr>
            </w:pPr>
            <w:r w:rsidRPr="00BE2C1D">
              <w:rPr>
                <w:rFonts w:ascii="Times New Roman" w:hAnsi="Times New Roman" w:cs="Times New Roman"/>
                <w:i/>
                <w:color w:val="FF0000"/>
              </w:rPr>
              <w:t>Academic achievement</w:t>
            </w:r>
            <w:r w:rsidRPr="00BE2C1D">
              <w:rPr>
                <w:rFonts w:ascii="Times New Roman" w:hAnsi="Times New Roman" w:cs="Times New Roman"/>
                <w:i/>
              </w:rPr>
              <w:t xml:space="preserve"> and </w:t>
            </w:r>
            <w:r w:rsidRPr="00BE2C1D">
              <w:rPr>
                <w:rFonts w:ascii="Times New Roman" w:hAnsi="Times New Roman" w:cs="Times New Roman"/>
                <w:i/>
                <w:color w:val="FF0000"/>
              </w:rPr>
              <w:t>psychological adjustment</w:t>
            </w:r>
            <w:r w:rsidRPr="00BE2C1D">
              <w:rPr>
                <w:rFonts w:ascii="Times New Roman" w:hAnsi="Times New Roman" w:cs="Times New Roman"/>
                <w:i/>
              </w:rPr>
              <w:t xml:space="preserve"> in short children.</w:t>
            </w:r>
          </w:p>
          <w:p w14:paraId="7FF93D2F" w14:textId="77777777" w:rsidR="00BE2C1D" w:rsidRPr="00BE2C1D" w:rsidRDefault="00BE2C1D" w:rsidP="00BE2C1D">
            <w:pPr>
              <w:rPr>
                <w:rFonts w:ascii="Times New Roman" w:hAnsi="Times New Roman" w:cs="Times New Roman"/>
              </w:rPr>
            </w:pPr>
          </w:p>
          <w:p w14:paraId="17AD27B1" w14:textId="77777777" w:rsidR="00BE2C1D" w:rsidRPr="00BE2C1D" w:rsidRDefault="00BE2C1D" w:rsidP="00BE2C1D">
            <w:pPr>
              <w:rPr>
                <w:rFonts w:ascii="Times New Roman" w:hAnsi="Times New Roman" w:cs="Times New Roman"/>
              </w:rPr>
            </w:pPr>
          </w:p>
          <w:p w14:paraId="68D86F44" w14:textId="77777777" w:rsidR="00BE2C1D" w:rsidRPr="00BE2C1D" w:rsidRDefault="00BE2C1D" w:rsidP="00BE2C1D">
            <w:pPr>
              <w:rPr>
                <w:rFonts w:ascii="Times New Roman" w:hAnsi="Times New Roman" w:cs="Times New Roman"/>
              </w:rPr>
            </w:pPr>
          </w:p>
          <w:p w14:paraId="523165DC" w14:textId="77777777" w:rsidR="00BE2C1D" w:rsidRPr="00BE2C1D" w:rsidRDefault="00BE2C1D" w:rsidP="00BE2C1D">
            <w:pPr>
              <w:rPr>
                <w:rFonts w:ascii="Times New Roman" w:hAnsi="Times New Roman" w:cs="Times New Roman"/>
              </w:rPr>
            </w:pPr>
          </w:p>
          <w:p w14:paraId="4C1D80D0" w14:textId="77777777" w:rsidR="00BE2C1D" w:rsidRPr="00BE2C1D" w:rsidRDefault="00BE2C1D" w:rsidP="00BE2C1D">
            <w:pPr>
              <w:rPr>
                <w:rFonts w:ascii="Times New Roman" w:hAnsi="Times New Roman" w:cs="Times New Roman"/>
              </w:rPr>
            </w:pPr>
          </w:p>
          <w:p w14:paraId="22E387E0" w14:textId="77777777" w:rsidR="00BE2C1D" w:rsidRPr="00BE2C1D" w:rsidRDefault="00BE2C1D" w:rsidP="00BE2C1D">
            <w:pPr>
              <w:rPr>
                <w:rFonts w:ascii="Times New Roman" w:hAnsi="Times New Roman" w:cs="Times New Roman"/>
              </w:rPr>
            </w:pPr>
          </w:p>
          <w:p w14:paraId="0DE06DD3" w14:textId="77777777" w:rsidR="00BE2C1D" w:rsidRPr="00BE2C1D" w:rsidRDefault="00BE2C1D" w:rsidP="00BE2C1D">
            <w:pPr>
              <w:rPr>
                <w:rFonts w:ascii="Times New Roman" w:hAnsi="Times New Roman" w:cs="Times New Roman"/>
              </w:rPr>
            </w:pPr>
          </w:p>
          <w:p w14:paraId="75E1FC22" w14:textId="77777777" w:rsidR="00BE2C1D" w:rsidRPr="00BE2C1D" w:rsidRDefault="00BE2C1D" w:rsidP="00BE2C1D">
            <w:pPr>
              <w:rPr>
                <w:rFonts w:ascii="Times New Roman" w:hAnsi="Times New Roman" w:cs="Times New Roman"/>
              </w:rPr>
            </w:pPr>
          </w:p>
          <w:p w14:paraId="7992A54D" w14:textId="77777777" w:rsidR="00BE2C1D" w:rsidRPr="00BE2C1D" w:rsidRDefault="00BE2C1D" w:rsidP="00BE2C1D">
            <w:pPr>
              <w:rPr>
                <w:rFonts w:ascii="Times New Roman" w:hAnsi="Times New Roman" w:cs="Times New Roman"/>
              </w:rPr>
            </w:pPr>
          </w:p>
          <w:p w14:paraId="09DC6C0B" w14:textId="77777777" w:rsidR="00BE2C1D" w:rsidRPr="00BE2C1D" w:rsidRDefault="00BE2C1D" w:rsidP="00BE2C1D">
            <w:pPr>
              <w:rPr>
                <w:rFonts w:ascii="Times New Roman" w:hAnsi="Times New Roman" w:cs="Times New Roman"/>
              </w:rPr>
            </w:pPr>
          </w:p>
          <w:p w14:paraId="68299937" w14:textId="77777777" w:rsidR="00BE2C1D" w:rsidRPr="00BE2C1D" w:rsidRDefault="00BE2C1D" w:rsidP="00BE2C1D">
            <w:pPr>
              <w:rPr>
                <w:rFonts w:ascii="Times New Roman" w:hAnsi="Times New Roman" w:cs="Times New Roman"/>
              </w:rPr>
            </w:pPr>
          </w:p>
          <w:p w14:paraId="1EE7CE2A" w14:textId="77777777" w:rsidR="00BE2C1D" w:rsidRPr="00BE2C1D" w:rsidRDefault="00BE2C1D" w:rsidP="00BE2C1D">
            <w:pPr>
              <w:rPr>
                <w:rFonts w:ascii="Times New Roman" w:hAnsi="Times New Roman" w:cs="Times New Roman"/>
              </w:rPr>
            </w:pPr>
          </w:p>
          <w:p w14:paraId="3DDCEC69" w14:textId="77777777" w:rsidR="00BE2C1D" w:rsidRPr="00BE2C1D" w:rsidRDefault="00BE2C1D" w:rsidP="00BE2C1D">
            <w:pPr>
              <w:rPr>
                <w:rFonts w:ascii="Times New Roman" w:hAnsi="Times New Roman" w:cs="Times New Roman"/>
              </w:rPr>
            </w:pPr>
          </w:p>
          <w:p w14:paraId="5F66591A" w14:textId="77777777" w:rsidR="00BE2C1D" w:rsidRPr="00BE2C1D" w:rsidRDefault="00BE2C1D" w:rsidP="00BE2C1D">
            <w:pPr>
              <w:spacing w:line="240" w:lineRule="auto"/>
              <w:rPr>
                <w:rFonts w:ascii="Times New Roman" w:hAnsi="Times New Roman" w:cs="Times New Roman"/>
              </w:rPr>
            </w:pPr>
          </w:p>
          <w:p w14:paraId="747515EE" w14:textId="77777777" w:rsidR="00BE2C1D" w:rsidRPr="00BE2C1D" w:rsidRDefault="00BE2C1D" w:rsidP="00BE2C1D">
            <w:pPr>
              <w:spacing w:line="240" w:lineRule="auto"/>
              <w:rPr>
                <w:rFonts w:ascii="Times New Roman" w:hAnsi="Times New Roman" w:cs="Times New Roman"/>
              </w:rPr>
            </w:pPr>
          </w:p>
          <w:p w14:paraId="4AD74359" w14:textId="77777777" w:rsidR="00BE2C1D" w:rsidRPr="00BE2C1D" w:rsidRDefault="00BE2C1D" w:rsidP="00BE2C1D">
            <w:pPr>
              <w:spacing w:line="240" w:lineRule="auto"/>
              <w:rPr>
                <w:rFonts w:ascii="Times New Roman" w:hAnsi="Times New Roman" w:cs="Times New Roman"/>
              </w:rPr>
            </w:pPr>
          </w:p>
          <w:p w14:paraId="3F3F78C9" w14:textId="77777777" w:rsidR="00BE2C1D" w:rsidRPr="00BE2C1D" w:rsidRDefault="00BE2C1D" w:rsidP="00BE2C1D">
            <w:pPr>
              <w:spacing w:line="240" w:lineRule="auto"/>
              <w:rPr>
                <w:rFonts w:ascii="Times New Roman" w:hAnsi="Times New Roman" w:cs="Times New Roman"/>
              </w:rPr>
            </w:pPr>
          </w:p>
          <w:p w14:paraId="01098D7E" w14:textId="77777777" w:rsidR="00BE2C1D" w:rsidRPr="00BE2C1D" w:rsidRDefault="00BE2C1D" w:rsidP="00BE2C1D">
            <w:pPr>
              <w:spacing w:line="240" w:lineRule="auto"/>
              <w:rPr>
                <w:rFonts w:ascii="Times New Roman" w:hAnsi="Times New Roman" w:cs="Times New Roman"/>
              </w:rPr>
            </w:pPr>
            <w:r w:rsidRPr="00BE2C1D">
              <w:rPr>
                <w:rFonts w:ascii="Times New Roman" w:hAnsi="Times New Roman" w:cs="Times New Roman"/>
              </w:rPr>
              <w:t>Ped.</w:t>
            </w:r>
          </w:p>
          <w:p w14:paraId="6685BF69" w14:textId="77777777" w:rsidR="00BE2C1D" w:rsidRPr="00BE2C1D" w:rsidRDefault="00BE2C1D" w:rsidP="00BE2C1D">
            <w:pPr>
              <w:spacing w:line="240" w:lineRule="auto"/>
              <w:rPr>
                <w:rFonts w:ascii="Times New Roman" w:hAnsi="Times New Roman" w:cs="Times New Roman"/>
                <w:i/>
              </w:rPr>
            </w:pPr>
            <w:r w:rsidRPr="00BE2C1D">
              <w:rPr>
                <w:rFonts w:ascii="Times New Roman" w:hAnsi="Times New Roman" w:cs="Times New Roman"/>
                <w:i/>
              </w:rPr>
              <w:t xml:space="preserve">Short stature: a </w:t>
            </w:r>
            <w:r w:rsidRPr="00BE2C1D">
              <w:rPr>
                <w:rFonts w:ascii="Times New Roman" w:hAnsi="Times New Roman" w:cs="Times New Roman"/>
                <w:i/>
                <w:color w:val="FF0000"/>
              </w:rPr>
              <w:t>psychosocial burden</w:t>
            </w:r>
            <w:r w:rsidRPr="00BE2C1D">
              <w:rPr>
                <w:rFonts w:ascii="Times New Roman" w:hAnsi="Times New Roman" w:cs="Times New Roman"/>
                <w:i/>
              </w:rPr>
              <w:t xml:space="preserve"> requiring growth hormone therapy?</w:t>
            </w:r>
          </w:p>
          <w:p w14:paraId="340D1888" w14:textId="77777777" w:rsidR="00BE2C1D" w:rsidRPr="00BE2C1D" w:rsidRDefault="00BE2C1D" w:rsidP="00BE2C1D">
            <w:pPr>
              <w:rPr>
                <w:rFonts w:ascii="Times New Roman" w:hAnsi="Times New Roman" w:cs="Times New Roman"/>
              </w:rPr>
            </w:pPr>
          </w:p>
          <w:p w14:paraId="7572E23C" w14:textId="77777777" w:rsidR="00BE2C1D" w:rsidRPr="00BE2C1D" w:rsidRDefault="00BE2C1D" w:rsidP="00BE2C1D">
            <w:pPr>
              <w:rPr>
                <w:rFonts w:ascii="Times New Roman" w:hAnsi="Times New Roman" w:cs="Times New Roman"/>
              </w:rPr>
            </w:pPr>
          </w:p>
          <w:p w14:paraId="535E06EA" w14:textId="77777777" w:rsidR="00BE2C1D" w:rsidRPr="00BE2C1D" w:rsidRDefault="00BE2C1D" w:rsidP="00BE2C1D">
            <w:pPr>
              <w:rPr>
                <w:rFonts w:ascii="Times New Roman" w:hAnsi="Times New Roman" w:cs="Times New Roman"/>
              </w:rPr>
            </w:pPr>
          </w:p>
          <w:p w14:paraId="593C273B" w14:textId="77777777" w:rsidR="00BE2C1D" w:rsidRPr="00BE2C1D" w:rsidRDefault="00BE2C1D" w:rsidP="00BE2C1D">
            <w:pPr>
              <w:rPr>
                <w:rFonts w:ascii="Times New Roman" w:hAnsi="Times New Roman" w:cs="Times New Roman"/>
              </w:rPr>
            </w:pPr>
          </w:p>
          <w:p w14:paraId="73B9F5AC" w14:textId="77777777" w:rsidR="00BE2C1D" w:rsidRPr="00BE2C1D" w:rsidRDefault="00BE2C1D" w:rsidP="00BE2C1D">
            <w:pPr>
              <w:rPr>
                <w:rFonts w:ascii="Times New Roman" w:hAnsi="Times New Roman" w:cs="Times New Roman"/>
              </w:rPr>
            </w:pPr>
          </w:p>
          <w:p w14:paraId="4012AF43" w14:textId="77777777" w:rsidR="00BE2C1D" w:rsidRPr="00BE2C1D" w:rsidRDefault="00BE2C1D" w:rsidP="00BE2C1D">
            <w:pPr>
              <w:rPr>
                <w:rFonts w:ascii="Times New Roman" w:hAnsi="Times New Roman" w:cs="Times New Roman"/>
              </w:rPr>
            </w:pPr>
          </w:p>
          <w:p w14:paraId="27DA66D9" w14:textId="77777777" w:rsidR="00BE2C1D" w:rsidRPr="00BE2C1D" w:rsidRDefault="00BE2C1D" w:rsidP="00BE2C1D">
            <w:pPr>
              <w:rPr>
                <w:rFonts w:ascii="Times New Roman" w:hAnsi="Times New Roman" w:cs="Times New Roman"/>
              </w:rPr>
            </w:pPr>
          </w:p>
          <w:p w14:paraId="00A84D94" w14:textId="77777777" w:rsidR="00BE2C1D" w:rsidRPr="00BE2C1D" w:rsidRDefault="00BE2C1D" w:rsidP="00BE2C1D">
            <w:pPr>
              <w:rPr>
                <w:rFonts w:ascii="Times New Roman" w:hAnsi="Times New Roman" w:cs="Times New Roman"/>
              </w:rPr>
            </w:pPr>
          </w:p>
          <w:p w14:paraId="53B4E9D3" w14:textId="77777777" w:rsidR="00BE2C1D" w:rsidRPr="00BE2C1D" w:rsidRDefault="00BE2C1D" w:rsidP="00BE2C1D">
            <w:pPr>
              <w:rPr>
                <w:rFonts w:ascii="Times New Roman" w:hAnsi="Times New Roman" w:cs="Times New Roman"/>
              </w:rPr>
            </w:pPr>
          </w:p>
          <w:p w14:paraId="5E7B334C" w14:textId="77777777" w:rsidR="00BE2C1D" w:rsidRPr="00BE2C1D" w:rsidRDefault="00BE2C1D" w:rsidP="00BE2C1D">
            <w:pPr>
              <w:rPr>
                <w:rFonts w:ascii="Times New Roman" w:hAnsi="Times New Roman" w:cs="Times New Roman"/>
              </w:rPr>
            </w:pPr>
          </w:p>
          <w:p w14:paraId="376BC247" w14:textId="77777777" w:rsidR="00BE2C1D" w:rsidRPr="00BE2C1D" w:rsidRDefault="00BE2C1D" w:rsidP="00BE2C1D">
            <w:pPr>
              <w:rPr>
                <w:rFonts w:ascii="Times New Roman" w:hAnsi="Times New Roman" w:cs="Times New Roman"/>
              </w:rPr>
            </w:pPr>
          </w:p>
          <w:p w14:paraId="3C08E533" w14:textId="77777777" w:rsidR="00BE2C1D" w:rsidRPr="00BE2C1D" w:rsidRDefault="00BE2C1D" w:rsidP="00BE2C1D">
            <w:pPr>
              <w:rPr>
                <w:rFonts w:ascii="Times New Roman" w:hAnsi="Times New Roman" w:cs="Times New Roman"/>
              </w:rPr>
            </w:pPr>
          </w:p>
          <w:p w14:paraId="3C4DB357" w14:textId="77777777" w:rsidR="00BE2C1D" w:rsidRPr="00BE2C1D" w:rsidRDefault="00BE2C1D" w:rsidP="00BE2C1D">
            <w:pPr>
              <w:rPr>
                <w:rFonts w:ascii="Times New Roman" w:hAnsi="Times New Roman" w:cs="Times New Roman"/>
              </w:rPr>
            </w:pPr>
          </w:p>
          <w:p w14:paraId="0BE5D3F8" w14:textId="77777777" w:rsidR="00BE2C1D" w:rsidRPr="00BE2C1D" w:rsidRDefault="00BE2C1D" w:rsidP="00BE2C1D">
            <w:pPr>
              <w:rPr>
                <w:rFonts w:ascii="Times New Roman" w:hAnsi="Times New Roman" w:cs="Times New Roman"/>
              </w:rPr>
            </w:pPr>
          </w:p>
          <w:p w14:paraId="0B018FE3" w14:textId="77777777" w:rsidR="00BE2C1D" w:rsidRPr="00BE2C1D" w:rsidRDefault="00BE2C1D" w:rsidP="00BE2C1D">
            <w:pPr>
              <w:rPr>
                <w:rFonts w:ascii="Times New Roman" w:hAnsi="Times New Roman" w:cs="Times New Roman"/>
              </w:rPr>
            </w:pPr>
          </w:p>
          <w:p w14:paraId="55F9B32F" w14:textId="77777777" w:rsidR="00BE2C1D" w:rsidRPr="00BE2C1D" w:rsidRDefault="00BE2C1D" w:rsidP="00BE2C1D">
            <w:pPr>
              <w:rPr>
                <w:rFonts w:ascii="Times New Roman" w:hAnsi="Times New Roman" w:cs="Times New Roman"/>
              </w:rPr>
            </w:pPr>
          </w:p>
          <w:p w14:paraId="675BE2FF" w14:textId="77777777" w:rsidR="00BE2C1D" w:rsidRPr="00BE2C1D" w:rsidRDefault="00BE2C1D" w:rsidP="00BE2C1D">
            <w:pPr>
              <w:rPr>
                <w:rFonts w:ascii="Times New Roman" w:hAnsi="Times New Roman" w:cs="Times New Roman"/>
              </w:rPr>
            </w:pPr>
          </w:p>
          <w:p w14:paraId="4B203112" w14:textId="77777777" w:rsidR="00BE2C1D" w:rsidRPr="00BE2C1D" w:rsidRDefault="00BE2C1D" w:rsidP="00BE2C1D">
            <w:pPr>
              <w:rPr>
                <w:rFonts w:ascii="Times New Roman" w:hAnsi="Times New Roman" w:cs="Times New Roman"/>
              </w:rPr>
            </w:pPr>
          </w:p>
          <w:p w14:paraId="2D07509D" w14:textId="77777777" w:rsidR="00BE2C1D" w:rsidRPr="00BE2C1D" w:rsidRDefault="00BE2C1D" w:rsidP="00BE2C1D">
            <w:pPr>
              <w:rPr>
                <w:rFonts w:ascii="Times New Roman" w:hAnsi="Times New Roman" w:cs="Times New Roman"/>
              </w:rPr>
            </w:pPr>
          </w:p>
          <w:p w14:paraId="0CAC5F0B" w14:textId="77777777" w:rsidR="00BE2C1D" w:rsidRPr="00BE2C1D" w:rsidRDefault="00BE2C1D" w:rsidP="00BE2C1D">
            <w:pPr>
              <w:rPr>
                <w:rFonts w:ascii="Times New Roman" w:hAnsi="Times New Roman" w:cs="Times New Roman"/>
              </w:rPr>
            </w:pPr>
          </w:p>
          <w:p w14:paraId="4BC6F1D3" w14:textId="77777777" w:rsidR="00BE2C1D" w:rsidRPr="00BE2C1D" w:rsidRDefault="00BE2C1D" w:rsidP="00BE2C1D">
            <w:pPr>
              <w:rPr>
                <w:rFonts w:ascii="Times New Roman" w:hAnsi="Times New Roman" w:cs="Times New Roman"/>
              </w:rPr>
            </w:pPr>
          </w:p>
          <w:p w14:paraId="2A381AC6" w14:textId="77777777" w:rsidR="00BE2C1D" w:rsidRPr="00BE2C1D" w:rsidRDefault="00BE2C1D" w:rsidP="00BE2C1D">
            <w:pPr>
              <w:rPr>
                <w:rFonts w:ascii="Times New Roman" w:hAnsi="Times New Roman" w:cs="Times New Roman"/>
              </w:rPr>
            </w:pPr>
          </w:p>
          <w:p w14:paraId="4567DFB7" w14:textId="77777777" w:rsidR="00BE2C1D" w:rsidRPr="00BE2C1D" w:rsidRDefault="00BE2C1D" w:rsidP="00BE2C1D">
            <w:pPr>
              <w:spacing w:line="240" w:lineRule="auto"/>
              <w:rPr>
                <w:rFonts w:ascii="Times New Roman" w:hAnsi="Times New Roman" w:cs="Times New Roman"/>
              </w:rPr>
            </w:pPr>
          </w:p>
          <w:p w14:paraId="3CFE5BC1" w14:textId="77777777" w:rsidR="00BE2C1D" w:rsidRPr="00BE2C1D" w:rsidRDefault="00BE2C1D" w:rsidP="00BE2C1D">
            <w:pPr>
              <w:spacing w:line="240" w:lineRule="auto"/>
              <w:rPr>
                <w:rFonts w:ascii="Times New Roman" w:hAnsi="Times New Roman" w:cs="Times New Roman"/>
              </w:rPr>
            </w:pPr>
            <w:r w:rsidRPr="00BE2C1D">
              <w:rPr>
                <w:rFonts w:ascii="Times New Roman" w:hAnsi="Times New Roman" w:cs="Times New Roman"/>
              </w:rPr>
              <w:t>JAMA</w:t>
            </w:r>
          </w:p>
          <w:p w14:paraId="0512C0A7" w14:textId="77777777" w:rsidR="00BE2C1D" w:rsidRPr="00BE2C1D" w:rsidRDefault="00BE2C1D" w:rsidP="00BE2C1D">
            <w:pPr>
              <w:spacing w:line="240" w:lineRule="auto"/>
              <w:rPr>
                <w:rFonts w:ascii="Times New Roman" w:hAnsi="Times New Roman" w:cs="Times New Roman"/>
                <w:i/>
              </w:rPr>
            </w:pPr>
            <w:r w:rsidRPr="00BE2C1D">
              <w:rPr>
                <w:rFonts w:ascii="Times New Roman" w:hAnsi="Times New Roman" w:cs="Times New Roman"/>
                <w:i/>
              </w:rPr>
              <w:t xml:space="preserve">Short stature and growth hormone therapy: a national study of </w:t>
            </w:r>
            <w:r w:rsidRPr="00BE2C1D">
              <w:rPr>
                <w:rFonts w:ascii="Times New Roman" w:hAnsi="Times New Roman" w:cs="Times New Roman"/>
                <w:i/>
                <w:color w:val="FF0000"/>
              </w:rPr>
              <w:t xml:space="preserve">physician </w:t>
            </w:r>
            <w:r w:rsidRPr="00BE2C1D">
              <w:rPr>
                <w:rFonts w:ascii="Times New Roman" w:hAnsi="Times New Roman" w:cs="Times New Roman"/>
                <w:i/>
              </w:rPr>
              <w:lastRenderedPageBreak/>
              <w:t xml:space="preserve">recommendation patterns. </w:t>
            </w:r>
          </w:p>
          <w:p w14:paraId="3B75695C" w14:textId="77777777" w:rsidR="00BE2C1D" w:rsidRPr="00BE2C1D" w:rsidRDefault="00BE2C1D" w:rsidP="00BE2C1D">
            <w:pPr>
              <w:rPr>
                <w:rFonts w:ascii="Times New Roman" w:hAnsi="Times New Roman" w:cs="Times New Roman"/>
              </w:rPr>
            </w:pPr>
          </w:p>
          <w:p w14:paraId="2257CC16" w14:textId="77777777" w:rsidR="00BE2C1D" w:rsidRPr="00BE2C1D" w:rsidRDefault="00BE2C1D" w:rsidP="00BE2C1D">
            <w:pPr>
              <w:rPr>
                <w:rFonts w:ascii="Times New Roman" w:hAnsi="Times New Roman" w:cs="Times New Roman"/>
              </w:rPr>
            </w:pPr>
          </w:p>
          <w:p w14:paraId="1D3D1D6B" w14:textId="77777777" w:rsidR="00BE2C1D" w:rsidRPr="00BE2C1D" w:rsidRDefault="00BE2C1D" w:rsidP="00BE2C1D">
            <w:pPr>
              <w:rPr>
                <w:rFonts w:ascii="Times New Roman" w:hAnsi="Times New Roman" w:cs="Times New Roman"/>
              </w:rPr>
            </w:pPr>
          </w:p>
          <w:p w14:paraId="4C9E58E7" w14:textId="77777777" w:rsidR="00BE2C1D" w:rsidRPr="00BE2C1D" w:rsidRDefault="00BE2C1D" w:rsidP="00BE2C1D">
            <w:pPr>
              <w:rPr>
                <w:rFonts w:ascii="Times New Roman" w:hAnsi="Times New Roman" w:cs="Times New Roman"/>
              </w:rPr>
            </w:pPr>
          </w:p>
          <w:p w14:paraId="71C5773F" w14:textId="77777777" w:rsidR="00BE2C1D" w:rsidRPr="00BE2C1D" w:rsidRDefault="00BE2C1D" w:rsidP="00BE2C1D">
            <w:pPr>
              <w:rPr>
                <w:rFonts w:ascii="Times New Roman" w:hAnsi="Times New Roman" w:cs="Times New Roman"/>
              </w:rPr>
            </w:pPr>
          </w:p>
          <w:p w14:paraId="3F7CAA37" w14:textId="77777777" w:rsidR="00BE2C1D" w:rsidRPr="00BE2C1D" w:rsidRDefault="00BE2C1D" w:rsidP="00BE2C1D">
            <w:pPr>
              <w:rPr>
                <w:rFonts w:ascii="Times New Roman" w:hAnsi="Times New Roman" w:cs="Times New Roman"/>
              </w:rPr>
            </w:pPr>
          </w:p>
          <w:p w14:paraId="2C9AE369" w14:textId="77777777" w:rsidR="00BE2C1D" w:rsidRPr="00BE2C1D" w:rsidRDefault="00BE2C1D" w:rsidP="00BE2C1D">
            <w:pPr>
              <w:rPr>
                <w:rFonts w:ascii="Times New Roman" w:hAnsi="Times New Roman" w:cs="Times New Roman"/>
              </w:rPr>
            </w:pPr>
          </w:p>
          <w:p w14:paraId="4D130E68" w14:textId="77777777" w:rsidR="00BE2C1D" w:rsidRPr="00BE2C1D" w:rsidRDefault="00BE2C1D" w:rsidP="00BE2C1D">
            <w:pPr>
              <w:rPr>
                <w:rFonts w:ascii="Times New Roman" w:hAnsi="Times New Roman" w:cs="Times New Roman"/>
              </w:rPr>
            </w:pPr>
          </w:p>
          <w:p w14:paraId="6F1C8EC2" w14:textId="77777777" w:rsidR="00BE2C1D" w:rsidRPr="00BE2C1D" w:rsidRDefault="00BE2C1D" w:rsidP="00BE2C1D">
            <w:pPr>
              <w:rPr>
                <w:rFonts w:ascii="Times New Roman" w:hAnsi="Times New Roman" w:cs="Times New Roman"/>
              </w:rPr>
            </w:pPr>
          </w:p>
          <w:p w14:paraId="359DA6A8" w14:textId="77777777" w:rsidR="00BE2C1D" w:rsidRPr="00BE2C1D" w:rsidRDefault="00BE2C1D" w:rsidP="00BE2C1D">
            <w:pPr>
              <w:rPr>
                <w:rFonts w:ascii="Times New Roman" w:hAnsi="Times New Roman" w:cs="Times New Roman"/>
              </w:rPr>
            </w:pPr>
          </w:p>
          <w:p w14:paraId="7C0F505F" w14:textId="77777777" w:rsidR="00BE2C1D" w:rsidRPr="00BE2C1D" w:rsidRDefault="00BE2C1D" w:rsidP="00BE2C1D">
            <w:pPr>
              <w:rPr>
                <w:rFonts w:ascii="Times New Roman" w:hAnsi="Times New Roman" w:cs="Times New Roman"/>
              </w:rPr>
            </w:pPr>
          </w:p>
          <w:p w14:paraId="728B4871" w14:textId="77777777" w:rsidR="00BE2C1D" w:rsidRPr="00BE2C1D" w:rsidRDefault="00BE2C1D" w:rsidP="00BE2C1D">
            <w:pPr>
              <w:spacing w:line="240" w:lineRule="auto"/>
              <w:rPr>
                <w:rFonts w:ascii="Times New Roman" w:hAnsi="Times New Roman" w:cs="Times New Roman"/>
              </w:rPr>
            </w:pPr>
          </w:p>
          <w:p w14:paraId="646701AC" w14:textId="77777777" w:rsidR="00BE2C1D" w:rsidRPr="00BE2C1D" w:rsidRDefault="00BE2C1D" w:rsidP="00BE2C1D">
            <w:pPr>
              <w:spacing w:line="240" w:lineRule="auto"/>
              <w:rPr>
                <w:rFonts w:ascii="Times New Roman" w:hAnsi="Times New Roman" w:cs="Times New Roman"/>
              </w:rPr>
            </w:pPr>
            <w:r w:rsidRPr="00BE2C1D">
              <w:rPr>
                <w:rFonts w:ascii="Times New Roman" w:hAnsi="Times New Roman" w:cs="Times New Roman"/>
              </w:rPr>
              <w:t>BMJ</w:t>
            </w:r>
          </w:p>
          <w:p w14:paraId="5EB80F9B" w14:textId="77777777" w:rsidR="00BE2C1D" w:rsidRPr="00BE2C1D" w:rsidRDefault="00BE2C1D" w:rsidP="00BE2C1D">
            <w:pPr>
              <w:spacing w:line="240" w:lineRule="auto"/>
              <w:rPr>
                <w:rFonts w:ascii="Times New Roman" w:hAnsi="Times New Roman" w:cs="Times New Roman"/>
                <w:i/>
              </w:rPr>
            </w:pPr>
            <w:r w:rsidRPr="00BE2C1D">
              <w:rPr>
                <w:rFonts w:ascii="Times New Roman" w:hAnsi="Times New Roman" w:cs="Times New Roman"/>
                <w:i/>
              </w:rPr>
              <w:t xml:space="preserve">Are </w:t>
            </w:r>
            <w:r w:rsidRPr="00BE2C1D">
              <w:rPr>
                <w:rFonts w:ascii="Times New Roman" w:hAnsi="Times New Roman" w:cs="Times New Roman"/>
                <w:i/>
                <w:color w:val="FF0000"/>
              </w:rPr>
              <w:t>short normal children</w:t>
            </w:r>
            <w:r w:rsidRPr="00BE2C1D">
              <w:rPr>
                <w:rFonts w:ascii="Times New Roman" w:hAnsi="Times New Roman" w:cs="Times New Roman"/>
                <w:i/>
              </w:rPr>
              <w:t xml:space="preserve"> at a </w:t>
            </w:r>
            <w:r w:rsidRPr="00BE2C1D">
              <w:rPr>
                <w:rFonts w:ascii="Times New Roman" w:hAnsi="Times New Roman" w:cs="Times New Roman"/>
                <w:i/>
                <w:color w:val="FF0000"/>
              </w:rPr>
              <w:t>disadvantage</w:t>
            </w:r>
            <w:r w:rsidRPr="00BE2C1D">
              <w:rPr>
                <w:rFonts w:ascii="Times New Roman" w:hAnsi="Times New Roman" w:cs="Times New Roman"/>
                <w:i/>
              </w:rPr>
              <w:t>?The Wessex Growth Study.</w:t>
            </w:r>
          </w:p>
        </w:tc>
        <w:tc>
          <w:tcPr>
            <w:tcW w:w="2864" w:type="dxa"/>
          </w:tcPr>
          <w:p w14:paraId="563B8B45" w14:textId="77777777" w:rsidR="00BE2C1D" w:rsidRPr="00BE2C1D" w:rsidRDefault="00BE2C1D" w:rsidP="00BE2C1D">
            <w:pPr>
              <w:rPr>
                <w:rFonts w:asciiTheme="majorBidi" w:hAnsiTheme="majorBidi" w:cstheme="majorBidi"/>
                <w:sz w:val="20"/>
                <w:szCs w:val="20"/>
              </w:rPr>
            </w:pPr>
            <w:r w:rsidRPr="00BE2C1D">
              <w:rPr>
                <w:rFonts w:asciiTheme="majorBidi" w:hAnsiTheme="majorBidi" w:cstheme="majorBidi"/>
                <w:sz w:val="20"/>
                <w:szCs w:val="20"/>
              </w:rPr>
              <w:lastRenderedPageBreak/>
              <w:t xml:space="preserve">Sample: 22 short children in case group (15 “short normal” children and 7 with Silver Russel low birthweight syndrome)-recruited from </w:t>
            </w:r>
            <w:r w:rsidRPr="00BE2C1D">
              <w:rPr>
                <w:rFonts w:asciiTheme="majorBidi" w:hAnsiTheme="majorBidi" w:cstheme="majorBidi"/>
                <w:b/>
                <w:bCs/>
                <w:sz w:val="20"/>
                <w:szCs w:val="20"/>
                <w:u w:val="single"/>
              </w:rPr>
              <w:t>growth clinics</w:t>
            </w:r>
          </w:p>
          <w:p w14:paraId="455AA75D" w14:textId="77777777" w:rsidR="00BE2C1D" w:rsidRPr="00BE2C1D" w:rsidRDefault="00BE2C1D" w:rsidP="00BE2C1D">
            <w:pPr>
              <w:rPr>
                <w:rFonts w:asciiTheme="majorBidi" w:hAnsiTheme="majorBidi" w:cstheme="majorBidi"/>
                <w:sz w:val="20"/>
                <w:szCs w:val="20"/>
              </w:rPr>
            </w:pPr>
            <w:r w:rsidRPr="00BE2C1D">
              <w:rPr>
                <w:rFonts w:asciiTheme="majorBidi" w:hAnsiTheme="majorBidi" w:cstheme="majorBidi"/>
                <w:sz w:val="20"/>
                <w:szCs w:val="20"/>
              </w:rPr>
              <w:t>22 children in control group</w:t>
            </w:r>
          </w:p>
          <w:p w14:paraId="41D377B2" w14:textId="77777777" w:rsidR="00BE2C1D" w:rsidRPr="00BE2C1D" w:rsidRDefault="00BE2C1D" w:rsidP="00BE2C1D">
            <w:pPr>
              <w:rPr>
                <w:rFonts w:asciiTheme="majorBidi" w:hAnsiTheme="majorBidi" w:cstheme="majorBidi"/>
                <w:sz w:val="20"/>
                <w:szCs w:val="20"/>
              </w:rPr>
            </w:pPr>
            <w:r w:rsidRPr="00BE2C1D">
              <w:rPr>
                <w:rFonts w:asciiTheme="majorBidi" w:hAnsiTheme="majorBidi" w:cstheme="majorBidi"/>
                <w:sz w:val="20"/>
                <w:szCs w:val="20"/>
              </w:rPr>
              <w:t>Methods-Tools</w:t>
            </w:r>
          </w:p>
          <w:p w14:paraId="68A3CA7E" w14:textId="77777777" w:rsidR="00BE2C1D" w:rsidRPr="00BE2C1D" w:rsidRDefault="00BE2C1D" w:rsidP="00BE2C1D">
            <w:pPr>
              <w:rPr>
                <w:rFonts w:asciiTheme="majorBidi" w:hAnsiTheme="majorBidi" w:cstheme="majorBidi"/>
                <w:sz w:val="20"/>
                <w:szCs w:val="20"/>
              </w:rPr>
            </w:pPr>
            <w:r w:rsidRPr="00BE2C1D">
              <w:rPr>
                <w:rFonts w:asciiTheme="majorBidi" w:hAnsiTheme="majorBidi" w:cstheme="majorBidi"/>
                <w:sz w:val="20"/>
                <w:szCs w:val="20"/>
              </w:rPr>
              <w:t>Anthropometric measures</w:t>
            </w:r>
          </w:p>
          <w:p w14:paraId="6E9C3403" w14:textId="77777777" w:rsidR="00BE2C1D" w:rsidRPr="00BE2C1D" w:rsidRDefault="00BE2C1D" w:rsidP="00BE2C1D">
            <w:pPr>
              <w:rPr>
                <w:rFonts w:asciiTheme="majorBidi" w:hAnsiTheme="majorBidi" w:cstheme="majorBidi"/>
                <w:i/>
                <w:iCs/>
                <w:color w:val="525252" w:themeColor="accent3" w:themeShade="80"/>
                <w:sz w:val="20"/>
                <w:szCs w:val="20"/>
              </w:rPr>
            </w:pPr>
            <w:r w:rsidRPr="00BE2C1D">
              <w:rPr>
                <w:rFonts w:asciiTheme="majorBidi" w:hAnsiTheme="majorBidi" w:cstheme="majorBidi"/>
                <w:i/>
                <w:iCs/>
                <w:color w:val="525252" w:themeColor="accent3" w:themeShade="80"/>
                <w:sz w:val="20"/>
                <w:szCs w:val="20"/>
              </w:rPr>
              <w:t>Cognitive ability</w:t>
            </w:r>
          </w:p>
          <w:p w14:paraId="79845B09" w14:textId="77777777" w:rsidR="00BE2C1D" w:rsidRPr="00BE2C1D" w:rsidRDefault="00BE2C1D" w:rsidP="00BE2C1D">
            <w:pPr>
              <w:rPr>
                <w:rFonts w:asciiTheme="majorBidi" w:hAnsiTheme="majorBidi" w:cstheme="majorBidi"/>
                <w:color w:val="525252" w:themeColor="accent3" w:themeShade="80"/>
                <w:sz w:val="20"/>
                <w:szCs w:val="20"/>
              </w:rPr>
            </w:pPr>
            <w:r w:rsidRPr="00BE2C1D">
              <w:rPr>
                <w:rFonts w:asciiTheme="majorBidi" w:hAnsiTheme="majorBidi" w:cstheme="majorBidi"/>
                <w:color w:val="525252" w:themeColor="accent3" w:themeShade="80"/>
                <w:sz w:val="20"/>
                <w:szCs w:val="20"/>
              </w:rPr>
              <w:t>Wechsler Intelligence Scales for Children-III</w:t>
            </w:r>
          </w:p>
          <w:p w14:paraId="65A56386" w14:textId="77777777" w:rsidR="00BE2C1D" w:rsidRPr="00BE2C1D" w:rsidRDefault="00BE2C1D" w:rsidP="00BE2C1D">
            <w:pPr>
              <w:rPr>
                <w:rFonts w:asciiTheme="majorBidi" w:hAnsiTheme="majorBidi" w:cstheme="majorBidi"/>
                <w:sz w:val="20"/>
                <w:szCs w:val="20"/>
              </w:rPr>
            </w:pPr>
            <w:r w:rsidRPr="00BE2C1D">
              <w:rPr>
                <w:rFonts w:asciiTheme="majorBidi" w:hAnsiTheme="majorBidi" w:cstheme="majorBidi"/>
                <w:i/>
                <w:iCs/>
                <w:color w:val="BF8F00" w:themeColor="accent4" w:themeShade="BF"/>
                <w:sz w:val="20"/>
                <w:szCs w:val="20"/>
              </w:rPr>
              <w:t>Self-perception</w:t>
            </w:r>
            <w:r w:rsidRPr="00BE2C1D">
              <w:rPr>
                <w:rFonts w:asciiTheme="majorBidi" w:hAnsiTheme="majorBidi" w:cstheme="majorBidi"/>
                <w:i/>
                <w:iCs/>
                <w:sz w:val="20"/>
                <w:szCs w:val="20"/>
              </w:rPr>
              <w:t xml:space="preserve"> (</w:t>
            </w:r>
            <w:r w:rsidRPr="00BE2C1D">
              <w:rPr>
                <w:rFonts w:asciiTheme="majorBidi" w:hAnsiTheme="majorBidi" w:cstheme="majorBidi"/>
                <w:sz w:val="20"/>
                <w:szCs w:val="20"/>
              </w:rPr>
              <w:t xml:space="preserve">global self-worth, social competence, athletic competence, </w:t>
            </w:r>
            <w:r w:rsidRPr="00BE2C1D">
              <w:rPr>
                <w:rFonts w:asciiTheme="majorBidi" w:hAnsiTheme="majorBidi" w:cstheme="majorBidi"/>
                <w:color w:val="8496B0" w:themeColor="text2" w:themeTint="99"/>
                <w:sz w:val="20"/>
                <w:szCs w:val="20"/>
              </w:rPr>
              <w:t>behavioural competence</w:t>
            </w:r>
            <w:r w:rsidRPr="00BE2C1D">
              <w:rPr>
                <w:rFonts w:asciiTheme="majorBidi" w:hAnsiTheme="majorBidi" w:cstheme="majorBidi"/>
                <w:sz w:val="20"/>
                <w:szCs w:val="20"/>
              </w:rPr>
              <w:t>, and physical appearance).</w:t>
            </w:r>
          </w:p>
          <w:p w14:paraId="14E8043E" w14:textId="77777777" w:rsidR="00BE2C1D" w:rsidRPr="00BE2C1D" w:rsidRDefault="00BE2C1D" w:rsidP="00BE2C1D">
            <w:pPr>
              <w:rPr>
                <w:rFonts w:asciiTheme="majorBidi" w:hAnsiTheme="majorBidi" w:cstheme="majorBidi"/>
                <w:color w:val="BF8F00" w:themeColor="accent4" w:themeShade="BF"/>
                <w:sz w:val="20"/>
                <w:szCs w:val="20"/>
              </w:rPr>
            </w:pPr>
            <w:r w:rsidRPr="00BE2C1D">
              <w:rPr>
                <w:rFonts w:asciiTheme="majorBidi" w:hAnsiTheme="majorBidi" w:cstheme="majorBidi"/>
                <w:color w:val="BF8F00" w:themeColor="accent4" w:themeShade="BF"/>
                <w:sz w:val="20"/>
                <w:szCs w:val="20"/>
              </w:rPr>
              <w:t>Harter Self Perception Profile for Children</w:t>
            </w:r>
          </w:p>
          <w:p w14:paraId="23F77BF7" w14:textId="77777777" w:rsidR="00BE2C1D" w:rsidRPr="00BE2C1D" w:rsidRDefault="00BE2C1D" w:rsidP="00BE2C1D">
            <w:pPr>
              <w:rPr>
                <w:rFonts w:asciiTheme="majorBidi" w:hAnsiTheme="majorBidi" w:cstheme="majorBidi"/>
                <w:i/>
                <w:iCs/>
                <w:color w:val="538135" w:themeColor="accent6" w:themeShade="BF"/>
                <w:sz w:val="20"/>
                <w:szCs w:val="20"/>
              </w:rPr>
            </w:pPr>
            <w:r w:rsidRPr="00BE2C1D">
              <w:rPr>
                <w:rFonts w:asciiTheme="majorBidi" w:hAnsiTheme="majorBidi" w:cstheme="majorBidi"/>
                <w:i/>
                <w:iCs/>
                <w:color w:val="538135" w:themeColor="accent6" w:themeShade="BF"/>
                <w:sz w:val="20"/>
                <w:szCs w:val="20"/>
              </w:rPr>
              <w:t>Social support (perceived social support from teachers, classmates, friends and parents)</w:t>
            </w:r>
          </w:p>
          <w:p w14:paraId="685B8A78" w14:textId="77777777" w:rsidR="00BE2C1D" w:rsidRPr="00BE2C1D" w:rsidRDefault="00BE2C1D" w:rsidP="00BE2C1D">
            <w:pPr>
              <w:rPr>
                <w:rFonts w:asciiTheme="majorBidi" w:hAnsiTheme="majorBidi" w:cstheme="majorBidi"/>
                <w:color w:val="538135" w:themeColor="accent6" w:themeShade="BF"/>
                <w:sz w:val="20"/>
                <w:szCs w:val="20"/>
              </w:rPr>
            </w:pPr>
            <w:r w:rsidRPr="00BE2C1D">
              <w:rPr>
                <w:rFonts w:asciiTheme="majorBidi" w:hAnsiTheme="majorBidi" w:cstheme="majorBidi"/>
                <w:color w:val="538135" w:themeColor="accent6" w:themeShade="BF"/>
                <w:sz w:val="20"/>
                <w:szCs w:val="20"/>
              </w:rPr>
              <w:t>Manual for the social support scale for children (Harter, 1985)</w:t>
            </w:r>
          </w:p>
          <w:p w14:paraId="1ADC1256" w14:textId="77777777" w:rsidR="00BE2C1D" w:rsidRPr="00BE2C1D" w:rsidRDefault="00BE2C1D" w:rsidP="00BE2C1D">
            <w:pPr>
              <w:rPr>
                <w:rFonts w:asciiTheme="majorBidi" w:hAnsiTheme="majorBidi" w:cstheme="majorBidi"/>
                <w:color w:val="538135" w:themeColor="accent6" w:themeShade="BF"/>
                <w:sz w:val="20"/>
                <w:szCs w:val="20"/>
              </w:rPr>
            </w:pPr>
            <w:r w:rsidRPr="00BE2C1D">
              <w:rPr>
                <w:rFonts w:asciiTheme="majorBidi" w:hAnsiTheme="majorBidi" w:cstheme="majorBidi"/>
                <w:color w:val="538135" w:themeColor="accent6" w:themeShade="BF"/>
                <w:sz w:val="20"/>
                <w:szCs w:val="20"/>
              </w:rPr>
              <w:t>The Harter Pictorial Scale of perceived competence and social acceptance (children under 8 years).</w:t>
            </w:r>
          </w:p>
          <w:p w14:paraId="07B82092" w14:textId="77777777" w:rsidR="00BE2C1D" w:rsidRPr="00BE2C1D" w:rsidRDefault="00BE2C1D" w:rsidP="00BE2C1D">
            <w:pPr>
              <w:rPr>
                <w:rFonts w:asciiTheme="majorBidi" w:hAnsiTheme="majorBidi" w:cstheme="majorBidi"/>
                <w:i/>
                <w:iCs/>
                <w:color w:val="BF8F00" w:themeColor="accent4" w:themeShade="BF"/>
                <w:sz w:val="20"/>
                <w:szCs w:val="20"/>
              </w:rPr>
            </w:pPr>
            <w:r w:rsidRPr="00BE2C1D">
              <w:rPr>
                <w:rFonts w:asciiTheme="majorBidi" w:hAnsiTheme="majorBidi" w:cstheme="majorBidi"/>
                <w:i/>
                <w:iCs/>
                <w:color w:val="BF8F00" w:themeColor="accent4" w:themeShade="BF"/>
                <w:sz w:val="20"/>
                <w:szCs w:val="20"/>
              </w:rPr>
              <w:t>Self-perception</w:t>
            </w:r>
          </w:p>
          <w:p w14:paraId="3DC644C6" w14:textId="77777777" w:rsidR="00BE2C1D" w:rsidRPr="00BE2C1D" w:rsidRDefault="00BE2C1D" w:rsidP="00BE2C1D">
            <w:pPr>
              <w:rPr>
                <w:rFonts w:asciiTheme="majorBidi" w:hAnsiTheme="majorBidi" w:cstheme="majorBidi"/>
                <w:color w:val="BF8F00" w:themeColor="accent4" w:themeShade="BF"/>
                <w:sz w:val="20"/>
                <w:szCs w:val="20"/>
              </w:rPr>
            </w:pPr>
            <w:r w:rsidRPr="00BE2C1D">
              <w:rPr>
                <w:rFonts w:asciiTheme="majorBidi" w:hAnsiTheme="majorBidi" w:cstheme="majorBidi"/>
                <w:color w:val="BF8F00" w:themeColor="accent4" w:themeShade="BF"/>
                <w:sz w:val="20"/>
                <w:szCs w:val="20"/>
              </w:rPr>
              <w:t>The Body Image Perception and Attitude Scale for Children (BIPAS)</w:t>
            </w:r>
          </w:p>
          <w:p w14:paraId="7A49418F" w14:textId="77777777" w:rsidR="00BE2C1D" w:rsidRPr="00BE2C1D" w:rsidRDefault="00BE2C1D" w:rsidP="00BE2C1D">
            <w:pPr>
              <w:rPr>
                <w:rFonts w:asciiTheme="majorBidi" w:hAnsiTheme="majorBidi" w:cstheme="majorBidi"/>
                <w:i/>
                <w:iCs/>
                <w:color w:val="538135" w:themeColor="accent6" w:themeShade="BF"/>
                <w:sz w:val="20"/>
                <w:szCs w:val="20"/>
              </w:rPr>
            </w:pPr>
            <w:r w:rsidRPr="00BE2C1D">
              <w:rPr>
                <w:rFonts w:asciiTheme="majorBidi" w:hAnsiTheme="majorBidi" w:cstheme="majorBidi"/>
                <w:i/>
                <w:iCs/>
                <w:color w:val="538135" w:themeColor="accent6" w:themeShade="BF"/>
                <w:sz w:val="20"/>
                <w:szCs w:val="20"/>
              </w:rPr>
              <w:t>Social acceptance (social preference: the degree to which the individual is liked &amp; social impact: the extent to which the individual is socially visible)</w:t>
            </w:r>
          </w:p>
          <w:p w14:paraId="6764FEC9" w14:textId="77777777" w:rsidR="00BE2C1D" w:rsidRPr="00BE2C1D" w:rsidRDefault="00BE2C1D" w:rsidP="00BE2C1D">
            <w:pPr>
              <w:rPr>
                <w:rFonts w:asciiTheme="majorBidi" w:hAnsiTheme="majorBidi" w:cstheme="majorBidi"/>
                <w:i/>
                <w:iCs/>
                <w:color w:val="538135" w:themeColor="accent6" w:themeShade="BF"/>
                <w:sz w:val="20"/>
                <w:szCs w:val="20"/>
              </w:rPr>
            </w:pPr>
            <w:r w:rsidRPr="00BE2C1D">
              <w:rPr>
                <w:rFonts w:asciiTheme="majorBidi" w:hAnsiTheme="majorBidi" w:cstheme="majorBidi"/>
                <w:color w:val="538135" w:themeColor="accent6" w:themeShade="BF"/>
                <w:sz w:val="20"/>
                <w:szCs w:val="20"/>
              </w:rPr>
              <w:t>Peer rating methodology developed by Asher and Dodge (1986)</w:t>
            </w:r>
          </w:p>
          <w:p w14:paraId="288F5E55" w14:textId="77777777" w:rsidR="00BE2C1D" w:rsidRPr="00BE2C1D" w:rsidRDefault="00BE2C1D" w:rsidP="00BE2C1D">
            <w:pPr>
              <w:rPr>
                <w:rFonts w:asciiTheme="majorBidi" w:hAnsiTheme="majorBidi" w:cstheme="majorBidi"/>
                <w:i/>
                <w:iCs/>
                <w:color w:val="385623" w:themeColor="accent6" w:themeShade="80"/>
                <w:sz w:val="20"/>
                <w:szCs w:val="20"/>
              </w:rPr>
            </w:pPr>
            <w:r w:rsidRPr="00BE2C1D">
              <w:rPr>
                <w:rFonts w:asciiTheme="majorBidi" w:hAnsiTheme="majorBidi" w:cstheme="majorBidi"/>
                <w:i/>
                <w:iCs/>
                <w:color w:val="385623" w:themeColor="accent6" w:themeShade="80"/>
                <w:sz w:val="20"/>
                <w:szCs w:val="20"/>
              </w:rPr>
              <w:t>Social competence</w:t>
            </w:r>
          </w:p>
          <w:p w14:paraId="1F229947" w14:textId="77777777" w:rsidR="00BE2C1D" w:rsidRPr="00BE2C1D" w:rsidRDefault="00BE2C1D" w:rsidP="00BE2C1D">
            <w:pPr>
              <w:rPr>
                <w:rFonts w:asciiTheme="majorBidi" w:hAnsiTheme="majorBidi" w:cstheme="majorBidi"/>
                <w:color w:val="538135" w:themeColor="accent6" w:themeShade="BF"/>
                <w:sz w:val="20"/>
                <w:szCs w:val="20"/>
              </w:rPr>
            </w:pPr>
            <w:r w:rsidRPr="00BE2C1D">
              <w:rPr>
                <w:rFonts w:asciiTheme="majorBidi" w:hAnsiTheme="majorBidi" w:cstheme="majorBidi"/>
                <w:color w:val="385623" w:themeColor="accent6" w:themeShade="80"/>
                <w:sz w:val="20"/>
                <w:szCs w:val="20"/>
              </w:rPr>
              <w:t xml:space="preserve">Children’s Interpersonal Problem Solving Scale (CHIPS)-three story roots </w:t>
            </w:r>
            <w:r w:rsidRPr="00BE2C1D">
              <w:rPr>
                <w:rFonts w:asciiTheme="majorBidi" w:hAnsiTheme="majorBidi" w:cstheme="majorBidi"/>
                <w:color w:val="385623" w:themeColor="accent6" w:themeShade="80"/>
                <w:sz w:val="20"/>
                <w:szCs w:val="20"/>
              </w:rPr>
              <w:lastRenderedPageBreak/>
              <w:t>describing hypothetical interpersonal problems</w:t>
            </w:r>
            <w:r w:rsidRPr="00BE2C1D">
              <w:rPr>
                <w:rFonts w:asciiTheme="majorBidi" w:hAnsiTheme="majorBidi" w:cstheme="majorBidi"/>
                <w:color w:val="538135" w:themeColor="accent6" w:themeShade="BF"/>
                <w:sz w:val="20"/>
                <w:szCs w:val="20"/>
              </w:rPr>
              <w:t>.</w:t>
            </w:r>
          </w:p>
          <w:p w14:paraId="0D5F0DB1" w14:textId="77777777" w:rsidR="00BE2C1D" w:rsidRPr="00BE2C1D" w:rsidRDefault="00BE2C1D" w:rsidP="00BE2C1D">
            <w:pPr>
              <w:spacing w:line="240" w:lineRule="auto"/>
              <w:rPr>
                <w:rFonts w:asciiTheme="majorBidi" w:hAnsiTheme="majorBidi" w:cstheme="majorBidi"/>
                <w:sz w:val="20"/>
                <w:szCs w:val="20"/>
              </w:rPr>
            </w:pPr>
            <w:r w:rsidRPr="00BE2C1D">
              <w:rPr>
                <w:rFonts w:asciiTheme="majorBidi" w:hAnsiTheme="majorBidi" w:cstheme="majorBidi"/>
                <w:sz w:val="20"/>
                <w:szCs w:val="20"/>
              </w:rPr>
              <w:t>Sample: 15 short children were allocated to the treatment group (seven boys, eight girls) and 13 to the untreated group (seven boys, six girls). 15 children of average stature om the control group (seven boys and eight girls).</w:t>
            </w:r>
          </w:p>
          <w:p w14:paraId="129CEB10" w14:textId="77777777" w:rsidR="00BE2C1D" w:rsidRPr="00BE2C1D" w:rsidRDefault="00BE2C1D" w:rsidP="00BE2C1D">
            <w:pPr>
              <w:spacing w:line="240" w:lineRule="auto"/>
              <w:rPr>
                <w:rFonts w:asciiTheme="majorBidi" w:hAnsiTheme="majorBidi" w:cstheme="majorBidi"/>
                <w:b/>
                <w:bCs/>
                <w:sz w:val="20"/>
                <w:szCs w:val="20"/>
                <w:u w:val="single"/>
              </w:rPr>
            </w:pPr>
            <w:r w:rsidRPr="00BE2C1D">
              <w:rPr>
                <w:rFonts w:asciiTheme="majorBidi" w:hAnsiTheme="majorBidi" w:cstheme="majorBidi"/>
                <w:sz w:val="20"/>
                <w:szCs w:val="20"/>
              </w:rPr>
              <w:t xml:space="preserve">Recruited from the </w:t>
            </w:r>
            <w:r w:rsidRPr="00BE2C1D">
              <w:rPr>
                <w:rFonts w:asciiTheme="majorBidi" w:hAnsiTheme="majorBidi" w:cstheme="majorBidi"/>
                <w:b/>
                <w:bCs/>
                <w:sz w:val="20"/>
                <w:szCs w:val="20"/>
                <w:u w:val="single"/>
              </w:rPr>
              <w:t>Wessex Growth Study</w:t>
            </w:r>
          </w:p>
          <w:p w14:paraId="28F27B49" w14:textId="77777777" w:rsidR="00BE2C1D" w:rsidRPr="00BE2C1D" w:rsidRDefault="00BE2C1D" w:rsidP="00BE2C1D">
            <w:pPr>
              <w:spacing w:line="240" w:lineRule="auto"/>
              <w:rPr>
                <w:rFonts w:asciiTheme="majorBidi" w:hAnsiTheme="majorBidi" w:cstheme="majorBidi"/>
                <w:sz w:val="20"/>
                <w:szCs w:val="20"/>
              </w:rPr>
            </w:pPr>
            <w:r w:rsidRPr="00BE2C1D">
              <w:rPr>
                <w:rFonts w:asciiTheme="majorBidi" w:hAnsiTheme="majorBidi" w:cstheme="majorBidi"/>
                <w:sz w:val="20"/>
                <w:szCs w:val="20"/>
              </w:rPr>
              <w:t>Methods-Tools</w:t>
            </w:r>
          </w:p>
          <w:p w14:paraId="79707B61" w14:textId="77777777" w:rsidR="00BE2C1D" w:rsidRPr="00BE2C1D" w:rsidRDefault="00BE2C1D" w:rsidP="00BE2C1D">
            <w:pPr>
              <w:spacing w:line="240" w:lineRule="auto"/>
              <w:rPr>
                <w:rFonts w:asciiTheme="majorBidi" w:hAnsiTheme="majorBidi" w:cstheme="majorBidi"/>
                <w:sz w:val="20"/>
                <w:szCs w:val="20"/>
              </w:rPr>
            </w:pPr>
            <w:r w:rsidRPr="00BE2C1D">
              <w:rPr>
                <w:rFonts w:asciiTheme="majorBidi" w:hAnsiTheme="majorBidi" w:cstheme="majorBidi"/>
                <w:sz w:val="20"/>
                <w:szCs w:val="20"/>
              </w:rPr>
              <w:t>Psychometric assessment at 3 and 5 years.</w:t>
            </w:r>
          </w:p>
          <w:p w14:paraId="6B3A2C9A" w14:textId="77777777" w:rsidR="00BE2C1D" w:rsidRPr="00BE2C1D" w:rsidRDefault="00BE2C1D" w:rsidP="00BE2C1D">
            <w:pPr>
              <w:spacing w:line="240" w:lineRule="auto"/>
              <w:rPr>
                <w:rFonts w:asciiTheme="majorBidi" w:hAnsiTheme="majorBidi" w:cstheme="majorBidi"/>
                <w:i/>
                <w:iCs/>
                <w:color w:val="525252" w:themeColor="accent3" w:themeShade="80"/>
                <w:sz w:val="20"/>
                <w:szCs w:val="20"/>
              </w:rPr>
            </w:pPr>
            <w:r w:rsidRPr="00BE2C1D">
              <w:rPr>
                <w:rFonts w:asciiTheme="majorBidi" w:hAnsiTheme="majorBidi" w:cstheme="majorBidi"/>
                <w:i/>
                <w:iCs/>
                <w:color w:val="525252" w:themeColor="accent3" w:themeShade="80"/>
                <w:sz w:val="20"/>
                <w:szCs w:val="20"/>
              </w:rPr>
              <w:t>Intelligence</w:t>
            </w:r>
          </w:p>
          <w:p w14:paraId="31CDED3B" w14:textId="77777777" w:rsidR="00BE2C1D" w:rsidRPr="00BE2C1D" w:rsidRDefault="00BE2C1D" w:rsidP="00BE2C1D">
            <w:pPr>
              <w:spacing w:line="240" w:lineRule="auto"/>
              <w:rPr>
                <w:rFonts w:asciiTheme="majorBidi" w:hAnsiTheme="majorBidi" w:cstheme="majorBidi"/>
                <w:color w:val="525252" w:themeColor="accent3" w:themeShade="80"/>
                <w:sz w:val="20"/>
                <w:szCs w:val="20"/>
              </w:rPr>
            </w:pPr>
            <w:r w:rsidRPr="00BE2C1D">
              <w:rPr>
                <w:rFonts w:asciiTheme="majorBidi" w:hAnsiTheme="majorBidi" w:cstheme="majorBidi"/>
                <w:color w:val="525252" w:themeColor="accent3" w:themeShade="80"/>
                <w:sz w:val="20"/>
                <w:szCs w:val="20"/>
              </w:rPr>
              <w:t>The British ability scales (BAS short from IQ Test).</w:t>
            </w:r>
          </w:p>
          <w:p w14:paraId="4412CFD1" w14:textId="77777777" w:rsidR="00BE2C1D" w:rsidRPr="00BE2C1D" w:rsidRDefault="00BE2C1D" w:rsidP="00BE2C1D">
            <w:pPr>
              <w:spacing w:line="240" w:lineRule="auto"/>
              <w:rPr>
                <w:rFonts w:asciiTheme="majorBidi" w:hAnsiTheme="majorBidi" w:cstheme="majorBidi"/>
                <w:i/>
                <w:iCs/>
                <w:color w:val="92D050"/>
                <w:sz w:val="20"/>
                <w:szCs w:val="20"/>
              </w:rPr>
            </w:pPr>
            <w:r w:rsidRPr="00BE2C1D">
              <w:rPr>
                <w:rFonts w:asciiTheme="majorBidi" w:hAnsiTheme="majorBidi" w:cstheme="majorBidi"/>
                <w:i/>
                <w:iCs/>
                <w:color w:val="92D050"/>
                <w:sz w:val="20"/>
                <w:szCs w:val="20"/>
              </w:rPr>
              <w:t>Attainment</w:t>
            </w:r>
          </w:p>
          <w:p w14:paraId="20BB6789" w14:textId="77777777" w:rsidR="00BE2C1D" w:rsidRPr="00BE2C1D" w:rsidRDefault="00BE2C1D" w:rsidP="00BE2C1D">
            <w:pPr>
              <w:spacing w:line="240" w:lineRule="auto"/>
              <w:rPr>
                <w:rFonts w:asciiTheme="majorBidi" w:hAnsiTheme="majorBidi" w:cstheme="majorBidi"/>
                <w:color w:val="92D050"/>
                <w:sz w:val="20"/>
                <w:szCs w:val="20"/>
              </w:rPr>
            </w:pPr>
            <w:r w:rsidRPr="00BE2C1D">
              <w:rPr>
                <w:rFonts w:asciiTheme="majorBidi" w:hAnsiTheme="majorBidi" w:cstheme="majorBidi"/>
                <w:color w:val="92D050"/>
                <w:sz w:val="20"/>
                <w:szCs w:val="20"/>
              </w:rPr>
              <w:t>BAS word reading and basic number skills</w:t>
            </w:r>
          </w:p>
          <w:p w14:paraId="507FA7BE" w14:textId="77777777" w:rsidR="00BE2C1D" w:rsidRPr="00BE2C1D" w:rsidRDefault="00BE2C1D" w:rsidP="00BE2C1D">
            <w:pPr>
              <w:spacing w:line="240" w:lineRule="auto"/>
              <w:rPr>
                <w:rFonts w:asciiTheme="majorBidi" w:hAnsiTheme="majorBidi" w:cstheme="majorBidi"/>
                <w:i/>
                <w:iCs/>
                <w:color w:val="8496B0" w:themeColor="text2" w:themeTint="99"/>
                <w:sz w:val="20"/>
                <w:szCs w:val="20"/>
              </w:rPr>
            </w:pPr>
            <w:r w:rsidRPr="00BE2C1D">
              <w:rPr>
                <w:rFonts w:asciiTheme="majorBidi" w:hAnsiTheme="majorBidi" w:cstheme="majorBidi"/>
                <w:i/>
                <w:iCs/>
                <w:color w:val="8496B0" w:themeColor="text2" w:themeTint="99"/>
                <w:sz w:val="20"/>
                <w:szCs w:val="20"/>
              </w:rPr>
              <w:t>Behaviour</w:t>
            </w:r>
          </w:p>
          <w:p w14:paraId="4C530DF9" w14:textId="77777777" w:rsidR="00BE2C1D" w:rsidRPr="00BE2C1D" w:rsidRDefault="00BE2C1D" w:rsidP="00BE2C1D">
            <w:pPr>
              <w:spacing w:line="240" w:lineRule="auto"/>
              <w:rPr>
                <w:rFonts w:asciiTheme="majorBidi" w:hAnsiTheme="majorBidi" w:cstheme="majorBidi"/>
                <w:color w:val="8496B0" w:themeColor="text2" w:themeTint="99"/>
                <w:sz w:val="20"/>
                <w:szCs w:val="20"/>
              </w:rPr>
            </w:pPr>
            <w:r w:rsidRPr="00BE2C1D">
              <w:rPr>
                <w:rFonts w:asciiTheme="majorBidi" w:hAnsiTheme="majorBidi" w:cstheme="majorBidi"/>
                <w:color w:val="8496B0" w:themeColor="text2" w:themeTint="99"/>
                <w:sz w:val="20"/>
                <w:szCs w:val="20"/>
              </w:rPr>
              <w:t>Rutter’s Children’s Behaviour Questionnaires</w:t>
            </w:r>
          </w:p>
          <w:p w14:paraId="294BDD27" w14:textId="77777777" w:rsidR="00BE2C1D" w:rsidRPr="00BE2C1D" w:rsidRDefault="00BE2C1D" w:rsidP="00BE2C1D">
            <w:pPr>
              <w:spacing w:line="240" w:lineRule="auto"/>
              <w:rPr>
                <w:rFonts w:asciiTheme="majorBidi" w:hAnsiTheme="majorBidi" w:cstheme="majorBidi"/>
                <w:i/>
                <w:iCs/>
                <w:color w:val="BF8F00" w:themeColor="accent4" w:themeShade="BF"/>
                <w:sz w:val="20"/>
                <w:szCs w:val="20"/>
              </w:rPr>
            </w:pPr>
            <w:r w:rsidRPr="00BE2C1D">
              <w:rPr>
                <w:rFonts w:asciiTheme="majorBidi" w:hAnsiTheme="majorBidi" w:cstheme="majorBidi"/>
                <w:i/>
                <w:iCs/>
                <w:color w:val="BF8F00" w:themeColor="accent4" w:themeShade="BF"/>
                <w:sz w:val="20"/>
                <w:szCs w:val="20"/>
              </w:rPr>
              <w:t xml:space="preserve">Self esteem </w:t>
            </w:r>
          </w:p>
          <w:p w14:paraId="5E6FF6E2" w14:textId="77777777" w:rsidR="00BE2C1D" w:rsidRPr="00BE2C1D" w:rsidRDefault="00BE2C1D" w:rsidP="00BE2C1D">
            <w:pPr>
              <w:spacing w:line="240" w:lineRule="auto"/>
              <w:rPr>
                <w:rFonts w:asciiTheme="majorBidi" w:hAnsiTheme="majorBidi" w:cstheme="majorBidi"/>
                <w:color w:val="BF8F00" w:themeColor="accent4" w:themeShade="BF"/>
                <w:sz w:val="20"/>
                <w:szCs w:val="20"/>
              </w:rPr>
            </w:pPr>
            <w:r w:rsidRPr="00BE2C1D">
              <w:rPr>
                <w:rFonts w:asciiTheme="majorBidi" w:hAnsiTheme="majorBidi" w:cstheme="majorBidi"/>
                <w:color w:val="BF8F00" w:themeColor="accent4" w:themeShade="BF"/>
                <w:sz w:val="20"/>
                <w:szCs w:val="20"/>
              </w:rPr>
              <w:t>(Culture Free Self Esteem Inventory)</w:t>
            </w:r>
          </w:p>
          <w:p w14:paraId="085F3484" w14:textId="77777777" w:rsidR="00BE2C1D" w:rsidRPr="00BE2C1D" w:rsidRDefault="00BE2C1D" w:rsidP="00BE2C1D">
            <w:pPr>
              <w:spacing w:line="240" w:lineRule="auto"/>
              <w:rPr>
                <w:rFonts w:asciiTheme="majorBidi" w:hAnsiTheme="majorBidi" w:cstheme="majorBidi"/>
                <w:sz w:val="20"/>
                <w:szCs w:val="20"/>
              </w:rPr>
            </w:pPr>
            <w:r w:rsidRPr="00BE2C1D">
              <w:rPr>
                <w:rFonts w:asciiTheme="majorBidi" w:hAnsiTheme="majorBidi" w:cstheme="majorBidi"/>
                <w:sz w:val="20"/>
                <w:szCs w:val="20"/>
              </w:rPr>
              <w:t>Year 5</w:t>
            </w:r>
          </w:p>
          <w:p w14:paraId="476E5B75" w14:textId="77777777" w:rsidR="00BE2C1D" w:rsidRPr="00BE2C1D" w:rsidRDefault="00BE2C1D" w:rsidP="00BE2C1D">
            <w:pPr>
              <w:spacing w:line="240" w:lineRule="auto"/>
              <w:rPr>
                <w:rFonts w:asciiTheme="majorBidi" w:hAnsiTheme="majorBidi" w:cstheme="majorBidi"/>
                <w:i/>
                <w:iCs/>
                <w:sz w:val="20"/>
                <w:szCs w:val="20"/>
              </w:rPr>
            </w:pPr>
            <w:r w:rsidRPr="00BE2C1D">
              <w:rPr>
                <w:rFonts w:asciiTheme="majorBidi" w:hAnsiTheme="majorBidi" w:cstheme="majorBidi"/>
                <w:i/>
                <w:iCs/>
                <w:sz w:val="20"/>
                <w:szCs w:val="20"/>
              </w:rPr>
              <w:t>Locus of control</w:t>
            </w:r>
          </w:p>
          <w:p w14:paraId="6FB7777C" w14:textId="77777777" w:rsidR="00BE2C1D" w:rsidRPr="00BE2C1D" w:rsidRDefault="00BE2C1D" w:rsidP="00BE2C1D">
            <w:pPr>
              <w:spacing w:line="240" w:lineRule="auto"/>
              <w:rPr>
                <w:rFonts w:asciiTheme="majorBidi" w:hAnsiTheme="majorBidi" w:cstheme="majorBidi"/>
                <w:sz w:val="20"/>
                <w:szCs w:val="20"/>
              </w:rPr>
            </w:pPr>
            <w:r w:rsidRPr="00BE2C1D">
              <w:rPr>
                <w:rFonts w:asciiTheme="majorBidi" w:hAnsiTheme="majorBidi" w:cstheme="majorBidi"/>
                <w:sz w:val="20"/>
                <w:szCs w:val="20"/>
              </w:rPr>
              <w:t>A locus of control scale for children (Nowicki S., Strickland, 1973)</w:t>
            </w:r>
          </w:p>
          <w:p w14:paraId="6C6FC409" w14:textId="77777777" w:rsidR="00BE2C1D" w:rsidRPr="00BE2C1D" w:rsidRDefault="00BE2C1D" w:rsidP="00BE2C1D">
            <w:pPr>
              <w:spacing w:line="240" w:lineRule="auto"/>
              <w:rPr>
                <w:rFonts w:asciiTheme="majorBidi" w:hAnsiTheme="majorBidi" w:cstheme="majorBidi"/>
                <w:i/>
                <w:iCs/>
                <w:color w:val="BF8F00" w:themeColor="accent4" w:themeShade="BF"/>
                <w:sz w:val="20"/>
                <w:szCs w:val="20"/>
              </w:rPr>
            </w:pPr>
            <w:r w:rsidRPr="00BE2C1D">
              <w:rPr>
                <w:rFonts w:asciiTheme="majorBidi" w:hAnsiTheme="majorBidi" w:cstheme="majorBidi"/>
                <w:i/>
                <w:iCs/>
                <w:color w:val="BF8F00" w:themeColor="accent4" w:themeShade="BF"/>
                <w:sz w:val="20"/>
                <w:szCs w:val="20"/>
              </w:rPr>
              <w:t>Body image</w:t>
            </w:r>
          </w:p>
          <w:p w14:paraId="16C06E01" w14:textId="77777777" w:rsidR="00BE2C1D" w:rsidRPr="00BE2C1D" w:rsidRDefault="00BE2C1D" w:rsidP="00BE2C1D">
            <w:pPr>
              <w:spacing w:line="240" w:lineRule="auto"/>
              <w:rPr>
                <w:rFonts w:asciiTheme="majorBidi" w:hAnsiTheme="majorBidi" w:cstheme="majorBidi"/>
                <w:color w:val="BF8F00" w:themeColor="accent4" w:themeShade="BF"/>
                <w:sz w:val="20"/>
                <w:szCs w:val="20"/>
              </w:rPr>
            </w:pPr>
            <w:r w:rsidRPr="00BE2C1D">
              <w:rPr>
                <w:rFonts w:asciiTheme="majorBidi" w:hAnsiTheme="majorBidi" w:cstheme="majorBidi"/>
                <w:color w:val="BF8F00" w:themeColor="accent4" w:themeShade="BF"/>
                <w:sz w:val="20"/>
                <w:szCs w:val="20"/>
              </w:rPr>
              <w:t>Body Satisfaction Index (Dowdney, Woodward, Pickles, Skuse, 1995)</w:t>
            </w:r>
          </w:p>
          <w:p w14:paraId="6F48E305" w14:textId="77777777" w:rsidR="00BE2C1D" w:rsidRPr="00BE2C1D" w:rsidRDefault="00BE2C1D" w:rsidP="00BE2C1D">
            <w:pPr>
              <w:spacing w:line="240" w:lineRule="auto"/>
              <w:rPr>
                <w:rFonts w:asciiTheme="majorBidi" w:hAnsiTheme="majorBidi" w:cstheme="majorBidi"/>
                <w:i/>
                <w:iCs/>
                <w:color w:val="BF8F00" w:themeColor="accent4" w:themeShade="BF"/>
                <w:sz w:val="20"/>
                <w:szCs w:val="20"/>
              </w:rPr>
            </w:pPr>
            <w:r w:rsidRPr="00BE2C1D">
              <w:rPr>
                <w:rFonts w:asciiTheme="majorBidi" w:hAnsiTheme="majorBidi" w:cstheme="majorBidi"/>
                <w:i/>
                <w:iCs/>
                <w:color w:val="BF8F00" w:themeColor="accent4" w:themeShade="BF"/>
                <w:sz w:val="20"/>
                <w:szCs w:val="20"/>
              </w:rPr>
              <w:t>Children’s self-perception</w:t>
            </w:r>
          </w:p>
          <w:p w14:paraId="5A3A1BAB" w14:textId="77777777" w:rsidR="00BE2C1D" w:rsidRPr="00BE2C1D" w:rsidRDefault="00BE2C1D" w:rsidP="00BE2C1D">
            <w:pPr>
              <w:spacing w:line="240" w:lineRule="auto"/>
              <w:rPr>
                <w:rFonts w:asciiTheme="majorBidi" w:hAnsiTheme="majorBidi" w:cstheme="majorBidi"/>
                <w:color w:val="BF8F00" w:themeColor="accent4" w:themeShade="BF"/>
                <w:sz w:val="20"/>
                <w:szCs w:val="20"/>
              </w:rPr>
            </w:pPr>
            <w:r w:rsidRPr="00BE2C1D">
              <w:rPr>
                <w:rFonts w:asciiTheme="majorBidi" w:hAnsiTheme="majorBidi" w:cstheme="majorBidi"/>
                <w:color w:val="BF8F00" w:themeColor="accent4" w:themeShade="BF"/>
                <w:sz w:val="20"/>
                <w:szCs w:val="20"/>
              </w:rPr>
              <w:t>Manual of self-perception profile for children (Harter, 1985)</w:t>
            </w:r>
          </w:p>
          <w:p w14:paraId="02445BD9" w14:textId="77777777" w:rsidR="00BE2C1D" w:rsidRPr="00BE2C1D" w:rsidRDefault="00BE2C1D" w:rsidP="00BE2C1D">
            <w:pPr>
              <w:spacing w:line="240" w:lineRule="auto"/>
              <w:rPr>
                <w:rFonts w:asciiTheme="majorBidi" w:hAnsiTheme="majorBidi" w:cstheme="majorBidi"/>
                <w:i/>
                <w:iCs/>
                <w:color w:val="806000" w:themeColor="accent4" w:themeShade="80"/>
                <w:sz w:val="20"/>
                <w:szCs w:val="20"/>
              </w:rPr>
            </w:pPr>
            <w:r w:rsidRPr="00BE2C1D">
              <w:rPr>
                <w:rFonts w:asciiTheme="majorBidi" w:hAnsiTheme="majorBidi" w:cstheme="majorBidi"/>
                <w:i/>
                <w:iCs/>
                <w:color w:val="806000" w:themeColor="accent4" w:themeShade="80"/>
                <w:sz w:val="20"/>
                <w:szCs w:val="20"/>
              </w:rPr>
              <w:t>Parents’ perception</w:t>
            </w:r>
          </w:p>
          <w:p w14:paraId="13843674" w14:textId="77777777" w:rsidR="00BE2C1D" w:rsidRPr="00BE2C1D" w:rsidRDefault="00BE2C1D" w:rsidP="00BE2C1D">
            <w:pPr>
              <w:spacing w:line="240" w:lineRule="auto"/>
              <w:rPr>
                <w:rFonts w:asciiTheme="majorBidi" w:hAnsiTheme="majorBidi" w:cstheme="majorBidi"/>
                <w:color w:val="806000" w:themeColor="accent4" w:themeShade="80"/>
                <w:sz w:val="20"/>
                <w:szCs w:val="20"/>
              </w:rPr>
            </w:pPr>
            <w:r w:rsidRPr="00BE2C1D">
              <w:rPr>
                <w:rFonts w:asciiTheme="majorBidi" w:hAnsiTheme="majorBidi" w:cstheme="majorBidi"/>
                <w:color w:val="806000" w:themeColor="accent4" w:themeShade="80"/>
                <w:sz w:val="20"/>
                <w:szCs w:val="20"/>
              </w:rPr>
              <w:t>Manual of self-perception profile for children (Harter, 1985)</w:t>
            </w:r>
          </w:p>
          <w:p w14:paraId="5229B079" w14:textId="77777777" w:rsidR="00BE2C1D" w:rsidRPr="00BE2C1D" w:rsidRDefault="00BE2C1D" w:rsidP="00BE2C1D">
            <w:pPr>
              <w:rPr>
                <w:rFonts w:asciiTheme="majorBidi" w:hAnsiTheme="majorBidi" w:cstheme="majorBidi"/>
                <w:sz w:val="20"/>
                <w:szCs w:val="20"/>
              </w:rPr>
            </w:pPr>
            <w:r w:rsidRPr="00BE2C1D">
              <w:rPr>
                <w:rFonts w:asciiTheme="majorBidi" w:hAnsiTheme="majorBidi" w:cstheme="majorBidi"/>
                <w:sz w:val="20"/>
                <w:szCs w:val="20"/>
              </w:rPr>
              <w:lastRenderedPageBreak/>
              <w:t>Sample: 23 short children in the case group (11 boys and 12 girls) and 22 average-statured children in the control group (11 boys and 11 girls). All children were aged between 10 and 11.</w:t>
            </w:r>
          </w:p>
          <w:p w14:paraId="2463E282" w14:textId="77777777" w:rsidR="00BE2C1D" w:rsidRPr="00BE2C1D" w:rsidRDefault="00BE2C1D" w:rsidP="00BE2C1D">
            <w:pPr>
              <w:rPr>
                <w:rFonts w:asciiTheme="majorBidi" w:hAnsiTheme="majorBidi" w:cstheme="majorBidi"/>
                <w:sz w:val="20"/>
                <w:szCs w:val="20"/>
              </w:rPr>
            </w:pPr>
            <w:r w:rsidRPr="00BE2C1D">
              <w:rPr>
                <w:rFonts w:asciiTheme="majorBidi" w:hAnsiTheme="majorBidi" w:cstheme="majorBidi"/>
                <w:sz w:val="20"/>
                <w:szCs w:val="20"/>
              </w:rPr>
              <w:t xml:space="preserve">Families with these children were traced by means of health clinic and general practitioners records in 1990-1991. </w:t>
            </w:r>
          </w:p>
          <w:p w14:paraId="26F552D2" w14:textId="77777777" w:rsidR="00BE2C1D" w:rsidRPr="00BE2C1D" w:rsidRDefault="00BE2C1D" w:rsidP="00BE2C1D">
            <w:pPr>
              <w:rPr>
                <w:rFonts w:asciiTheme="majorBidi" w:hAnsiTheme="majorBidi" w:cstheme="majorBidi"/>
                <w:sz w:val="20"/>
                <w:szCs w:val="20"/>
              </w:rPr>
            </w:pPr>
            <w:r w:rsidRPr="00BE2C1D">
              <w:rPr>
                <w:rFonts w:asciiTheme="majorBidi" w:hAnsiTheme="majorBidi" w:cstheme="majorBidi"/>
                <w:sz w:val="20"/>
                <w:szCs w:val="20"/>
              </w:rPr>
              <w:t>Methods-Tools</w:t>
            </w:r>
          </w:p>
          <w:p w14:paraId="2C77019B" w14:textId="77777777" w:rsidR="00BE2C1D" w:rsidRPr="00BE2C1D" w:rsidRDefault="00BE2C1D" w:rsidP="00BE2C1D">
            <w:pPr>
              <w:rPr>
                <w:rFonts w:asciiTheme="majorBidi" w:hAnsiTheme="majorBidi" w:cstheme="majorBidi"/>
                <w:sz w:val="20"/>
                <w:szCs w:val="20"/>
              </w:rPr>
            </w:pPr>
            <w:r w:rsidRPr="00BE2C1D">
              <w:rPr>
                <w:rFonts w:asciiTheme="majorBidi" w:hAnsiTheme="majorBidi" w:cstheme="majorBidi"/>
                <w:sz w:val="20"/>
                <w:szCs w:val="20"/>
              </w:rPr>
              <w:t>Interviews with mothers on parenting</w:t>
            </w:r>
          </w:p>
          <w:p w14:paraId="6C855D70" w14:textId="77777777" w:rsidR="00BE2C1D" w:rsidRPr="00BE2C1D" w:rsidRDefault="00BE2C1D" w:rsidP="00BE2C1D">
            <w:pPr>
              <w:rPr>
                <w:rFonts w:asciiTheme="majorBidi" w:hAnsiTheme="majorBidi" w:cstheme="majorBidi"/>
                <w:sz w:val="20"/>
                <w:szCs w:val="20"/>
              </w:rPr>
            </w:pPr>
            <w:r w:rsidRPr="00BE2C1D">
              <w:rPr>
                <w:rFonts w:asciiTheme="majorBidi" w:hAnsiTheme="majorBidi" w:cstheme="majorBidi"/>
                <w:sz w:val="20"/>
                <w:szCs w:val="20"/>
              </w:rPr>
              <w:t>Interviews with class teachers</w:t>
            </w:r>
          </w:p>
          <w:p w14:paraId="535E927D" w14:textId="77777777" w:rsidR="00BE2C1D" w:rsidRPr="00BE2C1D" w:rsidRDefault="00BE2C1D" w:rsidP="00BE2C1D">
            <w:pPr>
              <w:rPr>
                <w:rFonts w:asciiTheme="majorBidi" w:hAnsiTheme="majorBidi" w:cstheme="majorBidi"/>
                <w:i/>
                <w:iCs/>
                <w:sz w:val="20"/>
                <w:szCs w:val="20"/>
              </w:rPr>
            </w:pPr>
            <w:r w:rsidRPr="00BE2C1D">
              <w:rPr>
                <w:rFonts w:asciiTheme="majorBidi" w:hAnsiTheme="majorBidi" w:cstheme="majorBidi"/>
                <w:i/>
                <w:iCs/>
                <w:sz w:val="20"/>
                <w:szCs w:val="20"/>
              </w:rPr>
              <w:t>Height weight, head circumference</w:t>
            </w:r>
          </w:p>
          <w:p w14:paraId="6E26A88A" w14:textId="77777777" w:rsidR="00BE2C1D" w:rsidRPr="00BE2C1D" w:rsidRDefault="00BE2C1D" w:rsidP="00BE2C1D">
            <w:pPr>
              <w:rPr>
                <w:rFonts w:asciiTheme="majorBidi" w:hAnsiTheme="majorBidi" w:cstheme="majorBidi"/>
                <w:sz w:val="20"/>
                <w:szCs w:val="20"/>
              </w:rPr>
            </w:pPr>
            <w:r w:rsidRPr="00BE2C1D">
              <w:rPr>
                <w:rFonts w:asciiTheme="majorBidi" w:hAnsiTheme="majorBidi" w:cstheme="majorBidi"/>
                <w:sz w:val="20"/>
                <w:szCs w:val="20"/>
              </w:rPr>
              <w:t>Anthropometric examination</w:t>
            </w:r>
          </w:p>
          <w:p w14:paraId="5C1C9BE2" w14:textId="77777777" w:rsidR="00BE2C1D" w:rsidRPr="00BE2C1D" w:rsidRDefault="00BE2C1D" w:rsidP="00BE2C1D">
            <w:pPr>
              <w:rPr>
                <w:rFonts w:asciiTheme="majorBidi" w:hAnsiTheme="majorBidi" w:cstheme="majorBidi"/>
                <w:i/>
                <w:iCs/>
                <w:color w:val="525252" w:themeColor="accent3" w:themeShade="80"/>
                <w:sz w:val="20"/>
                <w:szCs w:val="20"/>
              </w:rPr>
            </w:pPr>
            <w:r w:rsidRPr="00BE2C1D">
              <w:rPr>
                <w:rFonts w:asciiTheme="majorBidi" w:hAnsiTheme="majorBidi" w:cstheme="majorBidi"/>
                <w:i/>
                <w:iCs/>
                <w:color w:val="525252" w:themeColor="accent3" w:themeShade="80"/>
                <w:sz w:val="20"/>
                <w:szCs w:val="20"/>
              </w:rPr>
              <w:t>Cognitive Skills</w:t>
            </w:r>
          </w:p>
          <w:p w14:paraId="509520B7" w14:textId="77777777" w:rsidR="00BE2C1D" w:rsidRPr="00BE2C1D" w:rsidRDefault="00BE2C1D" w:rsidP="00BE2C1D">
            <w:pPr>
              <w:rPr>
                <w:rFonts w:asciiTheme="majorBidi" w:hAnsiTheme="majorBidi" w:cstheme="majorBidi"/>
                <w:color w:val="525252" w:themeColor="accent3" w:themeShade="80"/>
                <w:sz w:val="20"/>
                <w:szCs w:val="20"/>
              </w:rPr>
            </w:pPr>
            <w:r w:rsidRPr="00BE2C1D">
              <w:rPr>
                <w:rFonts w:asciiTheme="majorBidi" w:hAnsiTheme="majorBidi" w:cstheme="majorBidi"/>
                <w:color w:val="525252" w:themeColor="accent3" w:themeShade="80"/>
                <w:sz w:val="20"/>
                <w:szCs w:val="20"/>
              </w:rPr>
              <w:t>Wechsler Intelligence Scale for Children (Verbal and Performance scales)</w:t>
            </w:r>
          </w:p>
          <w:p w14:paraId="0414F0BD" w14:textId="77777777" w:rsidR="00BE2C1D" w:rsidRPr="00BE2C1D" w:rsidRDefault="00BE2C1D" w:rsidP="00BE2C1D">
            <w:pPr>
              <w:rPr>
                <w:rFonts w:asciiTheme="majorBidi" w:hAnsiTheme="majorBidi" w:cstheme="majorBidi"/>
                <w:i/>
                <w:iCs/>
                <w:color w:val="92D050"/>
                <w:sz w:val="20"/>
                <w:szCs w:val="20"/>
              </w:rPr>
            </w:pPr>
            <w:r w:rsidRPr="00BE2C1D">
              <w:rPr>
                <w:rFonts w:asciiTheme="majorBidi" w:hAnsiTheme="majorBidi" w:cstheme="majorBidi"/>
                <w:i/>
                <w:iCs/>
                <w:color w:val="92D050"/>
                <w:sz w:val="20"/>
                <w:szCs w:val="20"/>
              </w:rPr>
              <w:t>Reading accuracy and comprehension</w:t>
            </w:r>
          </w:p>
          <w:p w14:paraId="3264377C" w14:textId="77777777" w:rsidR="00BE2C1D" w:rsidRPr="00BE2C1D" w:rsidRDefault="00BE2C1D" w:rsidP="00BE2C1D">
            <w:pPr>
              <w:rPr>
                <w:rFonts w:asciiTheme="majorBidi" w:hAnsiTheme="majorBidi" w:cstheme="majorBidi"/>
                <w:sz w:val="20"/>
                <w:szCs w:val="20"/>
              </w:rPr>
            </w:pPr>
            <w:r w:rsidRPr="00BE2C1D">
              <w:rPr>
                <w:rFonts w:asciiTheme="majorBidi" w:hAnsiTheme="majorBidi" w:cstheme="majorBidi"/>
                <w:color w:val="92D050"/>
                <w:sz w:val="20"/>
                <w:szCs w:val="20"/>
              </w:rPr>
              <w:t>Neale Analysis of Reading Ability</w:t>
            </w:r>
          </w:p>
          <w:p w14:paraId="49B16C0F" w14:textId="77777777" w:rsidR="00BE2C1D" w:rsidRPr="00BE2C1D" w:rsidRDefault="00BE2C1D" w:rsidP="00BE2C1D">
            <w:pPr>
              <w:rPr>
                <w:rFonts w:asciiTheme="majorBidi" w:hAnsiTheme="majorBidi" w:cstheme="majorBidi"/>
                <w:sz w:val="20"/>
                <w:szCs w:val="20"/>
              </w:rPr>
            </w:pPr>
            <w:r w:rsidRPr="00BE2C1D">
              <w:rPr>
                <w:rFonts w:asciiTheme="majorBidi" w:hAnsiTheme="majorBidi" w:cstheme="majorBidi"/>
                <w:sz w:val="20"/>
                <w:szCs w:val="20"/>
              </w:rPr>
              <w:t>Sample: 195 children with short stature (age range 5 to 16 years)</w:t>
            </w:r>
          </w:p>
          <w:p w14:paraId="368B5763" w14:textId="77777777" w:rsidR="00BE2C1D" w:rsidRPr="00BE2C1D" w:rsidRDefault="00BE2C1D" w:rsidP="00BE2C1D">
            <w:pPr>
              <w:rPr>
                <w:rFonts w:asciiTheme="majorBidi" w:hAnsiTheme="majorBidi" w:cstheme="majorBidi"/>
                <w:sz w:val="20"/>
                <w:szCs w:val="20"/>
              </w:rPr>
            </w:pPr>
            <w:r w:rsidRPr="00BE2C1D">
              <w:rPr>
                <w:rFonts w:asciiTheme="majorBidi" w:hAnsiTheme="majorBidi" w:cstheme="majorBidi"/>
                <w:sz w:val="20"/>
                <w:szCs w:val="20"/>
              </w:rPr>
              <w:t>3 years of treatment</w:t>
            </w:r>
          </w:p>
          <w:p w14:paraId="1AA445F0" w14:textId="77777777" w:rsidR="00BE2C1D" w:rsidRPr="00BE2C1D" w:rsidRDefault="00BE2C1D" w:rsidP="00BE2C1D">
            <w:pPr>
              <w:rPr>
                <w:rFonts w:asciiTheme="majorBidi" w:hAnsiTheme="majorBidi" w:cstheme="majorBidi"/>
                <w:sz w:val="20"/>
                <w:szCs w:val="20"/>
              </w:rPr>
            </w:pPr>
            <w:r w:rsidRPr="00BE2C1D">
              <w:rPr>
                <w:rFonts w:asciiTheme="majorBidi" w:hAnsiTheme="majorBidi" w:cstheme="majorBidi"/>
                <w:sz w:val="20"/>
                <w:szCs w:val="20"/>
              </w:rPr>
              <w:t>109 children with growth hormone deficiency (GHD)-72 children completed 3 years</w:t>
            </w:r>
          </w:p>
          <w:p w14:paraId="2B1BBAEA" w14:textId="77777777" w:rsidR="00BE2C1D" w:rsidRPr="00BE2C1D" w:rsidRDefault="00BE2C1D" w:rsidP="00BE2C1D">
            <w:pPr>
              <w:rPr>
                <w:rFonts w:asciiTheme="majorBidi" w:hAnsiTheme="majorBidi" w:cstheme="majorBidi"/>
                <w:sz w:val="20"/>
                <w:szCs w:val="20"/>
              </w:rPr>
            </w:pPr>
            <w:r w:rsidRPr="00BE2C1D">
              <w:rPr>
                <w:rFonts w:asciiTheme="majorBidi" w:hAnsiTheme="majorBidi" w:cstheme="majorBidi"/>
                <w:sz w:val="20"/>
                <w:szCs w:val="20"/>
              </w:rPr>
              <w:t>86 children with idiopathic short stature (ISS)-59 children completed 3 years.</w:t>
            </w:r>
          </w:p>
          <w:p w14:paraId="61DE7BB9" w14:textId="77777777" w:rsidR="00BE2C1D" w:rsidRPr="00BE2C1D" w:rsidRDefault="00BE2C1D" w:rsidP="00BE2C1D">
            <w:pPr>
              <w:rPr>
                <w:rFonts w:asciiTheme="majorBidi" w:hAnsiTheme="majorBidi" w:cstheme="majorBidi"/>
                <w:sz w:val="20"/>
                <w:szCs w:val="20"/>
              </w:rPr>
            </w:pPr>
            <w:r w:rsidRPr="00BE2C1D">
              <w:rPr>
                <w:rFonts w:asciiTheme="majorBidi" w:hAnsiTheme="majorBidi" w:cstheme="majorBidi"/>
                <w:sz w:val="20"/>
                <w:szCs w:val="20"/>
              </w:rPr>
              <w:t>Methods-Tools</w:t>
            </w:r>
          </w:p>
          <w:p w14:paraId="2F3D4472" w14:textId="77777777" w:rsidR="00BE2C1D" w:rsidRPr="00BE2C1D" w:rsidRDefault="00BE2C1D" w:rsidP="00BE2C1D">
            <w:pPr>
              <w:rPr>
                <w:rFonts w:asciiTheme="majorBidi" w:hAnsiTheme="majorBidi" w:cstheme="majorBidi"/>
                <w:i/>
                <w:iCs/>
                <w:color w:val="525252" w:themeColor="accent3" w:themeShade="80"/>
                <w:sz w:val="20"/>
                <w:szCs w:val="20"/>
              </w:rPr>
            </w:pPr>
            <w:r w:rsidRPr="00BE2C1D">
              <w:rPr>
                <w:rFonts w:asciiTheme="majorBidi" w:hAnsiTheme="majorBidi" w:cstheme="majorBidi"/>
                <w:i/>
                <w:iCs/>
                <w:color w:val="525252" w:themeColor="accent3" w:themeShade="80"/>
                <w:sz w:val="20"/>
                <w:szCs w:val="20"/>
              </w:rPr>
              <w:t>General Verbal Intelligence</w:t>
            </w:r>
          </w:p>
          <w:p w14:paraId="5C7793E4" w14:textId="77777777" w:rsidR="00BE2C1D" w:rsidRPr="00BE2C1D" w:rsidRDefault="00BE2C1D" w:rsidP="00BE2C1D">
            <w:pPr>
              <w:rPr>
                <w:rFonts w:asciiTheme="majorBidi" w:hAnsiTheme="majorBidi" w:cstheme="majorBidi"/>
                <w:color w:val="525252" w:themeColor="accent3" w:themeShade="80"/>
                <w:sz w:val="20"/>
                <w:szCs w:val="20"/>
              </w:rPr>
            </w:pPr>
            <w:r w:rsidRPr="00BE2C1D">
              <w:rPr>
                <w:rFonts w:asciiTheme="majorBidi" w:hAnsiTheme="majorBidi" w:cstheme="majorBidi"/>
                <w:color w:val="525252" w:themeColor="accent3" w:themeShade="80"/>
                <w:sz w:val="20"/>
                <w:szCs w:val="20"/>
              </w:rPr>
              <w:t>Slosson Intelligence Test</w:t>
            </w:r>
          </w:p>
          <w:p w14:paraId="727180CB" w14:textId="77777777" w:rsidR="00BE2C1D" w:rsidRPr="00BE2C1D" w:rsidRDefault="00BE2C1D" w:rsidP="00BE2C1D">
            <w:pPr>
              <w:rPr>
                <w:rFonts w:asciiTheme="majorBidi" w:hAnsiTheme="majorBidi" w:cstheme="majorBidi"/>
                <w:i/>
                <w:iCs/>
                <w:color w:val="92D050"/>
                <w:sz w:val="20"/>
                <w:szCs w:val="20"/>
              </w:rPr>
            </w:pPr>
            <w:r w:rsidRPr="00BE2C1D">
              <w:rPr>
                <w:rFonts w:asciiTheme="majorBidi" w:hAnsiTheme="majorBidi" w:cstheme="majorBidi"/>
                <w:i/>
                <w:iCs/>
                <w:color w:val="92D050"/>
                <w:sz w:val="20"/>
                <w:szCs w:val="20"/>
              </w:rPr>
              <w:t>Academic achievement in reading, spelling and arithmetic</w:t>
            </w:r>
          </w:p>
          <w:p w14:paraId="0766EC54" w14:textId="77777777" w:rsidR="00BE2C1D" w:rsidRPr="00BE2C1D" w:rsidRDefault="00BE2C1D" w:rsidP="00BE2C1D">
            <w:pPr>
              <w:rPr>
                <w:rFonts w:asciiTheme="majorBidi" w:hAnsiTheme="majorBidi" w:cstheme="majorBidi"/>
                <w:color w:val="92D050"/>
                <w:sz w:val="20"/>
                <w:szCs w:val="20"/>
              </w:rPr>
            </w:pPr>
            <w:r w:rsidRPr="00BE2C1D">
              <w:rPr>
                <w:rFonts w:asciiTheme="majorBidi" w:hAnsiTheme="majorBidi" w:cstheme="majorBidi"/>
                <w:color w:val="92D050"/>
                <w:sz w:val="20"/>
                <w:szCs w:val="20"/>
              </w:rPr>
              <w:t>The Wide-Range Achievement Test-Revised (WRAT-R)</w:t>
            </w:r>
          </w:p>
          <w:p w14:paraId="1284FA4E" w14:textId="77777777" w:rsidR="00BE2C1D" w:rsidRPr="00BE2C1D" w:rsidRDefault="00BE2C1D" w:rsidP="00BE2C1D">
            <w:pPr>
              <w:rPr>
                <w:rFonts w:asciiTheme="majorBidi" w:hAnsiTheme="majorBidi" w:cstheme="majorBidi"/>
                <w:i/>
                <w:iCs/>
                <w:color w:val="808080" w:themeColor="background1" w:themeShade="80"/>
                <w:sz w:val="20"/>
                <w:szCs w:val="20"/>
              </w:rPr>
            </w:pPr>
            <w:r w:rsidRPr="00BE2C1D">
              <w:rPr>
                <w:rFonts w:asciiTheme="majorBidi" w:hAnsiTheme="majorBidi" w:cstheme="majorBidi"/>
                <w:i/>
                <w:iCs/>
                <w:color w:val="808080" w:themeColor="background1" w:themeShade="80"/>
                <w:sz w:val="20"/>
                <w:szCs w:val="20"/>
              </w:rPr>
              <w:t xml:space="preserve">Family Cohesion (emotional bonding and supportiveness) &amp; </w:t>
            </w:r>
            <w:r w:rsidRPr="00BE2C1D">
              <w:rPr>
                <w:rFonts w:asciiTheme="majorBidi" w:hAnsiTheme="majorBidi" w:cstheme="majorBidi"/>
                <w:i/>
                <w:iCs/>
                <w:color w:val="808080" w:themeColor="background1" w:themeShade="80"/>
                <w:sz w:val="20"/>
                <w:szCs w:val="20"/>
              </w:rPr>
              <w:lastRenderedPageBreak/>
              <w:t>adaptability (response to situational and developmental stress)</w:t>
            </w:r>
          </w:p>
          <w:p w14:paraId="12834720" w14:textId="77777777" w:rsidR="00BE2C1D" w:rsidRPr="00BE2C1D" w:rsidRDefault="00BE2C1D" w:rsidP="00BE2C1D">
            <w:pPr>
              <w:rPr>
                <w:rFonts w:asciiTheme="majorBidi" w:hAnsiTheme="majorBidi" w:cstheme="majorBidi"/>
                <w:color w:val="808080" w:themeColor="background1" w:themeShade="80"/>
                <w:sz w:val="20"/>
                <w:szCs w:val="20"/>
              </w:rPr>
            </w:pPr>
            <w:r w:rsidRPr="00BE2C1D">
              <w:rPr>
                <w:rFonts w:asciiTheme="majorBidi" w:hAnsiTheme="majorBidi" w:cstheme="majorBidi"/>
                <w:color w:val="808080" w:themeColor="background1" w:themeShade="80"/>
                <w:sz w:val="20"/>
                <w:szCs w:val="20"/>
              </w:rPr>
              <w:t>Family Adaptability and Cohesion Scale-III (completed by at least one parent)</w:t>
            </w:r>
          </w:p>
          <w:p w14:paraId="514C405C" w14:textId="77777777" w:rsidR="00BE2C1D" w:rsidRPr="00BE2C1D" w:rsidRDefault="00BE2C1D" w:rsidP="00BE2C1D">
            <w:pPr>
              <w:rPr>
                <w:rFonts w:asciiTheme="majorBidi" w:hAnsiTheme="majorBidi" w:cstheme="majorBidi"/>
                <w:i/>
                <w:iCs/>
                <w:color w:val="8496B0" w:themeColor="text2" w:themeTint="99"/>
                <w:sz w:val="20"/>
                <w:szCs w:val="20"/>
              </w:rPr>
            </w:pPr>
            <w:r w:rsidRPr="00BE2C1D">
              <w:rPr>
                <w:rFonts w:asciiTheme="majorBidi" w:hAnsiTheme="majorBidi" w:cstheme="majorBidi"/>
                <w:i/>
                <w:iCs/>
                <w:color w:val="385623" w:themeColor="accent6" w:themeShade="80"/>
                <w:sz w:val="20"/>
                <w:szCs w:val="20"/>
              </w:rPr>
              <w:t>Parental perception of a child’s social competence (school: grades and special education, social relationships: friends and siblings, activities: sports and hobbies and a total social competency score)</w:t>
            </w:r>
            <w:r w:rsidRPr="00BE2C1D">
              <w:rPr>
                <w:rFonts w:asciiTheme="majorBidi" w:hAnsiTheme="majorBidi" w:cstheme="majorBidi"/>
                <w:i/>
                <w:iCs/>
                <w:sz w:val="20"/>
                <w:szCs w:val="20"/>
              </w:rPr>
              <w:t xml:space="preserve"> and </w:t>
            </w:r>
            <w:r w:rsidRPr="00BE2C1D">
              <w:rPr>
                <w:rFonts w:asciiTheme="majorBidi" w:hAnsiTheme="majorBidi" w:cstheme="majorBidi"/>
                <w:i/>
                <w:iCs/>
                <w:color w:val="8496B0" w:themeColor="text2" w:themeTint="99"/>
                <w:sz w:val="20"/>
                <w:szCs w:val="20"/>
              </w:rPr>
              <w:t>behaviour problems (internalizing: anxiety and depression, externalizing: aggression, delinquency,  an ungrouped subscale: attention, thought and social problems and total behaviour problem score)</w:t>
            </w:r>
          </w:p>
          <w:p w14:paraId="754DE9ED" w14:textId="77777777" w:rsidR="00BE2C1D" w:rsidRPr="00BE2C1D" w:rsidRDefault="00BE2C1D" w:rsidP="00BE2C1D">
            <w:pPr>
              <w:rPr>
                <w:rFonts w:asciiTheme="majorBidi" w:hAnsiTheme="majorBidi" w:cstheme="majorBidi"/>
                <w:color w:val="8496B0" w:themeColor="text2" w:themeTint="99"/>
                <w:sz w:val="20"/>
                <w:szCs w:val="20"/>
              </w:rPr>
            </w:pPr>
            <w:r w:rsidRPr="00BE2C1D">
              <w:rPr>
                <w:rFonts w:asciiTheme="majorBidi" w:hAnsiTheme="majorBidi" w:cstheme="majorBidi"/>
                <w:color w:val="8496B0" w:themeColor="text2" w:themeTint="99"/>
                <w:sz w:val="20"/>
                <w:szCs w:val="20"/>
              </w:rPr>
              <w:t>Child Behavior Checklist (completed by mothers)</w:t>
            </w:r>
          </w:p>
          <w:p w14:paraId="49142780" w14:textId="77777777" w:rsidR="00BE2C1D" w:rsidRPr="00BE2C1D" w:rsidRDefault="00BE2C1D" w:rsidP="00BE2C1D">
            <w:pPr>
              <w:rPr>
                <w:rFonts w:asciiTheme="majorBidi" w:hAnsiTheme="majorBidi" w:cstheme="majorBidi"/>
                <w:sz w:val="20"/>
                <w:szCs w:val="20"/>
              </w:rPr>
            </w:pPr>
            <w:r w:rsidRPr="00BE2C1D">
              <w:rPr>
                <w:rFonts w:asciiTheme="majorBidi" w:hAnsiTheme="majorBidi" w:cstheme="majorBidi"/>
                <w:sz w:val="20"/>
                <w:szCs w:val="20"/>
              </w:rPr>
              <w:t>Sample: 166 children in case group (86 children with isolated growth hormone deficiency and 80 children with idiopathic short stature), aged from 5 to 16 years.</w:t>
            </w:r>
          </w:p>
          <w:p w14:paraId="253C43D3" w14:textId="77777777" w:rsidR="00BE2C1D" w:rsidRPr="00BE2C1D" w:rsidRDefault="00BE2C1D" w:rsidP="00BE2C1D">
            <w:pPr>
              <w:rPr>
                <w:rFonts w:asciiTheme="majorBidi" w:hAnsiTheme="majorBidi" w:cstheme="majorBidi"/>
                <w:sz w:val="20"/>
                <w:szCs w:val="20"/>
              </w:rPr>
            </w:pPr>
          </w:p>
          <w:p w14:paraId="1402C5D4" w14:textId="77777777" w:rsidR="00BE2C1D" w:rsidRPr="00BE2C1D" w:rsidRDefault="00BE2C1D" w:rsidP="00BE2C1D">
            <w:pPr>
              <w:rPr>
                <w:rFonts w:asciiTheme="majorBidi" w:hAnsiTheme="majorBidi" w:cstheme="majorBidi"/>
                <w:sz w:val="20"/>
                <w:szCs w:val="20"/>
              </w:rPr>
            </w:pPr>
            <w:r w:rsidRPr="00BE2C1D">
              <w:rPr>
                <w:rFonts w:asciiTheme="majorBidi" w:hAnsiTheme="majorBidi" w:cstheme="majorBidi"/>
                <w:sz w:val="20"/>
                <w:szCs w:val="20"/>
              </w:rPr>
              <w:t>Methods-Tools (to be found-had no access to the full text)</w:t>
            </w:r>
          </w:p>
          <w:p w14:paraId="496C1721" w14:textId="77777777" w:rsidR="00BE2C1D" w:rsidRPr="00BE2C1D" w:rsidRDefault="00BE2C1D" w:rsidP="00BE2C1D">
            <w:pPr>
              <w:rPr>
                <w:rFonts w:asciiTheme="majorBidi" w:hAnsiTheme="majorBidi" w:cstheme="majorBidi"/>
                <w:sz w:val="20"/>
                <w:szCs w:val="20"/>
              </w:rPr>
            </w:pPr>
          </w:p>
          <w:p w14:paraId="52C020E8" w14:textId="77777777" w:rsidR="00BE2C1D" w:rsidRPr="00BE2C1D" w:rsidRDefault="00BE2C1D" w:rsidP="00BE2C1D">
            <w:pPr>
              <w:rPr>
                <w:rFonts w:asciiTheme="majorBidi" w:hAnsiTheme="majorBidi" w:cstheme="majorBidi"/>
                <w:sz w:val="20"/>
                <w:szCs w:val="20"/>
              </w:rPr>
            </w:pPr>
          </w:p>
          <w:p w14:paraId="2FBB4EE8" w14:textId="77777777" w:rsidR="00BE2C1D" w:rsidRPr="00BE2C1D" w:rsidRDefault="00BE2C1D" w:rsidP="00BE2C1D">
            <w:pPr>
              <w:rPr>
                <w:rFonts w:asciiTheme="majorBidi" w:hAnsiTheme="majorBidi" w:cstheme="majorBidi"/>
                <w:sz w:val="20"/>
                <w:szCs w:val="20"/>
              </w:rPr>
            </w:pPr>
          </w:p>
          <w:p w14:paraId="3FCEDFF7" w14:textId="77777777" w:rsidR="00BE2C1D" w:rsidRPr="00BE2C1D" w:rsidRDefault="00BE2C1D" w:rsidP="00BE2C1D">
            <w:pPr>
              <w:rPr>
                <w:rFonts w:asciiTheme="majorBidi" w:hAnsiTheme="majorBidi" w:cstheme="majorBidi"/>
                <w:sz w:val="20"/>
                <w:szCs w:val="20"/>
              </w:rPr>
            </w:pPr>
          </w:p>
          <w:p w14:paraId="7E72DDB8" w14:textId="77777777" w:rsidR="00BE2C1D" w:rsidRPr="00BE2C1D" w:rsidRDefault="00BE2C1D" w:rsidP="00BE2C1D">
            <w:pPr>
              <w:rPr>
                <w:rFonts w:asciiTheme="majorBidi" w:hAnsiTheme="majorBidi" w:cstheme="majorBidi"/>
                <w:sz w:val="20"/>
                <w:szCs w:val="20"/>
              </w:rPr>
            </w:pPr>
          </w:p>
          <w:p w14:paraId="17B0D7A1" w14:textId="77777777" w:rsidR="00BE2C1D" w:rsidRPr="00BE2C1D" w:rsidRDefault="00BE2C1D" w:rsidP="00BE2C1D">
            <w:pPr>
              <w:rPr>
                <w:rFonts w:asciiTheme="majorBidi" w:hAnsiTheme="majorBidi" w:cstheme="majorBidi"/>
                <w:sz w:val="20"/>
                <w:szCs w:val="20"/>
              </w:rPr>
            </w:pPr>
          </w:p>
          <w:p w14:paraId="764CF1A9" w14:textId="77777777" w:rsidR="00BE2C1D" w:rsidRPr="00BE2C1D" w:rsidRDefault="00BE2C1D" w:rsidP="00BE2C1D">
            <w:pPr>
              <w:rPr>
                <w:rFonts w:asciiTheme="majorBidi" w:hAnsiTheme="majorBidi" w:cstheme="majorBidi"/>
                <w:sz w:val="20"/>
                <w:szCs w:val="20"/>
              </w:rPr>
            </w:pPr>
          </w:p>
          <w:p w14:paraId="00DFC6C0" w14:textId="77777777" w:rsidR="00BE2C1D" w:rsidRPr="00BE2C1D" w:rsidRDefault="00BE2C1D" w:rsidP="00BE2C1D">
            <w:pPr>
              <w:rPr>
                <w:rFonts w:asciiTheme="majorBidi" w:hAnsiTheme="majorBidi" w:cstheme="majorBidi"/>
                <w:sz w:val="20"/>
                <w:szCs w:val="20"/>
              </w:rPr>
            </w:pPr>
          </w:p>
          <w:p w14:paraId="23D86C06" w14:textId="77777777" w:rsidR="00BE2C1D" w:rsidRPr="00BE2C1D" w:rsidRDefault="00BE2C1D" w:rsidP="00BE2C1D">
            <w:pPr>
              <w:rPr>
                <w:rFonts w:asciiTheme="majorBidi" w:hAnsiTheme="majorBidi" w:cstheme="majorBidi"/>
                <w:sz w:val="20"/>
                <w:szCs w:val="20"/>
              </w:rPr>
            </w:pPr>
          </w:p>
          <w:p w14:paraId="40B4E577" w14:textId="77777777" w:rsidR="00BE2C1D" w:rsidRPr="00BE2C1D" w:rsidRDefault="00BE2C1D" w:rsidP="00BE2C1D">
            <w:pPr>
              <w:rPr>
                <w:rFonts w:asciiTheme="majorBidi" w:hAnsiTheme="majorBidi" w:cstheme="majorBidi"/>
                <w:sz w:val="20"/>
                <w:szCs w:val="20"/>
              </w:rPr>
            </w:pPr>
          </w:p>
          <w:p w14:paraId="76D3EFEA" w14:textId="77777777" w:rsidR="00BE2C1D" w:rsidRPr="00BE2C1D" w:rsidRDefault="00BE2C1D" w:rsidP="00BE2C1D">
            <w:pPr>
              <w:rPr>
                <w:rFonts w:asciiTheme="majorBidi" w:hAnsiTheme="majorBidi" w:cstheme="majorBidi"/>
                <w:sz w:val="20"/>
                <w:szCs w:val="20"/>
              </w:rPr>
            </w:pPr>
          </w:p>
          <w:p w14:paraId="3BA7D8E6" w14:textId="77777777" w:rsidR="00BE2C1D" w:rsidRPr="00BE2C1D" w:rsidRDefault="00BE2C1D" w:rsidP="00BE2C1D">
            <w:pPr>
              <w:rPr>
                <w:rFonts w:asciiTheme="majorBidi" w:hAnsiTheme="majorBidi" w:cstheme="majorBidi"/>
                <w:sz w:val="20"/>
                <w:szCs w:val="20"/>
              </w:rPr>
            </w:pPr>
          </w:p>
          <w:p w14:paraId="3138B0D2" w14:textId="77777777" w:rsidR="00BE2C1D" w:rsidRPr="00BE2C1D" w:rsidRDefault="00BE2C1D" w:rsidP="00BE2C1D">
            <w:pPr>
              <w:rPr>
                <w:rFonts w:asciiTheme="majorBidi" w:hAnsiTheme="majorBidi" w:cstheme="majorBidi"/>
                <w:sz w:val="20"/>
                <w:szCs w:val="20"/>
              </w:rPr>
            </w:pPr>
          </w:p>
          <w:p w14:paraId="66E423C8" w14:textId="77777777" w:rsidR="00BE2C1D" w:rsidRPr="00BE2C1D" w:rsidRDefault="00BE2C1D" w:rsidP="00BE2C1D">
            <w:pPr>
              <w:rPr>
                <w:rFonts w:asciiTheme="majorBidi" w:hAnsiTheme="majorBidi" w:cstheme="majorBidi"/>
                <w:sz w:val="20"/>
                <w:szCs w:val="20"/>
              </w:rPr>
            </w:pPr>
          </w:p>
          <w:p w14:paraId="593D9209" w14:textId="77777777" w:rsidR="00BE2C1D" w:rsidRPr="00BE2C1D" w:rsidRDefault="00BE2C1D" w:rsidP="00BE2C1D">
            <w:pPr>
              <w:rPr>
                <w:rFonts w:asciiTheme="majorBidi" w:hAnsiTheme="majorBidi" w:cstheme="majorBidi"/>
                <w:sz w:val="20"/>
                <w:szCs w:val="20"/>
              </w:rPr>
            </w:pPr>
          </w:p>
          <w:p w14:paraId="2A185011" w14:textId="77777777" w:rsidR="00BE2C1D" w:rsidRPr="00BE2C1D" w:rsidRDefault="00BE2C1D" w:rsidP="00BE2C1D">
            <w:pPr>
              <w:rPr>
                <w:rFonts w:asciiTheme="majorBidi" w:hAnsiTheme="majorBidi" w:cstheme="majorBidi"/>
                <w:sz w:val="20"/>
                <w:szCs w:val="20"/>
              </w:rPr>
            </w:pPr>
          </w:p>
          <w:p w14:paraId="01C46C21" w14:textId="77777777" w:rsidR="00BE2C1D" w:rsidRPr="00BE2C1D" w:rsidRDefault="00BE2C1D" w:rsidP="00BE2C1D">
            <w:pPr>
              <w:rPr>
                <w:rFonts w:asciiTheme="majorBidi" w:hAnsiTheme="majorBidi" w:cstheme="majorBidi"/>
                <w:sz w:val="20"/>
                <w:szCs w:val="20"/>
              </w:rPr>
            </w:pPr>
            <w:r w:rsidRPr="00BE2C1D">
              <w:rPr>
                <w:rFonts w:asciiTheme="majorBidi" w:hAnsiTheme="majorBidi" w:cstheme="majorBidi"/>
                <w:sz w:val="20"/>
                <w:szCs w:val="20"/>
              </w:rPr>
              <w:t xml:space="preserve">Sample: 258 </w:t>
            </w:r>
            <w:r w:rsidRPr="00BE2C1D">
              <w:rPr>
                <w:rFonts w:asciiTheme="majorBidi" w:hAnsiTheme="majorBidi" w:cstheme="majorBidi"/>
                <w:color w:val="FF0000"/>
                <w:sz w:val="20"/>
                <w:szCs w:val="20"/>
              </w:rPr>
              <w:t>patients</w:t>
            </w:r>
            <w:r w:rsidRPr="00BE2C1D">
              <w:rPr>
                <w:rFonts w:asciiTheme="majorBidi" w:hAnsiTheme="majorBidi" w:cstheme="majorBidi"/>
                <w:sz w:val="20"/>
                <w:szCs w:val="20"/>
              </w:rPr>
              <w:t xml:space="preserve">  (180 boys and 78 girls) with short stature aged from 4 to 18 years (mean age of boys was 11.4 and for girls 10.4). Recruited from a clinic programme.</w:t>
            </w:r>
          </w:p>
          <w:p w14:paraId="6774DA32" w14:textId="77777777" w:rsidR="00BE2C1D" w:rsidRPr="00BE2C1D" w:rsidRDefault="00BE2C1D" w:rsidP="00BE2C1D">
            <w:pPr>
              <w:rPr>
                <w:rFonts w:asciiTheme="majorBidi" w:hAnsiTheme="majorBidi" w:cstheme="majorBidi"/>
                <w:sz w:val="20"/>
                <w:szCs w:val="20"/>
              </w:rPr>
            </w:pPr>
            <w:r w:rsidRPr="00BE2C1D">
              <w:rPr>
                <w:rFonts w:asciiTheme="majorBidi" w:hAnsiTheme="majorBidi" w:cstheme="majorBidi"/>
                <w:sz w:val="20"/>
                <w:szCs w:val="20"/>
              </w:rPr>
              <w:t>Control group: normative and psychiatric samples.</w:t>
            </w:r>
          </w:p>
          <w:p w14:paraId="08E39074" w14:textId="77777777" w:rsidR="00BE2C1D" w:rsidRPr="00BE2C1D" w:rsidRDefault="00BE2C1D" w:rsidP="00BE2C1D">
            <w:pPr>
              <w:rPr>
                <w:rFonts w:asciiTheme="majorBidi" w:hAnsiTheme="majorBidi" w:cstheme="majorBidi"/>
                <w:sz w:val="20"/>
                <w:szCs w:val="20"/>
              </w:rPr>
            </w:pPr>
            <w:r w:rsidRPr="00BE2C1D">
              <w:rPr>
                <w:rFonts w:asciiTheme="majorBidi" w:hAnsiTheme="majorBidi" w:cstheme="majorBidi"/>
                <w:sz w:val="20"/>
                <w:szCs w:val="20"/>
              </w:rPr>
              <w:t>Methods-Tools</w:t>
            </w:r>
          </w:p>
          <w:p w14:paraId="1D2965EB" w14:textId="77777777" w:rsidR="00BE2C1D" w:rsidRPr="00BE2C1D" w:rsidRDefault="00BE2C1D" w:rsidP="00BE2C1D">
            <w:pPr>
              <w:rPr>
                <w:rFonts w:asciiTheme="majorBidi" w:hAnsiTheme="majorBidi" w:cstheme="majorBidi"/>
                <w:i/>
                <w:iCs/>
                <w:sz w:val="20"/>
                <w:szCs w:val="20"/>
              </w:rPr>
            </w:pPr>
            <w:r w:rsidRPr="00BE2C1D">
              <w:rPr>
                <w:rFonts w:asciiTheme="majorBidi" w:hAnsiTheme="majorBidi" w:cstheme="majorBidi"/>
                <w:i/>
                <w:iCs/>
                <w:sz w:val="20"/>
                <w:szCs w:val="20"/>
              </w:rPr>
              <w:t>Height</w:t>
            </w:r>
          </w:p>
          <w:p w14:paraId="5837AF8D" w14:textId="77777777" w:rsidR="00BE2C1D" w:rsidRPr="00BE2C1D" w:rsidRDefault="00BE2C1D" w:rsidP="00BE2C1D">
            <w:pPr>
              <w:rPr>
                <w:rFonts w:asciiTheme="majorBidi" w:hAnsiTheme="majorBidi" w:cstheme="majorBidi"/>
                <w:sz w:val="20"/>
                <w:szCs w:val="20"/>
              </w:rPr>
            </w:pPr>
            <w:r w:rsidRPr="00BE2C1D">
              <w:rPr>
                <w:rFonts w:asciiTheme="majorBidi" w:hAnsiTheme="majorBidi" w:cstheme="majorBidi"/>
                <w:sz w:val="20"/>
                <w:szCs w:val="20"/>
              </w:rPr>
              <w:t>Anthropometry</w:t>
            </w:r>
          </w:p>
          <w:p w14:paraId="6B56A37D" w14:textId="77777777" w:rsidR="00BE2C1D" w:rsidRPr="00BE2C1D" w:rsidRDefault="00BE2C1D" w:rsidP="00BE2C1D">
            <w:pPr>
              <w:rPr>
                <w:rFonts w:asciiTheme="majorBidi" w:hAnsiTheme="majorBidi" w:cstheme="majorBidi"/>
                <w:i/>
                <w:iCs/>
                <w:color w:val="8496B0" w:themeColor="text2" w:themeTint="99"/>
                <w:sz w:val="20"/>
                <w:szCs w:val="20"/>
              </w:rPr>
            </w:pPr>
            <w:r w:rsidRPr="00BE2C1D">
              <w:rPr>
                <w:rFonts w:asciiTheme="majorBidi" w:hAnsiTheme="majorBidi" w:cstheme="majorBidi"/>
                <w:i/>
                <w:iCs/>
                <w:color w:val="385623" w:themeColor="accent6" w:themeShade="80"/>
                <w:sz w:val="20"/>
                <w:szCs w:val="20"/>
              </w:rPr>
              <w:t>Social competencies (activities, social and school)</w:t>
            </w:r>
            <w:r w:rsidRPr="00BE2C1D">
              <w:rPr>
                <w:rFonts w:asciiTheme="majorBidi" w:hAnsiTheme="majorBidi" w:cstheme="majorBidi"/>
                <w:i/>
                <w:iCs/>
                <w:sz w:val="20"/>
                <w:szCs w:val="20"/>
              </w:rPr>
              <w:t xml:space="preserve"> and </w:t>
            </w:r>
            <w:r w:rsidRPr="00BE2C1D">
              <w:rPr>
                <w:rFonts w:asciiTheme="majorBidi" w:hAnsiTheme="majorBidi" w:cstheme="majorBidi"/>
                <w:i/>
                <w:iCs/>
                <w:color w:val="8496B0" w:themeColor="text2" w:themeTint="99"/>
                <w:sz w:val="20"/>
                <w:szCs w:val="20"/>
              </w:rPr>
              <w:t>behavioural problems (internalizing and externalizing behaviours)</w:t>
            </w:r>
          </w:p>
          <w:p w14:paraId="75CAE87F" w14:textId="77777777" w:rsidR="00BE2C1D" w:rsidRPr="00BE2C1D" w:rsidRDefault="00BE2C1D" w:rsidP="00BE2C1D">
            <w:pPr>
              <w:rPr>
                <w:rFonts w:asciiTheme="majorBidi" w:hAnsiTheme="majorBidi" w:cstheme="majorBidi"/>
                <w:color w:val="8496B0" w:themeColor="text2" w:themeTint="99"/>
                <w:sz w:val="20"/>
                <w:szCs w:val="20"/>
              </w:rPr>
            </w:pPr>
            <w:r w:rsidRPr="00BE2C1D">
              <w:rPr>
                <w:rFonts w:asciiTheme="majorBidi" w:hAnsiTheme="majorBidi" w:cstheme="majorBidi"/>
                <w:color w:val="8496B0" w:themeColor="text2" w:themeTint="99"/>
                <w:sz w:val="20"/>
                <w:szCs w:val="20"/>
              </w:rPr>
              <w:t>Child behaviour checklist (CBCL)-completed by parents.</w:t>
            </w:r>
          </w:p>
          <w:p w14:paraId="0446342C" w14:textId="77777777" w:rsidR="00BE2C1D" w:rsidRPr="00BE2C1D" w:rsidRDefault="00BE2C1D" w:rsidP="00BE2C1D">
            <w:pPr>
              <w:rPr>
                <w:rFonts w:asciiTheme="majorBidi" w:hAnsiTheme="majorBidi" w:cstheme="majorBidi"/>
                <w:color w:val="538135" w:themeColor="accent6" w:themeShade="BF"/>
                <w:sz w:val="20"/>
                <w:szCs w:val="20"/>
              </w:rPr>
            </w:pPr>
            <w:r w:rsidRPr="00BE2C1D">
              <w:rPr>
                <w:rFonts w:asciiTheme="majorBidi" w:hAnsiTheme="majorBidi" w:cstheme="majorBidi"/>
                <w:color w:val="538135" w:themeColor="accent6" w:themeShade="BF"/>
                <w:sz w:val="20"/>
                <w:szCs w:val="20"/>
              </w:rPr>
              <w:t>Youth Self Report (YSR)-completed by children or adolescents.</w:t>
            </w:r>
          </w:p>
          <w:p w14:paraId="144C1BFB" w14:textId="77777777" w:rsidR="00BE2C1D" w:rsidRPr="00BE2C1D" w:rsidRDefault="00BE2C1D" w:rsidP="00BE2C1D">
            <w:pPr>
              <w:rPr>
                <w:rFonts w:asciiTheme="majorBidi" w:hAnsiTheme="majorBidi" w:cstheme="majorBidi"/>
                <w:i/>
                <w:iCs/>
                <w:color w:val="BF8F00" w:themeColor="accent4" w:themeShade="BF"/>
                <w:sz w:val="20"/>
                <w:szCs w:val="20"/>
              </w:rPr>
            </w:pPr>
            <w:r w:rsidRPr="00BE2C1D">
              <w:rPr>
                <w:rFonts w:asciiTheme="majorBidi" w:hAnsiTheme="majorBidi" w:cstheme="majorBidi"/>
                <w:i/>
                <w:iCs/>
                <w:color w:val="BF8F00" w:themeColor="accent4" w:themeShade="BF"/>
                <w:sz w:val="20"/>
                <w:szCs w:val="20"/>
              </w:rPr>
              <w:t>Competence and global perception of worth or esteem as a person</w:t>
            </w:r>
          </w:p>
          <w:p w14:paraId="46DA352A" w14:textId="77777777" w:rsidR="00BE2C1D" w:rsidRPr="00BE2C1D" w:rsidRDefault="00BE2C1D" w:rsidP="00BE2C1D">
            <w:pPr>
              <w:rPr>
                <w:rFonts w:asciiTheme="majorBidi" w:hAnsiTheme="majorBidi" w:cstheme="majorBidi"/>
                <w:color w:val="BF8F00" w:themeColor="accent4" w:themeShade="BF"/>
                <w:sz w:val="20"/>
                <w:szCs w:val="20"/>
              </w:rPr>
            </w:pPr>
            <w:r w:rsidRPr="00BE2C1D">
              <w:rPr>
                <w:rFonts w:asciiTheme="majorBidi" w:hAnsiTheme="majorBidi" w:cstheme="majorBidi"/>
                <w:color w:val="BF8F00" w:themeColor="accent4" w:themeShade="BF"/>
                <w:sz w:val="20"/>
                <w:szCs w:val="20"/>
              </w:rPr>
              <w:t>Self-perception Profile for children (scholastic competence, social acceptance, athletic competence, physical appearance, Behavioural Conduct and Global Self-Worth)</w:t>
            </w:r>
          </w:p>
          <w:p w14:paraId="3C3662F3" w14:textId="77777777" w:rsidR="00BE2C1D" w:rsidRPr="00BE2C1D" w:rsidRDefault="00BE2C1D" w:rsidP="00BE2C1D">
            <w:pPr>
              <w:rPr>
                <w:rFonts w:asciiTheme="majorBidi" w:hAnsiTheme="majorBidi" w:cstheme="majorBidi"/>
                <w:color w:val="BF8F00" w:themeColor="accent4" w:themeShade="BF"/>
                <w:sz w:val="20"/>
                <w:szCs w:val="20"/>
              </w:rPr>
            </w:pPr>
            <w:r w:rsidRPr="00BE2C1D">
              <w:rPr>
                <w:rFonts w:asciiTheme="majorBidi" w:hAnsiTheme="majorBidi" w:cstheme="majorBidi"/>
                <w:color w:val="BF8F00" w:themeColor="accent4" w:themeShade="BF"/>
                <w:sz w:val="20"/>
                <w:szCs w:val="20"/>
              </w:rPr>
              <w:t>Self-perception Profile for adolescents</w:t>
            </w:r>
          </w:p>
          <w:p w14:paraId="0D7EE430" w14:textId="77777777" w:rsidR="00BE2C1D" w:rsidRPr="00BE2C1D" w:rsidRDefault="00BE2C1D" w:rsidP="00BE2C1D">
            <w:pPr>
              <w:rPr>
                <w:rFonts w:asciiTheme="majorBidi" w:hAnsiTheme="majorBidi" w:cstheme="majorBidi"/>
                <w:color w:val="BF8F00" w:themeColor="accent4" w:themeShade="BF"/>
                <w:sz w:val="20"/>
                <w:szCs w:val="20"/>
              </w:rPr>
            </w:pPr>
            <w:r w:rsidRPr="00BE2C1D">
              <w:rPr>
                <w:rFonts w:asciiTheme="majorBidi" w:hAnsiTheme="majorBidi" w:cstheme="majorBidi"/>
                <w:color w:val="BF8F00" w:themeColor="accent4" w:themeShade="BF"/>
                <w:sz w:val="20"/>
                <w:szCs w:val="20"/>
              </w:rPr>
              <w:t xml:space="preserve">(scholastic competence, social acceptance, athletic competence, physical appearance, Behavioural Conduct and Global Self-Worth, Job Competence, Romantic Appeal and Close Friendship) </w:t>
            </w:r>
          </w:p>
          <w:p w14:paraId="5804CC18" w14:textId="77777777" w:rsidR="00BE2C1D" w:rsidRPr="00BE2C1D" w:rsidRDefault="00BE2C1D" w:rsidP="00BE2C1D">
            <w:pPr>
              <w:rPr>
                <w:rFonts w:asciiTheme="majorBidi" w:hAnsiTheme="majorBidi" w:cstheme="majorBidi"/>
                <w:sz w:val="20"/>
                <w:szCs w:val="20"/>
              </w:rPr>
            </w:pPr>
            <w:r w:rsidRPr="00BE2C1D">
              <w:rPr>
                <w:rFonts w:asciiTheme="majorBidi" w:hAnsiTheme="majorBidi" w:cstheme="majorBidi"/>
                <w:sz w:val="20"/>
                <w:szCs w:val="20"/>
              </w:rPr>
              <w:t xml:space="preserve">Sample: 534 US physician experts (pediatric endocrinologists) with a response rate of 81.3. </w:t>
            </w:r>
            <w:r w:rsidRPr="00BE2C1D">
              <w:rPr>
                <w:rFonts w:asciiTheme="majorBidi" w:hAnsiTheme="majorBidi" w:cstheme="majorBidi"/>
                <w:sz w:val="20"/>
                <w:szCs w:val="20"/>
              </w:rPr>
              <w:lastRenderedPageBreak/>
              <w:t>Participants were members of the Lawson Wilkins Pediatric Endocrine Society.</w:t>
            </w:r>
          </w:p>
          <w:p w14:paraId="4B169992" w14:textId="77777777" w:rsidR="00BE2C1D" w:rsidRPr="00BE2C1D" w:rsidRDefault="00BE2C1D" w:rsidP="00BE2C1D">
            <w:pPr>
              <w:rPr>
                <w:rFonts w:asciiTheme="majorBidi" w:hAnsiTheme="majorBidi" w:cstheme="majorBidi"/>
                <w:sz w:val="20"/>
                <w:szCs w:val="20"/>
              </w:rPr>
            </w:pPr>
            <w:r w:rsidRPr="00BE2C1D">
              <w:rPr>
                <w:rFonts w:asciiTheme="majorBidi" w:hAnsiTheme="majorBidi" w:cstheme="majorBidi"/>
                <w:sz w:val="20"/>
                <w:szCs w:val="20"/>
              </w:rPr>
              <w:t>Methods-Tools</w:t>
            </w:r>
          </w:p>
          <w:p w14:paraId="3D0E629C" w14:textId="77777777" w:rsidR="00BE2C1D" w:rsidRPr="00BE2C1D" w:rsidRDefault="00BE2C1D" w:rsidP="00BE2C1D">
            <w:pPr>
              <w:rPr>
                <w:rFonts w:asciiTheme="majorBidi" w:hAnsiTheme="majorBidi" w:cstheme="majorBidi"/>
                <w:sz w:val="20"/>
                <w:szCs w:val="20"/>
              </w:rPr>
            </w:pPr>
            <w:r w:rsidRPr="00BE2C1D">
              <w:rPr>
                <w:rFonts w:asciiTheme="majorBidi" w:hAnsiTheme="majorBidi" w:cstheme="majorBidi"/>
                <w:sz w:val="20"/>
                <w:szCs w:val="20"/>
              </w:rPr>
              <w:t xml:space="preserve">National postal survey </w:t>
            </w:r>
          </w:p>
          <w:p w14:paraId="6BE9DC14" w14:textId="77777777" w:rsidR="00BE2C1D" w:rsidRPr="00BE2C1D" w:rsidRDefault="00BE2C1D" w:rsidP="00BE2C1D">
            <w:pPr>
              <w:rPr>
                <w:rFonts w:asciiTheme="majorBidi" w:hAnsiTheme="majorBidi" w:cstheme="majorBidi"/>
                <w:sz w:val="20"/>
                <w:szCs w:val="20"/>
              </w:rPr>
            </w:pPr>
            <w:r w:rsidRPr="00BE2C1D">
              <w:rPr>
                <w:rFonts w:asciiTheme="majorBidi" w:hAnsiTheme="majorBidi" w:cstheme="majorBidi"/>
                <w:sz w:val="20"/>
                <w:szCs w:val="20"/>
              </w:rPr>
              <w:t>Questionnaire</w:t>
            </w:r>
          </w:p>
          <w:p w14:paraId="05ACCA34" w14:textId="77777777" w:rsidR="00BE2C1D" w:rsidRPr="00BE2C1D" w:rsidRDefault="00BE2C1D" w:rsidP="00BE2C1D">
            <w:pPr>
              <w:rPr>
                <w:rFonts w:asciiTheme="majorBidi" w:hAnsiTheme="majorBidi" w:cstheme="majorBidi"/>
                <w:i/>
                <w:sz w:val="20"/>
                <w:szCs w:val="20"/>
              </w:rPr>
            </w:pPr>
            <w:r w:rsidRPr="00BE2C1D">
              <w:rPr>
                <w:rFonts w:asciiTheme="majorBidi" w:hAnsiTheme="majorBidi" w:cstheme="majorBidi"/>
                <w:i/>
                <w:sz w:val="20"/>
                <w:szCs w:val="20"/>
              </w:rPr>
              <w:t>Demographic characteristics</w:t>
            </w:r>
          </w:p>
          <w:p w14:paraId="50D5E5C3" w14:textId="77777777" w:rsidR="00BE2C1D" w:rsidRPr="00BE2C1D" w:rsidRDefault="00BE2C1D" w:rsidP="00BE2C1D">
            <w:pPr>
              <w:rPr>
                <w:rFonts w:asciiTheme="majorBidi" w:hAnsiTheme="majorBidi" w:cstheme="majorBidi"/>
                <w:i/>
                <w:sz w:val="20"/>
                <w:szCs w:val="20"/>
              </w:rPr>
            </w:pPr>
            <w:r w:rsidRPr="00BE2C1D">
              <w:rPr>
                <w:rFonts w:asciiTheme="majorBidi" w:hAnsiTheme="majorBidi" w:cstheme="majorBidi"/>
                <w:i/>
                <w:sz w:val="20"/>
                <w:szCs w:val="20"/>
              </w:rPr>
              <w:t>His/her opinions about short stature and the effectiveness of GH</w:t>
            </w:r>
          </w:p>
          <w:p w14:paraId="38DC3E82" w14:textId="77777777" w:rsidR="00BE2C1D" w:rsidRPr="00BE2C1D" w:rsidRDefault="00BE2C1D" w:rsidP="00BE2C1D">
            <w:pPr>
              <w:rPr>
                <w:rFonts w:asciiTheme="majorBidi" w:hAnsiTheme="majorBidi" w:cstheme="majorBidi"/>
                <w:i/>
                <w:sz w:val="20"/>
                <w:szCs w:val="20"/>
              </w:rPr>
            </w:pPr>
            <w:r w:rsidRPr="00BE2C1D">
              <w:rPr>
                <w:rFonts w:asciiTheme="majorBidi" w:hAnsiTheme="majorBidi" w:cstheme="majorBidi"/>
                <w:i/>
                <w:sz w:val="20"/>
                <w:szCs w:val="20"/>
              </w:rPr>
              <w:t>Recommendation of GH for specific case scenarios in which the child was sort but non-GHG (growth hormone deficient)</w:t>
            </w:r>
          </w:p>
          <w:p w14:paraId="7456E4CE" w14:textId="77777777" w:rsidR="00BE2C1D" w:rsidRPr="00BE2C1D" w:rsidRDefault="00BE2C1D" w:rsidP="00BE2C1D">
            <w:pPr>
              <w:rPr>
                <w:rFonts w:asciiTheme="majorBidi" w:hAnsiTheme="majorBidi" w:cstheme="majorBidi"/>
                <w:i/>
                <w:sz w:val="20"/>
                <w:szCs w:val="20"/>
              </w:rPr>
            </w:pPr>
            <w:r w:rsidRPr="00BE2C1D">
              <w:rPr>
                <w:rFonts w:asciiTheme="majorBidi" w:hAnsiTheme="majorBidi" w:cstheme="majorBidi"/>
                <w:i/>
                <w:sz w:val="20"/>
                <w:szCs w:val="20"/>
              </w:rPr>
              <w:t>3 additional sets of decisions focusing on the contingency variables of price and family wishes.</w:t>
            </w:r>
          </w:p>
          <w:p w14:paraId="44949C09" w14:textId="77777777" w:rsidR="00BE2C1D" w:rsidRPr="00BE2C1D" w:rsidRDefault="00BE2C1D" w:rsidP="00BE2C1D">
            <w:pPr>
              <w:rPr>
                <w:rFonts w:asciiTheme="majorBidi" w:hAnsiTheme="majorBidi" w:cstheme="majorBidi"/>
                <w:i/>
                <w:sz w:val="20"/>
                <w:szCs w:val="20"/>
              </w:rPr>
            </w:pPr>
          </w:p>
          <w:p w14:paraId="1432E003" w14:textId="77777777" w:rsidR="00BE2C1D" w:rsidRPr="00BE2C1D" w:rsidRDefault="00BE2C1D" w:rsidP="00BE2C1D">
            <w:pPr>
              <w:rPr>
                <w:rFonts w:asciiTheme="majorBidi" w:hAnsiTheme="majorBidi" w:cstheme="majorBidi"/>
                <w:sz w:val="20"/>
                <w:szCs w:val="20"/>
              </w:rPr>
            </w:pPr>
            <w:r w:rsidRPr="00BE2C1D">
              <w:rPr>
                <w:rFonts w:asciiTheme="majorBidi" w:hAnsiTheme="majorBidi" w:cstheme="majorBidi"/>
                <w:sz w:val="20"/>
                <w:szCs w:val="20"/>
              </w:rPr>
              <w:t>Sample: case group consisted of 106 short “normal” children (60 boys, 46 girls). Control group included 119 children (65 boys and 54 girls). Age ranged from 11-13 years.</w:t>
            </w:r>
          </w:p>
          <w:p w14:paraId="7EC8854A" w14:textId="77777777" w:rsidR="00BE2C1D" w:rsidRPr="00BE2C1D" w:rsidRDefault="00BE2C1D" w:rsidP="00BE2C1D">
            <w:pPr>
              <w:rPr>
                <w:rFonts w:asciiTheme="majorBidi" w:hAnsiTheme="majorBidi" w:cstheme="majorBidi"/>
                <w:sz w:val="20"/>
                <w:szCs w:val="20"/>
              </w:rPr>
            </w:pPr>
            <w:r w:rsidRPr="00BE2C1D">
              <w:rPr>
                <w:rFonts w:asciiTheme="majorBidi" w:hAnsiTheme="majorBidi" w:cstheme="majorBidi"/>
                <w:sz w:val="20"/>
                <w:szCs w:val="20"/>
              </w:rPr>
              <w:t>Methods-Tools</w:t>
            </w:r>
          </w:p>
          <w:p w14:paraId="6DAE5C8B" w14:textId="77777777" w:rsidR="00BE2C1D" w:rsidRPr="00BE2C1D" w:rsidRDefault="00BE2C1D" w:rsidP="00BE2C1D">
            <w:pPr>
              <w:rPr>
                <w:rFonts w:asciiTheme="majorBidi" w:hAnsiTheme="majorBidi" w:cstheme="majorBidi"/>
                <w:i/>
                <w:sz w:val="20"/>
                <w:szCs w:val="20"/>
              </w:rPr>
            </w:pPr>
            <w:r w:rsidRPr="00BE2C1D">
              <w:rPr>
                <w:rFonts w:asciiTheme="majorBidi" w:hAnsiTheme="majorBidi" w:cstheme="majorBidi"/>
                <w:i/>
                <w:color w:val="525252" w:themeColor="accent3" w:themeShade="80"/>
                <w:sz w:val="20"/>
                <w:szCs w:val="20"/>
              </w:rPr>
              <w:t>Cognitive development (intelligence</w:t>
            </w:r>
            <w:r w:rsidRPr="00BE2C1D">
              <w:rPr>
                <w:rFonts w:asciiTheme="majorBidi" w:hAnsiTheme="majorBidi" w:cstheme="majorBidi"/>
                <w:i/>
                <w:sz w:val="20"/>
                <w:szCs w:val="20"/>
              </w:rPr>
              <w:t xml:space="preserve"> and attainment)</w:t>
            </w:r>
          </w:p>
          <w:p w14:paraId="552139A7" w14:textId="77777777" w:rsidR="00BE2C1D" w:rsidRPr="00BE2C1D" w:rsidRDefault="00BE2C1D" w:rsidP="00BE2C1D">
            <w:pPr>
              <w:rPr>
                <w:rFonts w:asciiTheme="majorBidi" w:hAnsiTheme="majorBidi" w:cstheme="majorBidi"/>
                <w:color w:val="525252" w:themeColor="accent3" w:themeShade="80"/>
                <w:sz w:val="20"/>
                <w:szCs w:val="20"/>
              </w:rPr>
            </w:pPr>
            <w:r w:rsidRPr="00BE2C1D">
              <w:rPr>
                <w:rFonts w:asciiTheme="majorBidi" w:hAnsiTheme="majorBidi" w:cstheme="majorBidi"/>
                <w:color w:val="525252" w:themeColor="accent3" w:themeShade="80"/>
                <w:sz w:val="20"/>
                <w:szCs w:val="20"/>
              </w:rPr>
              <w:t>British Ability Scales (BAS) short form IQ test</w:t>
            </w:r>
          </w:p>
          <w:p w14:paraId="76ADB0ED" w14:textId="77777777" w:rsidR="00BE2C1D" w:rsidRPr="00BE2C1D" w:rsidRDefault="00BE2C1D" w:rsidP="00BE2C1D">
            <w:pPr>
              <w:rPr>
                <w:rFonts w:asciiTheme="majorBidi" w:hAnsiTheme="majorBidi" w:cstheme="majorBidi"/>
                <w:color w:val="92D050"/>
                <w:sz w:val="20"/>
                <w:szCs w:val="20"/>
              </w:rPr>
            </w:pPr>
            <w:r w:rsidRPr="00BE2C1D">
              <w:rPr>
                <w:rFonts w:asciiTheme="majorBidi" w:hAnsiTheme="majorBidi" w:cstheme="majorBidi"/>
                <w:color w:val="92D050"/>
                <w:sz w:val="20"/>
                <w:szCs w:val="20"/>
              </w:rPr>
              <w:t>BAS word reading and basic number skills.</w:t>
            </w:r>
          </w:p>
          <w:p w14:paraId="00697E92" w14:textId="77777777" w:rsidR="00BE2C1D" w:rsidRPr="00BE2C1D" w:rsidRDefault="00BE2C1D" w:rsidP="00BE2C1D">
            <w:pPr>
              <w:rPr>
                <w:rFonts w:asciiTheme="majorBidi" w:hAnsiTheme="majorBidi" w:cstheme="majorBidi"/>
                <w:i/>
                <w:sz w:val="20"/>
                <w:szCs w:val="20"/>
              </w:rPr>
            </w:pPr>
            <w:r w:rsidRPr="00BE2C1D">
              <w:rPr>
                <w:rFonts w:asciiTheme="majorBidi" w:hAnsiTheme="majorBidi" w:cstheme="majorBidi"/>
                <w:i/>
                <w:sz w:val="20"/>
                <w:szCs w:val="20"/>
              </w:rPr>
              <w:t>Locus of control</w:t>
            </w:r>
          </w:p>
          <w:p w14:paraId="6A294DED" w14:textId="77777777" w:rsidR="00BE2C1D" w:rsidRPr="00BE2C1D" w:rsidRDefault="00BE2C1D" w:rsidP="00BE2C1D">
            <w:pPr>
              <w:rPr>
                <w:rFonts w:asciiTheme="majorBidi" w:hAnsiTheme="majorBidi" w:cstheme="majorBidi"/>
                <w:sz w:val="20"/>
                <w:szCs w:val="20"/>
              </w:rPr>
            </w:pPr>
            <w:r w:rsidRPr="00BE2C1D">
              <w:rPr>
                <w:rFonts w:asciiTheme="majorBidi" w:hAnsiTheme="majorBidi" w:cstheme="majorBidi"/>
                <w:sz w:val="20"/>
                <w:szCs w:val="20"/>
              </w:rPr>
              <w:t>Nowicki and Strickland’s scale</w:t>
            </w:r>
          </w:p>
          <w:p w14:paraId="4D9F615A" w14:textId="77777777" w:rsidR="00BE2C1D" w:rsidRPr="00BE2C1D" w:rsidRDefault="00BE2C1D" w:rsidP="00BE2C1D">
            <w:pPr>
              <w:rPr>
                <w:rFonts w:asciiTheme="majorBidi" w:hAnsiTheme="majorBidi" w:cstheme="majorBidi"/>
                <w:i/>
                <w:color w:val="8496B0" w:themeColor="text2" w:themeTint="99"/>
                <w:sz w:val="20"/>
                <w:szCs w:val="20"/>
              </w:rPr>
            </w:pPr>
            <w:r w:rsidRPr="00BE2C1D">
              <w:rPr>
                <w:rFonts w:asciiTheme="majorBidi" w:hAnsiTheme="majorBidi" w:cstheme="majorBidi"/>
                <w:i/>
                <w:color w:val="8496B0" w:themeColor="text2" w:themeTint="99"/>
                <w:sz w:val="20"/>
                <w:szCs w:val="20"/>
              </w:rPr>
              <w:t>Behaviour</w:t>
            </w:r>
          </w:p>
          <w:p w14:paraId="7666A344" w14:textId="77777777" w:rsidR="00BE2C1D" w:rsidRPr="00BE2C1D" w:rsidRDefault="00BE2C1D" w:rsidP="00BE2C1D">
            <w:pPr>
              <w:rPr>
                <w:rFonts w:asciiTheme="majorBidi" w:hAnsiTheme="majorBidi" w:cstheme="majorBidi"/>
                <w:color w:val="8496B0" w:themeColor="text2" w:themeTint="99"/>
                <w:sz w:val="20"/>
                <w:szCs w:val="20"/>
              </w:rPr>
            </w:pPr>
            <w:r w:rsidRPr="00BE2C1D">
              <w:rPr>
                <w:rFonts w:asciiTheme="majorBidi" w:hAnsiTheme="majorBidi" w:cstheme="majorBidi"/>
                <w:color w:val="8496B0" w:themeColor="text2" w:themeTint="99"/>
                <w:sz w:val="20"/>
                <w:szCs w:val="20"/>
              </w:rPr>
              <w:t>Rutter’s children’s behaviour questionnaire (completed by children)</w:t>
            </w:r>
          </w:p>
          <w:p w14:paraId="5A926548" w14:textId="77777777" w:rsidR="00BE2C1D" w:rsidRPr="00BE2C1D" w:rsidRDefault="00BE2C1D" w:rsidP="00BE2C1D">
            <w:pPr>
              <w:rPr>
                <w:rFonts w:asciiTheme="majorBidi" w:hAnsiTheme="majorBidi" w:cstheme="majorBidi"/>
                <w:i/>
                <w:color w:val="BF8F00" w:themeColor="accent4" w:themeShade="BF"/>
                <w:sz w:val="20"/>
                <w:szCs w:val="20"/>
              </w:rPr>
            </w:pPr>
            <w:r w:rsidRPr="00BE2C1D">
              <w:rPr>
                <w:rFonts w:asciiTheme="majorBidi" w:hAnsiTheme="majorBidi" w:cstheme="majorBidi"/>
                <w:i/>
                <w:color w:val="BF8F00" w:themeColor="accent4" w:themeShade="BF"/>
                <w:sz w:val="20"/>
                <w:szCs w:val="20"/>
              </w:rPr>
              <w:t>Self-esteem</w:t>
            </w:r>
          </w:p>
          <w:p w14:paraId="3D44657B" w14:textId="77777777" w:rsidR="00BE2C1D" w:rsidRPr="00BE2C1D" w:rsidRDefault="00BE2C1D" w:rsidP="00BE2C1D">
            <w:pPr>
              <w:rPr>
                <w:rFonts w:asciiTheme="majorBidi" w:hAnsiTheme="majorBidi" w:cstheme="majorBidi"/>
                <w:color w:val="BF8F00" w:themeColor="accent4" w:themeShade="BF"/>
                <w:sz w:val="20"/>
                <w:szCs w:val="20"/>
              </w:rPr>
            </w:pPr>
            <w:r w:rsidRPr="00BE2C1D">
              <w:rPr>
                <w:rFonts w:asciiTheme="majorBidi" w:hAnsiTheme="majorBidi" w:cstheme="majorBidi"/>
                <w:color w:val="BF8F00" w:themeColor="accent4" w:themeShade="BF"/>
                <w:sz w:val="20"/>
                <w:szCs w:val="20"/>
              </w:rPr>
              <w:t xml:space="preserve">Culture free self esteem inventory </w:t>
            </w:r>
          </w:p>
          <w:p w14:paraId="03F5EFDC" w14:textId="77777777" w:rsidR="00BE2C1D" w:rsidRPr="00BE2C1D" w:rsidRDefault="00BE2C1D" w:rsidP="00BE2C1D">
            <w:pPr>
              <w:rPr>
                <w:rFonts w:asciiTheme="majorBidi" w:hAnsiTheme="majorBidi" w:cstheme="majorBidi"/>
                <w:i/>
                <w:color w:val="BF8F00" w:themeColor="accent4" w:themeShade="BF"/>
                <w:sz w:val="20"/>
                <w:szCs w:val="20"/>
              </w:rPr>
            </w:pPr>
            <w:r w:rsidRPr="00BE2C1D">
              <w:rPr>
                <w:rFonts w:asciiTheme="majorBidi" w:hAnsiTheme="majorBidi" w:cstheme="majorBidi"/>
                <w:i/>
                <w:color w:val="BF8F00" w:themeColor="accent4" w:themeShade="BF"/>
                <w:sz w:val="20"/>
                <w:szCs w:val="20"/>
              </w:rPr>
              <w:t>Self perception</w:t>
            </w:r>
          </w:p>
          <w:p w14:paraId="0CFF8C0A" w14:textId="77777777" w:rsidR="00BE2C1D" w:rsidRPr="00BE2C1D" w:rsidRDefault="00BE2C1D" w:rsidP="00BE2C1D">
            <w:pPr>
              <w:rPr>
                <w:rFonts w:asciiTheme="majorBidi" w:hAnsiTheme="majorBidi" w:cstheme="majorBidi"/>
                <w:color w:val="BF8F00" w:themeColor="accent4" w:themeShade="BF"/>
                <w:sz w:val="20"/>
                <w:szCs w:val="20"/>
              </w:rPr>
            </w:pPr>
            <w:r w:rsidRPr="00BE2C1D">
              <w:rPr>
                <w:rFonts w:asciiTheme="majorBidi" w:hAnsiTheme="majorBidi" w:cstheme="majorBidi"/>
                <w:color w:val="BF8F00" w:themeColor="accent4" w:themeShade="BF"/>
                <w:sz w:val="20"/>
                <w:szCs w:val="20"/>
              </w:rPr>
              <w:lastRenderedPageBreak/>
              <w:t>Harter’s self perception profile for children</w:t>
            </w:r>
          </w:p>
          <w:p w14:paraId="42AC0930" w14:textId="77777777" w:rsidR="00BE2C1D" w:rsidRPr="00BE2C1D" w:rsidRDefault="00BE2C1D" w:rsidP="00BE2C1D">
            <w:pPr>
              <w:rPr>
                <w:rFonts w:asciiTheme="majorBidi" w:hAnsiTheme="majorBidi" w:cstheme="majorBidi"/>
                <w:i/>
                <w:color w:val="806000" w:themeColor="accent4" w:themeShade="80"/>
                <w:sz w:val="20"/>
                <w:szCs w:val="20"/>
              </w:rPr>
            </w:pPr>
            <w:r w:rsidRPr="00BE2C1D">
              <w:rPr>
                <w:rFonts w:asciiTheme="majorBidi" w:hAnsiTheme="majorBidi" w:cstheme="majorBidi"/>
                <w:i/>
                <w:color w:val="806000" w:themeColor="accent4" w:themeShade="80"/>
                <w:sz w:val="20"/>
                <w:szCs w:val="20"/>
              </w:rPr>
              <w:t>Parents’ perception</w:t>
            </w:r>
          </w:p>
          <w:p w14:paraId="5CE9610F" w14:textId="77777777" w:rsidR="00BE2C1D" w:rsidRPr="00BE2C1D" w:rsidRDefault="00BE2C1D" w:rsidP="00BE2C1D">
            <w:pPr>
              <w:rPr>
                <w:rFonts w:asciiTheme="majorBidi" w:hAnsiTheme="majorBidi" w:cstheme="majorBidi"/>
                <w:color w:val="806000" w:themeColor="accent4" w:themeShade="80"/>
                <w:sz w:val="20"/>
                <w:szCs w:val="20"/>
              </w:rPr>
            </w:pPr>
            <w:r w:rsidRPr="00BE2C1D">
              <w:rPr>
                <w:rFonts w:asciiTheme="majorBidi" w:hAnsiTheme="majorBidi" w:cstheme="majorBidi"/>
                <w:color w:val="806000" w:themeColor="accent4" w:themeShade="80"/>
                <w:sz w:val="20"/>
                <w:szCs w:val="20"/>
              </w:rPr>
              <w:t>Adapted Harter scale (Manual of the self-perception profile for children)</w:t>
            </w:r>
          </w:p>
          <w:p w14:paraId="003D6880" w14:textId="77777777" w:rsidR="00BE2C1D" w:rsidRPr="00BE2C1D" w:rsidRDefault="00BE2C1D" w:rsidP="00BE2C1D">
            <w:pPr>
              <w:rPr>
                <w:rFonts w:asciiTheme="majorBidi" w:hAnsiTheme="majorBidi" w:cstheme="majorBidi"/>
                <w:i/>
                <w:color w:val="BF8F00" w:themeColor="accent4" w:themeShade="BF"/>
                <w:sz w:val="20"/>
                <w:szCs w:val="20"/>
              </w:rPr>
            </w:pPr>
            <w:r w:rsidRPr="00BE2C1D">
              <w:rPr>
                <w:rFonts w:asciiTheme="majorBidi" w:hAnsiTheme="majorBidi" w:cstheme="majorBidi"/>
                <w:i/>
                <w:color w:val="BF8F00" w:themeColor="accent4" w:themeShade="BF"/>
                <w:sz w:val="20"/>
                <w:szCs w:val="20"/>
              </w:rPr>
              <w:t>Body image</w:t>
            </w:r>
          </w:p>
          <w:p w14:paraId="4EDEA721" w14:textId="77777777" w:rsidR="00BE2C1D" w:rsidRPr="00BE2C1D" w:rsidRDefault="00BE2C1D" w:rsidP="00BE2C1D">
            <w:pPr>
              <w:rPr>
                <w:rFonts w:asciiTheme="majorBidi" w:hAnsiTheme="majorBidi" w:cstheme="majorBidi"/>
                <w:color w:val="BF8F00" w:themeColor="accent4" w:themeShade="BF"/>
                <w:sz w:val="20"/>
                <w:szCs w:val="20"/>
              </w:rPr>
            </w:pPr>
            <w:r w:rsidRPr="00BE2C1D">
              <w:rPr>
                <w:rFonts w:asciiTheme="majorBidi" w:hAnsiTheme="majorBidi" w:cstheme="majorBidi"/>
                <w:color w:val="BF8F00" w:themeColor="accent4" w:themeShade="BF"/>
                <w:sz w:val="20"/>
                <w:szCs w:val="20"/>
              </w:rPr>
              <w:t xml:space="preserve">Body satisfaction index (Dowdney, Woodward, Pickles &amp; Skuse, 1995) </w:t>
            </w:r>
          </w:p>
          <w:p w14:paraId="4EBE7268" w14:textId="77777777" w:rsidR="00BE2C1D" w:rsidRPr="00BE2C1D" w:rsidRDefault="00BE2C1D" w:rsidP="00BE2C1D">
            <w:pPr>
              <w:rPr>
                <w:rFonts w:asciiTheme="majorBidi" w:hAnsiTheme="majorBidi" w:cstheme="majorBidi"/>
                <w:sz w:val="20"/>
                <w:szCs w:val="20"/>
              </w:rPr>
            </w:pPr>
          </w:p>
          <w:p w14:paraId="7B37EAB3" w14:textId="77777777" w:rsidR="00BE2C1D" w:rsidRPr="00BE2C1D" w:rsidRDefault="00BE2C1D" w:rsidP="00BE2C1D">
            <w:pPr>
              <w:rPr>
                <w:rFonts w:asciiTheme="majorBidi" w:hAnsiTheme="majorBidi" w:cstheme="majorBidi"/>
                <w:sz w:val="20"/>
                <w:szCs w:val="20"/>
              </w:rPr>
            </w:pPr>
          </w:p>
        </w:tc>
        <w:tc>
          <w:tcPr>
            <w:tcW w:w="2135" w:type="dxa"/>
          </w:tcPr>
          <w:p w14:paraId="2B33DCF3" w14:textId="77777777" w:rsidR="00BE2C1D" w:rsidRPr="00BE2C1D" w:rsidRDefault="00BE2C1D" w:rsidP="00BE2C1D">
            <w:pPr>
              <w:rPr>
                <w:rFonts w:ascii="Times New Roman" w:hAnsi="Times New Roman" w:cs="Times New Roman"/>
              </w:rPr>
            </w:pPr>
            <w:r w:rsidRPr="00BE2C1D">
              <w:rPr>
                <w:rFonts w:ascii="Times New Roman" w:hAnsi="Times New Roman" w:cs="Times New Roman"/>
              </w:rPr>
              <w:lastRenderedPageBreak/>
              <w:t xml:space="preserve">No significant group difference in terms of </w:t>
            </w:r>
            <w:r w:rsidRPr="00BE2C1D">
              <w:rPr>
                <w:rFonts w:ascii="Times New Roman" w:hAnsi="Times New Roman" w:cs="Times New Roman"/>
                <w:color w:val="538135" w:themeColor="accent6" w:themeShade="BF"/>
              </w:rPr>
              <w:t>peer acceptance</w:t>
            </w:r>
            <w:r w:rsidRPr="00BE2C1D">
              <w:rPr>
                <w:rFonts w:ascii="Times New Roman" w:hAnsi="Times New Roman" w:cs="Times New Roman"/>
              </w:rPr>
              <w:t xml:space="preserve">, </w:t>
            </w:r>
            <w:r w:rsidRPr="00BE2C1D">
              <w:rPr>
                <w:rFonts w:ascii="Times New Roman" w:hAnsi="Times New Roman" w:cs="Times New Roman"/>
                <w:color w:val="BF8F00" w:themeColor="accent4" w:themeShade="BF"/>
              </w:rPr>
              <w:t>self- perception</w:t>
            </w:r>
            <w:r w:rsidRPr="00BE2C1D">
              <w:rPr>
                <w:rFonts w:ascii="Times New Roman" w:hAnsi="Times New Roman" w:cs="Times New Roman"/>
              </w:rPr>
              <w:t xml:space="preserve">, and </w:t>
            </w:r>
            <w:r w:rsidRPr="00BE2C1D">
              <w:rPr>
                <w:rFonts w:ascii="Times New Roman" w:hAnsi="Times New Roman" w:cs="Times New Roman"/>
                <w:color w:val="385623" w:themeColor="accent6" w:themeShade="80"/>
              </w:rPr>
              <w:t>social competence.</w:t>
            </w:r>
          </w:p>
          <w:p w14:paraId="7FB01CEE" w14:textId="77777777" w:rsidR="00BE2C1D" w:rsidRPr="00BE2C1D" w:rsidRDefault="00BE2C1D" w:rsidP="00BE2C1D">
            <w:pPr>
              <w:rPr>
                <w:rFonts w:ascii="Times New Roman" w:hAnsi="Times New Roman" w:cs="Times New Roman"/>
              </w:rPr>
            </w:pPr>
            <w:r w:rsidRPr="00BE2C1D">
              <w:rPr>
                <w:rFonts w:ascii="Times New Roman" w:hAnsi="Times New Roman" w:cs="Times New Roman"/>
              </w:rPr>
              <w:t xml:space="preserve">Short children claimed that they were </w:t>
            </w:r>
            <w:r w:rsidRPr="00BE2C1D">
              <w:rPr>
                <w:rFonts w:ascii="Times New Roman" w:hAnsi="Times New Roman" w:cs="Times New Roman"/>
                <w:color w:val="538135" w:themeColor="accent6" w:themeShade="BF"/>
              </w:rPr>
              <w:t>receiving less support from teachers.</w:t>
            </w:r>
          </w:p>
          <w:p w14:paraId="2252E1AE" w14:textId="77777777" w:rsidR="00BE2C1D" w:rsidRPr="00BE2C1D" w:rsidRDefault="00BE2C1D" w:rsidP="00BE2C1D">
            <w:pPr>
              <w:rPr>
                <w:rFonts w:ascii="Times New Roman" w:hAnsi="Times New Roman" w:cs="Times New Roman"/>
              </w:rPr>
            </w:pPr>
            <w:r w:rsidRPr="00BE2C1D">
              <w:rPr>
                <w:rFonts w:ascii="Times New Roman" w:hAnsi="Times New Roman" w:cs="Times New Roman"/>
              </w:rPr>
              <w:t>It cannot be asserted that clinic referred prepubertal short children are psychosocially maladjusted.</w:t>
            </w:r>
          </w:p>
          <w:p w14:paraId="60A89691" w14:textId="77777777" w:rsidR="00BE2C1D" w:rsidRPr="00BE2C1D" w:rsidRDefault="00BE2C1D" w:rsidP="00BE2C1D">
            <w:pPr>
              <w:rPr>
                <w:rFonts w:ascii="Times New Roman" w:hAnsi="Times New Roman" w:cs="Times New Roman"/>
              </w:rPr>
            </w:pPr>
          </w:p>
          <w:p w14:paraId="3EA52805" w14:textId="77777777" w:rsidR="00BE2C1D" w:rsidRPr="00BE2C1D" w:rsidRDefault="00BE2C1D" w:rsidP="00BE2C1D">
            <w:pPr>
              <w:rPr>
                <w:rFonts w:ascii="Times New Roman" w:hAnsi="Times New Roman" w:cs="Times New Roman"/>
              </w:rPr>
            </w:pPr>
          </w:p>
          <w:p w14:paraId="60FD1E82" w14:textId="77777777" w:rsidR="00BE2C1D" w:rsidRPr="00BE2C1D" w:rsidRDefault="00BE2C1D" w:rsidP="00BE2C1D">
            <w:pPr>
              <w:rPr>
                <w:rFonts w:ascii="Times New Roman" w:hAnsi="Times New Roman" w:cs="Times New Roman"/>
              </w:rPr>
            </w:pPr>
          </w:p>
          <w:p w14:paraId="69884122" w14:textId="77777777" w:rsidR="00BE2C1D" w:rsidRPr="00BE2C1D" w:rsidRDefault="00BE2C1D" w:rsidP="00BE2C1D">
            <w:pPr>
              <w:rPr>
                <w:rFonts w:ascii="Times New Roman" w:hAnsi="Times New Roman" w:cs="Times New Roman"/>
              </w:rPr>
            </w:pPr>
          </w:p>
          <w:p w14:paraId="2B37A260" w14:textId="77777777" w:rsidR="00BE2C1D" w:rsidRPr="00BE2C1D" w:rsidRDefault="00BE2C1D" w:rsidP="00BE2C1D">
            <w:pPr>
              <w:rPr>
                <w:rFonts w:ascii="Times New Roman" w:hAnsi="Times New Roman" w:cs="Times New Roman"/>
              </w:rPr>
            </w:pPr>
          </w:p>
          <w:p w14:paraId="105CFB5E" w14:textId="77777777" w:rsidR="00BE2C1D" w:rsidRPr="00BE2C1D" w:rsidRDefault="00BE2C1D" w:rsidP="00BE2C1D">
            <w:pPr>
              <w:rPr>
                <w:rFonts w:ascii="Times New Roman" w:hAnsi="Times New Roman" w:cs="Times New Roman"/>
              </w:rPr>
            </w:pPr>
          </w:p>
          <w:p w14:paraId="5A240B5B" w14:textId="77777777" w:rsidR="00BE2C1D" w:rsidRPr="00BE2C1D" w:rsidRDefault="00BE2C1D" w:rsidP="00BE2C1D">
            <w:pPr>
              <w:rPr>
                <w:rFonts w:ascii="Times New Roman" w:hAnsi="Times New Roman" w:cs="Times New Roman"/>
              </w:rPr>
            </w:pPr>
          </w:p>
          <w:p w14:paraId="33D48377" w14:textId="77777777" w:rsidR="00BE2C1D" w:rsidRPr="00BE2C1D" w:rsidRDefault="00BE2C1D" w:rsidP="00BE2C1D">
            <w:pPr>
              <w:rPr>
                <w:rFonts w:ascii="Times New Roman" w:hAnsi="Times New Roman" w:cs="Times New Roman"/>
              </w:rPr>
            </w:pPr>
          </w:p>
          <w:p w14:paraId="7AC44B29" w14:textId="77777777" w:rsidR="00BE2C1D" w:rsidRPr="00BE2C1D" w:rsidRDefault="00BE2C1D" w:rsidP="00BE2C1D">
            <w:pPr>
              <w:rPr>
                <w:rFonts w:ascii="Times New Roman" w:hAnsi="Times New Roman" w:cs="Times New Roman"/>
              </w:rPr>
            </w:pPr>
          </w:p>
          <w:p w14:paraId="5784696A" w14:textId="77777777" w:rsidR="00BE2C1D" w:rsidRPr="00BE2C1D" w:rsidRDefault="00BE2C1D" w:rsidP="00BE2C1D">
            <w:pPr>
              <w:rPr>
                <w:rFonts w:ascii="Times New Roman" w:hAnsi="Times New Roman" w:cs="Times New Roman"/>
              </w:rPr>
            </w:pPr>
          </w:p>
          <w:p w14:paraId="0DCCFBBA" w14:textId="77777777" w:rsidR="00BE2C1D" w:rsidRPr="00BE2C1D" w:rsidRDefault="00BE2C1D" w:rsidP="00BE2C1D">
            <w:pPr>
              <w:rPr>
                <w:rFonts w:ascii="Times New Roman" w:hAnsi="Times New Roman" w:cs="Times New Roman"/>
              </w:rPr>
            </w:pPr>
          </w:p>
          <w:p w14:paraId="0BE1B77C" w14:textId="77777777" w:rsidR="00BE2C1D" w:rsidRPr="00BE2C1D" w:rsidRDefault="00BE2C1D" w:rsidP="00BE2C1D">
            <w:pPr>
              <w:rPr>
                <w:rFonts w:ascii="Times New Roman" w:hAnsi="Times New Roman" w:cs="Times New Roman"/>
              </w:rPr>
            </w:pPr>
          </w:p>
          <w:p w14:paraId="6D48CA44" w14:textId="77777777" w:rsidR="00BE2C1D" w:rsidRPr="00BE2C1D" w:rsidRDefault="00BE2C1D" w:rsidP="00BE2C1D">
            <w:pPr>
              <w:rPr>
                <w:rFonts w:ascii="Times New Roman" w:hAnsi="Times New Roman" w:cs="Times New Roman"/>
              </w:rPr>
            </w:pPr>
          </w:p>
          <w:p w14:paraId="1C8471B7" w14:textId="77777777" w:rsidR="00BE2C1D" w:rsidRPr="00BE2C1D" w:rsidRDefault="00BE2C1D" w:rsidP="00BE2C1D">
            <w:pPr>
              <w:rPr>
                <w:rFonts w:ascii="Times New Roman" w:hAnsi="Times New Roman" w:cs="Times New Roman"/>
              </w:rPr>
            </w:pPr>
          </w:p>
          <w:p w14:paraId="200B393F" w14:textId="77777777" w:rsidR="00BE2C1D" w:rsidRPr="00BE2C1D" w:rsidRDefault="00BE2C1D" w:rsidP="00BE2C1D">
            <w:pPr>
              <w:rPr>
                <w:rFonts w:ascii="Times New Roman" w:hAnsi="Times New Roman" w:cs="Times New Roman"/>
              </w:rPr>
            </w:pPr>
          </w:p>
          <w:p w14:paraId="699FEF77" w14:textId="77777777" w:rsidR="00BE2C1D" w:rsidRPr="00BE2C1D" w:rsidRDefault="00BE2C1D" w:rsidP="00BE2C1D">
            <w:pPr>
              <w:rPr>
                <w:rFonts w:ascii="Times New Roman" w:hAnsi="Times New Roman" w:cs="Times New Roman"/>
              </w:rPr>
            </w:pPr>
          </w:p>
          <w:p w14:paraId="37B2904F" w14:textId="77777777" w:rsidR="00BE2C1D" w:rsidRPr="00BE2C1D" w:rsidRDefault="00BE2C1D" w:rsidP="00BE2C1D">
            <w:pPr>
              <w:rPr>
                <w:rFonts w:ascii="Times New Roman" w:hAnsi="Times New Roman" w:cs="Times New Roman"/>
              </w:rPr>
            </w:pPr>
          </w:p>
          <w:p w14:paraId="5856E5A3" w14:textId="77777777" w:rsidR="00BE2C1D" w:rsidRPr="00BE2C1D" w:rsidRDefault="00BE2C1D" w:rsidP="00BE2C1D">
            <w:pPr>
              <w:rPr>
                <w:rFonts w:ascii="Times New Roman" w:hAnsi="Times New Roman" w:cs="Times New Roman"/>
              </w:rPr>
            </w:pPr>
          </w:p>
          <w:p w14:paraId="18B48E3C" w14:textId="77777777" w:rsidR="00BE2C1D" w:rsidRPr="00BE2C1D" w:rsidRDefault="00BE2C1D" w:rsidP="00BE2C1D">
            <w:pPr>
              <w:rPr>
                <w:rFonts w:ascii="Times New Roman" w:hAnsi="Times New Roman" w:cs="Times New Roman"/>
              </w:rPr>
            </w:pPr>
          </w:p>
          <w:p w14:paraId="61C15C7A" w14:textId="77777777" w:rsidR="00BE2C1D" w:rsidRPr="00BE2C1D" w:rsidRDefault="00BE2C1D" w:rsidP="00BE2C1D">
            <w:pPr>
              <w:rPr>
                <w:rFonts w:ascii="Times New Roman" w:hAnsi="Times New Roman" w:cs="Times New Roman"/>
              </w:rPr>
            </w:pPr>
          </w:p>
          <w:p w14:paraId="52059580" w14:textId="77777777" w:rsidR="00BE2C1D" w:rsidRPr="00BE2C1D" w:rsidRDefault="00BE2C1D" w:rsidP="00BE2C1D">
            <w:pPr>
              <w:rPr>
                <w:rFonts w:ascii="Times New Roman" w:hAnsi="Times New Roman" w:cs="Times New Roman"/>
              </w:rPr>
            </w:pPr>
          </w:p>
          <w:p w14:paraId="3B453FE5" w14:textId="77777777" w:rsidR="00BE2C1D" w:rsidRPr="00BE2C1D" w:rsidRDefault="00BE2C1D" w:rsidP="00BE2C1D">
            <w:pPr>
              <w:rPr>
                <w:rFonts w:ascii="Times New Roman" w:hAnsi="Times New Roman" w:cs="Times New Roman"/>
                <w:color w:val="BF8F00" w:themeColor="accent4" w:themeShade="BF"/>
              </w:rPr>
            </w:pPr>
            <w:r w:rsidRPr="00BE2C1D">
              <w:rPr>
                <w:rFonts w:ascii="Times New Roman" w:hAnsi="Times New Roman" w:cs="Times New Roman"/>
              </w:rPr>
              <w:t xml:space="preserve">No significant differences were found at recruitment, after three years or five year in </w:t>
            </w:r>
            <w:r w:rsidRPr="00BE2C1D">
              <w:rPr>
                <w:rFonts w:ascii="Times New Roman" w:hAnsi="Times New Roman" w:cs="Times New Roman"/>
                <w:color w:val="525252" w:themeColor="accent3" w:themeShade="80"/>
              </w:rPr>
              <w:t>IQ</w:t>
            </w:r>
            <w:r w:rsidRPr="00BE2C1D">
              <w:rPr>
                <w:rFonts w:ascii="Times New Roman" w:hAnsi="Times New Roman" w:cs="Times New Roman"/>
              </w:rPr>
              <w:t xml:space="preserve">, </w:t>
            </w:r>
            <w:r w:rsidRPr="00BE2C1D">
              <w:rPr>
                <w:rFonts w:ascii="Times New Roman" w:hAnsi="Times New Roman" w:cs="Times New Roman"/>
                <w:color w:val="92D050"/>
              </w:rPr>
              <w:t>attainment,</w:t>
            </w:r>
            <w:r w:rsidRPr="00BE2C1D">
              <w:rPr>
                <w:rFonts w:ascii="Times New Roman" w:hAnsi="Times New Roman" w:cs="Times New Roman"/>
              </w:rPr>
              <w:t xml:space="preserve"> </w:t>
            </w:r>
            <w:r w:rsidRPr="00BE2C1D">
              <w:rPr>
                <w:rFonts w:ascii="Times New Roman" w:hAnsi="Times New Roman" w:cs="Times New Roman"/>
                <w:color w:val="8496B0" w:themeColor="text2" w:themeTint="99"/>
              </w:rPr>
              <w:t>behaviour</w:t>
            </w:r>
            <w:r w:rsidRPr="00BE2C1D">
              <w:rPr>
                <w:rFonts w:ascii="Times New Roman" w:hAnsi="Times New Roman" w:cs="Times New Roman"/>
              </w:rPr>
              <w:t xml:space="preserve">, or </w:t>
            </w:r>
            <w:r w:rsidRPr="00BE2C1D">
              <w:rPr>
                <w:rFonts w:ascii="Times New Roman" w:hAnsi="Times New Roman" w:cs="Times New Roman"/>
                <w:color w:val="BF8F00" w:themeColor="accent4" w:themeShade="BF"/>
              </w:rPr>
              <w:t xml:space="preserve">self- esteem. </w:t>
            </w:r>
          </w:p>
          <w:p w14:paraId="6AB0F959" w14:textId="77777777" w:rsidR="00BE2C1D" w:rsidRPr="00BE2C1D" w:rsidRDefault="00BE2C1D" w:rsidP="00BE2C1D">
            <w:pPr>
              <w:rPr>
                <w:rFonts w:ascii="Times New Roman" w:hAnsi="Times New Roman" w:cs="Times New Roman"/>
              </w:rPr>
            </w:pPr>
            <w:r w:rsidRPr="00BE2C1D">
              <w:rPr>
                <w:rFonts w:ascii="Times New Roman" w:hAnsi="Times New Roman" w:cs="Times New Roman"/>
              </w:rPr>
              <w:t xml:space="preserve">At five years, there were no significant differences in locus of control, </w:t>
            </w:r>
            <w:r w:rsidRPr="00BE2C1D">
              <w:rPr>
                <w:rFonts w:ascii="Times New Roman" w:hAnsi="Times New Roman" w:cs="Times New Roman"/>
                <w:color w:val="BF8F00" w:themeColor="accent4" w:themeShade="BF"/>
              </w:rPr>
              <w:t>self- perception</w:t>
            </w:r>
            <w:r w:rsidRPr="00BE2C1D">
              <w:rPr>
                <w:rFonts w:ascii="Times New Roman" w:hAnsi="Times New Roman" w:cs="Times New Roman"/>
              </w:rPr>
              <w:t xml:space="preserve">, or </w:t>
            </w:r>
            <w:r w:rsidRPr="00BE2C1D">
              <w:rPr>
                <w:rFonts w:ascii="Times New Roman" w:hAnsi="Times New Roman" w:cs="Times New Roman"/>
                <w:color w:val="385623" w:themeColor="accent6" w:themeShade="80"/>
              </w:rPr>
              <w:t>parental perceptions of competence</w:t>
            </w:r>
            <w:r w:rsidRPr="00BE2C1D">
              <w:rPr>
                <w:rFonts w:ascii="Times New Roman" w:hAnsi="Times New Roman" w:cs="Times New Roman"/>
              </w:rPr>
              <w:t xml:space="preserve">. </w:t>
            </w:r>
          </w:p>
          <w:p w14:paraId="225ABE46" w14:textId="77777777" w:rsidR="00BE2C1D" w:rsidRPr="00BE2C1D" w:rsidRDefault="00BE2C1D" w:rsidP="00BE2C1D">
            <w:pPr>
              <w:rPr>
                <w:rFonts w:ascii="Times New Roman" w:hAnsi="Times New Roman" w:cs="Times New Roman"/>
                <w:color w:val="BF8F00" w:themeColor="accent4" w:themeShade="BF"/>
              </w:rPr>
            </w:pPr>
            <w:r w:rsidRPr="00BE2C1D">
              <w:rPr>
                <w:rFonts w:ascii="Times New Roman" w:hAnsi="Times New Roman" w:cs="Times New Roman"/>
                <w:color w:val="BF8F00" w:themeColor="accent4" w:themeShade="BF"/>
              </w:rPr>
              <w:t>Both short groups displayed less satisfaction with their height than the controls.</w:t>
            </w:r>
          </w:p>
          <w:p w14:paraId="0E424F56" w14:textId="77777777" w:rsidR="00BE2C1D" w:rsidRPr="00BE2C1D" w:rsidRDefault="00BE2C1D" w:rsidP="00BE2C1D">
            <w:pPr>
              <w:rPr>
                <w:rFonts w:ascii="Times New Roman" w:hAnsi="Times New Roman" w:cs="Times New Roman"/>
              </w:rPr>
            </w:pPr>
          </w:p>
          <w:p w14:paraId="20EA49CC" w14:textId="77777777" w:rsidR="00BE2C1D" w:rsidRPr="00BE2C1D" w:rsidRDefault="00BE2C1D" w:rsidP="00BE2C1D">
            <w:pPr>
              <w:rPr>
                <w:rFonts w:ascii="Times New Roman" w:hAnsi="Times New Roman" w:cs="Times New Roman"/>
              </w:rPr>
            </w:pPr>
          </w:p>
          <w:p w14:paraId="571DC963" w14:textId="77777777" w:rsidR="00BE2C1D" w:rsidRPr="00BE2C1D" w:rsidRDefault="00BE2C1D" w:rsidP="00BE2C1D">
            <w:pPr>
              <w:rPr>
                <w:rFonts w:ascii="Times New Roman" w:hAnsi="Times New Roman" w:cs="Times New Roman"/>
              </w:rPr>
            </w:pPr>
          </w:p>
          <w:p w14:paraId="2CC3B03C" w14:textId="77777777" w:rsidR="00BE2C1D" w:rsidRPr="00BE2C1D" w:rsidRDefault="00BE2C1D" w:rsidP="00BE2C1D">
            <w:pPr>
              <w:rPr>
                <w:rFonts w:ascii="Times New Roman" w:hAnsi="Times New Roman" w:cs="Times New Roman"/>
              </w:rPr>
            </w:pPr>
          </w:p>
          <w:p w14:paraId="6A4CBC65" w14:textId="77777777" w:rsidR="00BE2C1D" w:rsidRPr="00BE2C1D" w:rsidRDefault="00BE2C1D" w:rsidP="00BE2C1D">
            <w:pPr>
              <w:rPr>
                <w:rFonts w:ascii="Times New Roman" w:hAnsi="Times New Roman" w:cs="Times New Roman"/>
              </w:rPr>
            </w:pPr>
          </w:p>
          <w:p w14:paraId="1CE45D4A" w14:textId="77777777" w:rsidR="00BE2C1D" w:rsidRPr="00BE2C1D" w:rsidRDefault="00BE2C1D" w:rsidP="00BE2C1D">
            <w:pPr>
              <w:rPr>
                <w:rFonts w:ascii="Times New Roman" w:hAnsi="Times New Roman" w:cs="Times New Roman"/>
              </w:rPr>
            </w:pPr>
          </w:p>
          <w:p w14:paraId="7FDB9740" w14:textId="77777777" w:rsidR="00BE2C1D" w:rsidRPr="00BE2C1D" w:rsidRDefault="00BE2C1D" w:rsidP="00BE2C1D">
            <w:pPr>
              <w:rPr>
                <w:rFonts w:ascii="Times New Roman" w:hAnsi="Times New Roman" w:cs="Times New Roman"/>
              </w:rPr>
            </w:pPr>
          </w:p>
          <w:p w14:paraId="26467B5F" w14:textId="77777777" w:rsidR="00BE2C1D" w:rsidRPr="00BE2C1D" w:rsidRDefault="00BE2C1D" w:rsidP="00BE2C1D">
            <w:pPr>
              <w:rPr>
                <w:rFonts w:ascii="Times New Roman" w:hAnsi="Times New Roman" w:cs="Times New Roman"/>
              </w:rPr>
            </w:pPr>
          </w:p>
          <w:p w14:paraId="78F7AE92" w14:textId="77777777" w:rsidR="00BE2C1D" w:rsidRPr="00BE2C1D" w:rsidRDefault="00BE2C1D" w:rsidP="00BE2C1D">
            <w:pPr>
              <w:rPr>
                <w:rFonts w:ascii="Times New Roman" w:hAnsi="Times New Roman" w:cs="Times New Roman"/>
              </w:rPr>
            </w:pPr>
          </w:p>
          <w:p w14:paraId="50F106AE" w14:textId="77777777" w:rsidR="00BE2C1D" w:rsidRPr="00BE2C1D" w:rsidRDefault="00BE2C1D" w:rsidP="00BE2C1D">
            <w:pPr>
              <w:rPr>
                <w:rFonts w:ascii="Times New Roman" w:hAnsi="Times New Roman" w:cs="Times New Roman"/>
              </w:rPr>
            </w:pPr>
          </w:p>
          <w:p w14:paraId="499A33ED" w14:textId="77777777" w:rsidR="00BE2C1D" w:rsidRPr="00BE2C1D" w:rsidRDefault="00BE2C1D" w:rsidP="00BE2C1D">
            <w:pPr>
              <w:rPr>
                <w:rFonts w:ascii="Times New Roman" w:hAnsi="Times New Roman" w:cs="Times New Roman"/>
              </w:rPr>
            </w:pPr>
          </w:p>
          <w:p w14:paraId="3BC6E875" w14:textId="77777777" w:rsidR="00BE2C1D" w:rsidRPr="00BE2C1D" w:rsidRDefault="00BE2C1D" w:rsidP="00BE2C1D">
            <w:pPr>
              <w:rPr>
                <w:rFonts w:ascii="Times New Roman" w:hAnsi="Times New Roman" w:cs="Times New Roman"/>
              </w:rPr>
            </w:pPr>
          </w:p>
          <w:p w14:paraId="58D0B6C8" w14:textId="77777777" w:rsidR="00BE2C1D" w:rsidRPr="00BE2C1D" w:rsidRDefault="00BE2C1D" w:rsidP="00BE2C1D">
            <w:pPr>
              <w:rPr>
                <w:rFonts w:ascii="Times New Roman" w:hAnsi="Times New Roman" w:cs="Times New Roman"/>
              </w:rPr>
            </w:pPr>
          </w:p>
          <w:p w14:paraId="5A00EE2C" w14:textId="77777777" w:rsidR="00BE2C1D" w:rsidRPr="00BE2C1D" w:rsidRDefault="00BE2C1D" w:rsidP="00BE2C1D">
            <w:pPr>
              <w:rPr>
                <w:rFonts w:ascii="Times New Roman" w:hAnsi="Times New Roman" w:cs="Times New Roman"/>
              </w:rPr>
            </w:pPr>
          </w:p>
          <w:p w14:paraId="70BDEDD1" w14:textId="77777777" w:rsidR="00BE2C1D" w:rsidRPr="00BE2C1D" w:rsidRDefault="00BE2C1D" w:rsidP="00BE2C1D">
            <w:pPr>
              <w:rPr>
                <w:rFonts w:ascii="Times New Roman" w:hAnsi="Times New Roman" w:cs="Times New Roman"/>
              </w:rPr>
            </w:pPr>
          </w:p>
          <w:p w14:paraId="415950FA" w14:textId="77777777" w:rsidR="00BE2C1D" w:rsidRPr="00BE2C1D" w:rsidRDefault="00BE2C1D" w:rsidP="00BE2C1D">
            <w:pPr>
              <w:rPr>
                <w:rFonts w:ascii="Times New Roman" w:hAnsi="Times New Roman" w:cs="Times New Roman"/>
              </w:rPr>
            </w:pPr>
            <w:r w:rsidRPr="00BE2C1D">
              <w:rPr>
                <w:rFonts w:ascii="Times New Roman" w:hAnsi="Times New Roman" w:cs="Times New Roman"/>
              </w:rPr>
              <w:t xml:space="preserve">Short normal children from socioeconomically </w:t>
            </w:r>
            <w:r w:rsidRPr="00BE2C1D">
              <w:rPr>
                <w:rFonts w:ascii="Times New Roman" w:hAnsi="Times New Roman" w:cs="Times New Roman"/>
              </w:rPr>
              <w:lastRenderedPageBreak/>
              <w:t xml:space="preserve">disadvantaged backgrounds are at </w:t>
            </w:r>
            <w:r w:rsidRPr="00BE2C1D">
              <w:rPr>
                <w:rFonts w:ascii="Times New Roman" w:hAnsi="Times New Roman" w:cs="Times New Roman"/>
                <w:color w:val="92D050"/>
              </w:rPr>
              <w:t>high risk of educational failure at elementary school.</w:t>
            </w:r>
            <w:r w:rsidRPr="00BE2C1D">
              <w:rPr>
                <w:rFonts w:ascii="Times New Roman" w:hAnsi="Times New Roman" w:cs="Times New Roman"/>
              </w:rPr>
              <w:t xml:space="preserve"> </w:t>
            </w:r>
          </w:p>
          <w:p w14:paraId="1A846FF3" w14:textId="77777777" w:rsidR="00BE2C1D" w:rsidRPr="00BE2C1D" w:rsidRDefault="00BE2C1D" w:rsidP="00BE2C1D">
            <w:pPr>
              <w:rPr>
                <w:rFonts w:ascii="Times New Roman" w:hAnsi="Times New Roman" w:cs="Times New Roman"/>
              </w:rPr>
            </w:pPr>
          </w:p>
          <w:p w14:paraId="65C76AAF" w14:textId="77777777" w:rsidR="00BE2C1D" w:rsidRPr="00BE2C1D" w:rsidRDefault="00BE2C1D" w:rsidP="00BE2C1D">
            <w:pPr>
              <w:rPr>
                <w:rFonts w:ascii="Times New Roman" w:hAnsi="Times New Roman" w:cs="Times New Roman"/>
              </w:rPr>
            </w:pPr>
          </w:p>
          <w:p w14:paraId="2E549843" w14:textId="77777777" w:rsidR="00BE2C1D" w:rsidRPr="00BE2C1D" w:rsidRDefault="00BE2C1D" w:rsidP="00BE2C1D">
            <w:pPr>
              <w:rPr>
                <w:rFonts w:ascii="Times New Roman" w:hAnsi="Times New Roman" w:cs="Times New Roman"/>
              </w:rPr>
            </w:pPr>
          </w:p>
          <w:p w14:paraId="7E621043" w14:textId="77777777" w:rsidR="00BE2C1D" w:rsidRPr="00BE2C1D" w:rsidRDefault="00BE2C1D" w:rsidP="00BE2C1D">
            <w:pPr>
              <w:rPr>
                <w:rFonts w:ascii="Times New Roman" w:hAnsi="Times New Roman" w:cs="Times New Roman"/>
              </w:rPr>
            </w:pPr>
          </w:p>
          <w:p w14:paraId="1316D6F3" w14:textId="77777777" w:rsidR="00BE2C1D" w:rsidRPr="00BE2C1D" w:rsidRDefault="00BE2C1D" w:rsidP="00BE2C1D">
            <w:pPr>
              <w:rPr>
                <w:rFonts w:ascii="Times New Roman" w:hAnsi="Times New Roman" w:cs="Times New Roman"/>
              </w:rPr>
            </w:pPr>
          </w:p>
          <w:p w14:paraId="6E40DE73" w14:textId="77777777" w:rsidR="00BE2C1D" w:rsidRPr="00BE2C1D" w:rsidRDefault="00BE2C1D" w:rsidP="00BE2C1D">
            <w:pPr>
              <w:rPr>
                <w:rFonts w:ascii="Times New Roman" w:hAnsi="Times New Roman" w:cs="Times New Roman"/>
              </w:rPr>
            </w:pPr>
          </w:p>
          <w:p w14:paraId="49A2C821" w14:textId="77777777" w:rsidR="00BE2C1D" w:rsidRPr="00BE2C1D" w:rsidRDefault="00BE2C1D" w:rsidP="00BE2C1D">
            <w:pPr>
              <w:rPr>
                <w:rFonts w:ascii="Times New Roman" w:hAnsi="Times New Roman" w:cs="Times New Roman"/>
              </w:rPr>
            </w:pPr>
          </w:p>
          <w:p w14:paraId="04E478A0" w14:textId="77777777" w:rsidR="00BE2C1D" w:rsidRPr="00BE2C1D" w:rsidRDefault="00BE2C1D" w:rsidP="00BE2C1D">
            <w:pPr>
              <w:rPr>
                <w:rFonts w:ascii="Times New Roman" w:hAnsi="Times New Roman" w:cs="Times New Roman"/>
              </w:rPr>
            </w:pPr>
          </w:p>
          <w:p w14:paraId="4BF45569" w14:textId="77777777" w:rsidR="00BE2C1D" w:rsidRPr="00BE2C1D" w:rsidRDefault="00BE2C1D" w:rsidP="00BE2C1D">
            <w:pPr>
              <w:rPr>
                <w:rFonts w:ascii="Times New Roman" w:hAnsi="Times New Roman" w:cs="Times New Roman"/>
              </w:rPr>
            </w:pPr>
          </w:p>
          <w:p w14:paraId="777D7B54" w14:textId="77777777" w:rsidR="00BE2C1D" w:rsidRPr="00BE2C1D" w:rsidRDefault="00BE2C1D" w:rsidP="00BE2C1D">
            <w:pPr>
              <w:rPr>
                <w:rFonts w:ascii="Times New Roman" w:hAnsi="Times New Roman" w:cs="Times New Roman"/>
              </w:rPr>
            </w:pPr>
          </w:p>
          <w:p w14:paraId="23F12BB8" w14:textId="77777777" w:rsidR="00BE2C1D" w:rsidRPr="00BE2C1D" w:rsidRDefault="00BE2C1D" w:rsidP="00BE2C1D">
            <w:pPr>
              <w:rPr>
                <w:rFonts w:ascii="Times New Roman" w:hAnsi="Times New Roman" w:cs="Times New Roman"/>
              </w:rPr>
            </w:pPr>
          </w:p>
          <w:p w14:paraId="76270264" w14:textId="77777777" w:rsidR="00BE2C1D" w:rsidRPr="00BE2C1D" w:rsidRDefault="00BE2C1D" w:rsidP="00BE2C1D">
            <w:pPr>
              <w:rPr>
                <w:rFonts w:ascii="Times New Roman" w:hAnsi="Times New Roman" w:cs="Times New Roman"/>
              </w:rPr>
            </w:pPr>
          </w:p>
          <w:p w14:paraId="51939A48" w14:textId="77777777" w:rsidR="00BE2C1D" w:rsidRPr="00BE2C1D" w:rsidRDefault="00BE2C1D" w:rsidP="00BE2C1D">
            <w:pPr>
              <w:rPr>
                <w:rFonts w:ascii="Times New Roman" w:hAnsi="Times New Roman" w:cs="Times New Roman"/>
              </w:rPr>
            </w:pPr>
          </w:p>
          <w:p w14:paraId="2692A1FC" w14:textId="77777777" w:rsidR="00BE2C1D" w:rsidRPr="00BE2C1D" w:rsidRDefault="00BE2C1D" w:rsidP="00BE2C1D">
            <w:pPr>
              <w:rPr>
                <w:rFonts w:ascii="Times New Roman" w:hAnsi="Times New Roman" w:cs="Times New Roman"/>
              </w:rPr>
            </w:pPr>
            <w:r w:rsidRPr="00BE2C1D">
              <w:rPr>
                <w:rFonts w:ascii="Times New Roman" w:hAnsi="Times New Roman" w:cs="Times New Roman"/>
                <w:color w:val="525252" w:themeColor="accent3" w:themeShade="80"/>
              </w:rPr>
              <w:t>IQs</w:t>
            </w:r>
            <w:r w:rsidRPr="00BE2C1D">
              <w:rPr>
                <w:rFonts w:ascii="Times New Roman" w:hAnsi="Times New Roman" w:cs="Times New Roman"/>
              </w:rPr>
              <w:t xml:space="preserve"> and </w:t>
            </w:r>
            <w:r w:rsidRPr="00BE2C1D">
              <w:rPr>
                <w:rFonts w:ascii="Times New Roman" w:hAnsi="Times New Roman" w:cs="Times New Roman"/>
                <w:color w:val="92D050"/>
              </w:rPr>
              <w:t>achievement scores</w:t>
            </w:r>
            <w:r w:rsidRPr="00BE2C1D">
              <w:rPr>
                <w:rFonts w:ascii="Times New Roman" w:hAnsi="Times New Roman" w:cs="Times New Roman"/>
              </w:rPr>
              <w:t xml:space="preserve"> did not change with GH therapy.</w:t>
            </w:r>
          </w:p>
          <w:p w14:paraId="625D149D" w14:textId="77777777" w:rsidR="00BE2C1D" w:rsidRPr="00BE2C1D" w:rsidRDefault="00BE2C1D" w:rsidP="00BE2C1D">
            <w:pPr>
              <w:rPr>
                <w:rFonts w:ascii="Times New Roman" w:hAnsi="Times New Roman" w:cs="Times New Roman"/>
                <w:color w:val="8496B0" w:themeColor="text2" w:themeTint="99"/>
              </w:rPr>
            </w:pPr>
            <w:r w:rsidRPr="00BE2C1D">
              <w:rPr>
                <w:rFonts w:ascii="Times New Roman" w:hAnsi="Times New Roman" w:cs="Times New Roman"/>
                <w:color w:val="8496B0" w:themeColor="text2" w:themeTint="99"/>
              </w:rPr>
              <w:t>Children with short stature scored higher for total behaviour problems than normal-statured children.</w:t>
            </w:r>
          </w:p>
          <w:p w14:paraId="27ECC399" w14:textId="77777777" w:rsidR="00BE2C1D" w:rsidRPr="00BE2C1D" w:rsidRDefault="00BE2C1D" w:rsidP="00BE2C1D">
            <w:pPr>
              <w:rPr>
                <w:rFonts w:ascii="Times New Roman" w:hAnsi="Times New Roman" w:cs="Times New Roman"/>
                <w:color w:val="8496B0" w:themeColor="text2" w:themeTint="99"/>
              </w:rPr>
            </w:pPr>
            <w:r w:rsidRPr="00BE2C1D">
              <w:rPr>
                <w:rFonts w:ascii="Times New Roman" w:hAnsi="Times New Roman" w:cs="Times New Roman"/>
                <w:color w:val="8496B0" w:themeColor="text2" w:themeTint="99"/>
              </w:rPr>
              <w:t xml:space="preserve">After 3 years of GH therapy these scores were improved for children with short stature. </w:t>
            </w:r>
          </w:p>
          <w:p w14:paraId="41188206" w14:textId="77777777" w:rsidR="00BE2C1D" w:rsidRPr="00BE2C1D" w:rsidRDefault="00BE2C1D" w:rsidP="00BE2C1D">
            <w:pPr>
              <w:rPr>
                <w:rFonts w:ascii="Times New Roman" w:hAnsi="Times New Roman" w:cs="Times New Roman"/>
              </w:rPr>
            </w:pPr>
          </w:p>
          <w:p w14:paraId="6440F7EB" w14:textId="77777777" w:rsidR="00BE2C1D" w:rsidRPr="00BE2C1D" w:rsidRDefault="00BE2C1D" w:rsidP="00BE2C1D">
            <w:pPr>
              <w:rPr>
                <w:rFonts w:ascii="Times New Roman" w:hAnsi="Times New Roman" w:cs="Times New Roman"/>
              </w:rPr>
            </w:pPr>
          </w:p>
          <w:p w14:paraId="2B73E71C" w14:textId="77777777" w:rsidR="00BE2C1D" w:rsidRPr="00BE2C1D" w:rsidRDefault="00BE2C1D" w:rsidP="00BE2C1D">
            <w:pPr>
              <w:rPr>
                <w:rFonts w:ascii="Times New Roman" w:hAnsi="Times New Roman" w:cs="Times New Roman"/>
              </w:rPr>
            </w:pPr>
          </w:p>
          <w:p w14:paraId="1875F6DD" w14:textId="77777777" w:rsidR="00BE2C1D" w:rsidRPr="00BE2C1D" w:rsidRDefault="00BE2C1D" w:rsidP="00BE2C1D">
            <w:pPr>
              <w:rPr>
                <w:rFonts w:ascii="Times New Roman" w:hAnsi="Times New Roman" w:cs="Times New Roman"/>
              </w:rPr>
            </w:pPr>
          </w:p>
          <w:p w14:paraId="008C4006" w14:textId="77777777" w:rsidR="00BE2C1D" w:rsidRPr="00BE2C1D" w:rsidRDefault="00BE2C1D" w:rsidP="00BE2C1D">
            <w:pPr>
              <w:rPr>
                <w:rFonts w:ascii="Times New Roman" w:hAnsi="Times New Roman" w:cs="Times New Roman"/>
              </w:rPr>
            </w:pPr>
          </w:p>
          <w:p w14:paraId="1F80E173" w14:textId="77777777" w:rsidR="00BE2C1D" w:rsidRPr="00BE2C1D" w:rsidRDefault="00BE2C1D" w:rsidP="00BE2C1D">
            <w:pPr>
              <w:rPr>
                <w:rFonts w:ascii="Times New Roman" w:hAnsi="Times New Roman" w:cs="Times New Roman"/>
              </w:rPr>
            </w:pPr>
          </w:p>
          <w:p w14:paraId="2E55C641" w14:textId="77777777" w:rsidR="00BE2C1D" w:rsidRPr="00BE2C1D" w:rsidRDefault="00BE2C1D" w:rsidP="00BE2C1D">
            <w:pPr>
              <w:rPr>
                <w:rFonts w:ascii="Times New Roman" w:hAnsi="Times New Roman" w:cs="Times New Roman"/>
              </w:rPr>
            </w:pPr>
          </w:p>
          <w:p w14:paraId="2BA389E9" w14:textId="77777777" w:rsidR="00BE2C1D" w:rsidRPr="00BE2C1D" w:rsidRDefault="00BE2C1D" w:rsidP="00BE2C1D">
            <w:pPr>
              <w:rPr>
                <w:rFonts w:ascii="Times New Roman" w:hAnsi="Times New Roman" w:cs="Times New Roman"/>
              </w:rPr>
            </w:pPr>
          </w:p>
          <w:p w14:paraId="3BEE8D1E" w14:textId="77777777" w:rsidR="00BE2C1D" w:rsidRPr="00BE2C1D" w:rsidRDefault="00BE2C1D" w:rsidP="00BE2C1D">
            <w:pPr>
              <w:rPr>
                <w:rFonts w:ascii="Times New Roman" w:hAnsi="Times New Roman" w:cs="Times New Roman"/>
              </w:rPr>
            </w:pPr>
          </w:p>
          <w:p w14:paraId="49A89572" w14:textId="77777777" w:rsidR="00BE2C1D" w:rsidRPr="00BE2C1D" w:rsidRDefault="00BE2C1D" w:rsidP="00BE2C1D">
            <w:pPr>
              <w:rPr>
                <w:rFonts w:ascii="Times New Roman" w:hAnsi="Times New Roman" w:cs="Times New Roman"/>
              </w:rPr>
            </w:pPr>
          </w:p>
          <w:p w14:paraId="637A1AF7" w14:textId="77777777" w:rsidR="00BE2C1D" w:rsidRPr="00BE2C1D" w:rsidRDefault="00BE2C1D" w:rsidP="00BE2C1D">
            <w:pPr>
              <w:rPr>
                <w:rFonts w:ascii="Times New Roman" w:hAnsi="Times New Roman" w:cs="Times New Roman"/>
              </w:rPr>
            </w:pPr>
          </w:p>
          <w:p w14:paraId="5E696CCA" w14:textId="77777777" w:rsidR="00BE2C1D" w:rsidRPr="00BE2C1D" w:rsidRDefault="00BE2C1D" w:rsidP="00BE2C1D">
            <w:pPr>
              <w:rPr>
                <w:rFonts w:ascii="Times New Roman" w:hAnsi="Times New Roman" w:cs="Times New Roman"/>
              </w:rPr>
            </w:pPr>
          </w:p>
          <w:p w14:paraId="0D7F7347" w14:textId="77777777" w:rsidR="00BE2C1D" w:rsidRPr="00BE2C1D" w:rsidRDefault="00BE2C1D" w:rsidP="00BE2C1D">
            <w:pPr>
              <w:rPr>
                <w:rFonts w:ascii="Times New Roman" w:hAnsi="Times New Roman" w:cs="Times New Roman"/>
              </w:rPr>
            </w:pPr>
          </w:p>
          <w:p w14:paraId="6D7621DD" w14:textId="77777777" w:rsidR="00BE2C1D" w:rsidRPr="00BE2C1D" w:rsidRDefault="00BE2C1D" w:rsidP="00BE2C1D">
            <w:pPr>
              <w:rPr>
                <w:rFonts w:ascii="Times New Roman" w:hAnsi="Times New Roman" w:cs="Times New Roman"/>
              </w:rPr>
            </w:pPr>
          </w:p>
          <w:p w14:paraId="67FE0887" w14:textId="77777777" w:rsidR="00BE2C1D" w:rsidRPr="00BE2C1D" w:rsidRDefault="00BE2C1D" w:rsidP="00BE2C1D">
            <w:pPr>
              <w:rPr>
                <w:rFonts w:ascii="Times New Roman" w:hAnsi="Times New Roman" w:cs="Times New Roman"/>
              </w:rPr>
            </w:pPr>
          </w:p>
          <w:p w14:paraId="179A1CF4" w14:textId="77777777" w:rsidR="00BE2C1D" w:rsidRPr="00BE2C1D" w:rsidRDefault="00BE2C1D" w:rsidP="00BE2C1D">
            <w:pPr>
              <w:rPr>
                <w:rFonts w:ascii="Times New Roman" w:hAnsi="Times New Roman" w:cs="Times New Roman"/>
              </w:rPr>
            </w:pPr>
          </w:p>
          <w:p w14:paraId="0E55846D" w14:textId="77777777" w:rsidR="00BE2C1D" w:rsidRPr="00BE2C1D" w:rsidRDefault="00BE2C1D" w:rsidP="00BE2C1D">
            <w:pPr>
              <w:rPr>
                <w:rFonts w:ascii="Times New Roman" w:hAnsi="Times New Roman" w:cs="Times New Roman"/>
              </w:rPr>
            </w:pPr>
          </w:p>
          <w:p w14:paraId="01C5FD87" w14:textId="77777777" w:rsidR="00BE2C1D" w:rsidRPr="00BE2C1D" w:rsidRDefault="00BE2C1D" w:rsidP="00BE2C1D">
            <w:pPr>
              <w:rPr>
                <w:rFonts w:ascii="Times New Roman" w:hAnsi="Times New Roman" w:cs="Times New Roman"/>
              </w:rPr>
            </w:pPr>
          </w:p>
          <w:p w14:paraId="239BD2CD" w14:textId="77777777" w:rsidR="00BE2C1D" w:rsidRPr="00BE2C1D" w:rsidRDefault="00BE2C1D" w:rsidP="00BE2C1D">
            <w:pPr>
              <w:rPr>
                <w:rFonts w:ascii="Times New Roman" w:hAnsi="Times New Roman" w:cs="Times New Roman"/>
              </w:rPr>
            </w:pPr>
            <w:r w:rsidRPr="00BE2C1D">
              <w:rPr>
                <w:rFonts w:ascii="Times New Roman" w:hAnsi="Times New Roman" w:cs="Times New Roman"/>
              </w:rPr>
              <w:t xml:space="preserve">Both groups showed significant discrepancy </w:t>
            </w:r>
            <w:r w:rsidRPr="00BE2C1D">
              <w:rPr>
                <w:rFonts w:ascii="Times New Roman" w:hAnsi="Times New Roman" w:cs="Times New Roman"/>
                <w:color w:val="525252" w:themeColor="accent3" w:themeShade="80"/>
              </w:rPr>
              <w:t>between IQ</w:t>
            </w:r>
            <w:r w:rsidRPr="00BE2C1D">
              <w:rPr>
                <w:rFonts w:ascii="Times New Roman" w:hAnsi="Times New Roman" w:cs="Times New Roman"/>
              </w:rPr>
              <w:t xml:space="preserve"> and </w:t>
            </w:r>
            <w:r w:rsidRPr="00BE2C1D">
              <w:rPr>
                <w:rFonts w:ascii="Times New Roman" w:hAnsi="Times New Roman" w:cs="Times New Roman"/>
                <w:color w:val="92D050"/>
              </w:rPr>
              <w:t>achievement scores in reading, spelling and arithmetic</w:t>
            </w:r>
            <w:r w:rsidRPr="00BE2C1D">
              <w:rPr>
                <w:rFonts w:ascii="Times New Roman" w:hAnsi="Times New Roman" w:cs="Times New Roman"/>
              </w:rPr>
              <w:t>.</w:t>
            </w:r>
          </w:p>
          <w:p w14:paraId="2BF2C324" w14:textId="77777777" w:rsidR="00BE2C1D" w:rsidRPr="00BE2C1D" w:rsidRDefault="00BE2C1D" w:rsidP="00BE2C1D">
            <w:pPr>
              <w:rPr>
                <w:rFonts w:ascii="Times New Roman" w:hAnsi="Times New Roman" w:cs="Times New Roman"/>
                <w:color w:val="8496B0" w:themeColor="text2" w:themeTint="99"/>
              </w:rPr>
            </w:pPr>
            <w:r w:rsidRPr="00BE2C1D">
              <w:rPr>
                <w:rFonts w:ascii="Times New Roman" w:hAnsi="Times New Roman" w:cs="Times New Roman"/>
              </w:rPr>
              <w:t xml:space="preserve">Both groups indicated a “higher-than-expected rate of </w:t>
            </w:r>
            <w:r w:rsidRPr="00BE2C1D">
              <w:rPr>
                <w:rFonts w:ascii="Times New Roman" w:hAnsi="Times New Roman" w:cs="Times New Roman"/>
                <w:color w:val="8496B0" w:themeColor="text2" w:themeTint="99"/>
              </w:rPr>
              <w:t>behavioural problems (internalizing behaviour: anxiety, somatic complaints, externalizing behaviour:  impulsive, distractible attention seeking).</w:t>
            </w:r>
          </w:p>
          <w:p w14:paraId="1B34FD32" w14:textId="77777777" w:rsidR="00BE2C1D" w:rsidRPr="00BE2C1D" w:rsidRDefault="00BE2C1D" w:rsidP="00BE2C1D">
            <w:pPr>
              <w:rPr>
                <w:rFonts w:ascii="Times New Roman" w:hAnsi="Times New Roman" w:cs="Times New Roman"/>
              </w:rPr>
            </w:pPr>
            <w:r w:rsidRPr="00BE2C1D">
              <w:rPr>
                <w:rFonts w:ascii="Times New Roman" w:hAnsi="Times New Roman" w:cs="Times New Roman"/>
                <w:color w:val="385623" w:themeColor="accent6" w:themeShade="80"/>
              </w:rPr>
              <w:t>Social competence was reduced in school-related activities for GHD patients</w:t>
            </w:r>
            <w:r w:rsidRPr="00BE2C1D">
              <w:rPr>
                <w:rFonts w:ascii="Times New Roman" w:hAnsi="Times New Roman" w:cs="Times New Roman"/>
              </w:rPr>
              <w:t>.</w:t>
            </w:r>
          </w:p>
          <w:p w14:paraId="5AE214B8" w14:textId="77777777" w:rsidR="00BE2C1D" w:rsidRPr="00BE2C1D" w:rsidRDefault="00BE2C1D" w:rsidP="00BE2C1D">
            <w:pPr>
              <w:rPr>
                <w:rFonts w:ascii="Times New Roman" w:hAnsi="Times New Roman" w:cs="Times New Roman"/>
              </w:rPr>
            </w:pPr>
            <w:r w:rsidRPr="00BE2C1D">
              <w:rPr>
                <w:rFonts w:ascii="Times New Roman" w:hAnsi="Times New Roman" w:cs="Times New Roman"/>
              </w:rPr>
              <w:t xml:space="preserve">Short-stature girls show more adaptive psychosocial </w:t>
            </w:r>
            <w:r w:rsidRPr="00BE2C1D">
              <w:rPr>
                <w:rFonts w:ascii="Times New Roman" w:hAnsi="Times New Roman" w:cs="Times New Roman"/>
              </w:rPr>
              <w:lastRenderedPageBreak/>
              <w:t>functioning than short-stature boys.</w:t>
            </w:r>
          </w:p>
          <w:p w14:paraId="2E41C178" w14:textId="77777777" w:rsidR="00BE2C1D" w:rsidRPr="00BE2C1D" w:rsidRDefault="00BE2C1D" w:rsidP="00BE2C1D">
            <w:pPr>
              <w:rPr>
                <w:rFonts w:ascii="Times New Roman" w:hAnsi="Times New Roman" w:cs="Times New Roman"/>
              </w:rPr>
            </w:pPr>
          </w:p>
          <w:p w14:paraId="2BA7DE47" w14:textId="77777777" w:rsidR="00BE2C1D" w:rsidRPr="00BE2C1D" w:rsidRDefault="00BE2C1D" w:rsidP="00BE2C1D">
            <w:pPr>
              <w:rPr>
                <w:rFonts w:ascii="Times New Roman" w:hAnsi="Times New Roman" w:cs="Times New Roman"/>
              </w:rPr>
            </w:pPr>
          </w:p>
          <w:p w14:paraId="620720C8" w14:textId="77777777" w:rsidR="00BE2C1D" w:rsidRPr="00BE2C1D" w:rsidRDefault="00BE2C1D" w:rsidP="00BE2C1D">
            <w:pPr>
              <w:rPr>
                <w:rFonts w:ascii="Times New Roman" w:hAnsi="Times New Roman" w:cs="Times New Roman"/>
              </w:rPr>
            </w:pPr>
            <w:r w:rsidRPr="00BE2C1D">
              <w:rPr>
                <w:rFonts w:ascii="Times New Roman" w:hAnsi="Times New Roman" w:cs="Times New Roman"/>
              </w:rPr>
              <w:t xml:space="preserve">Short stature does not seem to be associated with clinically significant psychosocial morbidity. </w:t>
            </w:r>
          </w:p>
          <w:p w14:paraId="46819470" w14:textId="77777777" w:rsidR="00BE2C1D" w:rsidRPr="00BE2C1D" w:rsidRDefault="00BE2C1D" w:rsidP="00BE2C1D">
            <w:pPr>
              <w:rPr>
                <w:rFonts w:ascii="Times New Roman" w:hAnsi="Times New Roman" w:cs="Times New Roman"/>
              </w:rPr>
            </w:pPr>
          </w:p>
          <w:p w14:paraId="74286939" w14:textId="77777777" w:rsidR="00BE2C1D" w:rsidRPr="00BE2C1D" w:rsidRDefault="00BE2C1D" w:rsidP="00BE2C1D">
            <w:pPr>
              <w:rPr>
                <w:rFonts w:ascii="Times New Roman" w:hAnsi="Times New Roman" w:cs="Times New Roman"/>
                <w:color w:val="8496B0" w:themeColor="text2" w:themeTint="99"/>
              </w:rPr>
            </w:pPr>
            <w:r w:rsidRPr="00BE2C1D">
              <w:rPr>
                <w:rFonts w:ascii="Times New Roman" w:hAnsi="Times New Roman" w:cs="Times New Roman"/>
                <w:color w:val="8496B0" w:themeColor="text2" w:themeTint="99"/>
              </w:rPr>
              <w:t xml:space="preserve">Severity of the height deficit does not relate correlate with the level of behavioural adaptation. </w:t>
            </w:r>
          </w:p>
          <w:p w14:paraId="4D59960F" w14:textId="77777777" w:rsidR="00BE2C1D" w:rsidRPr="00BE2C1D" w:rsidRDefault="00BE2C1D" w:rsidP="00BE2C1D">
            <w:pPr>
              <w:rPr>
                <w:rFonts w:ascii="Times New Roman" w:hAnsi="Times New Roman" w:cs="Times New Roman"/>
              </w:rPr>
            </w:pPr>
          </w:p>
          <w:p w14:paraId="00DE9C16" w14:textId="77777777" w:rsidR="00BE2C1D" w:rsidRPr="00BE2C1D" w:rsidRDefault="00BE2C1D" w:rsidP="00BE2C1D">
            <w:pPr>
              <w:rPr>
                <w:rFonts w:ascii="Times New Roman" w:hAnsi="Times New Roman" w:cs="Times New Roman"/>
              </w:rPr>
            </w:pPr>
          </w:p>
          <w:p w14:paraId="7716BB46" w14:textId="77777777" w:rsidR="00BE2C1D" w:rsidRPr="00BE2C1D" w:rsidRDefault="00BE2C1D" w:rsidP="00BE2C1D">
            <w:pPr>
              <w:rPr>
                <w:rFonts w:ascii="Times New Roman" w:hAnsi="Times New Roman" w:cs="Times New Roman"/>
              </w:rPr>
            </w:pPr>
          </w:p>
          <w:p w14:paraId="3E1B70FB" w14:textId="77777777" w:rsidR="00BE2C1D" w:rsidRPr="00BE2C1D" w:rsidRDefault="00BE2C1D" w:rsidP="00BE2C1D">
            <w:pPr>
              <w:rPr>
                <w:rFonts w:ascii="Times New Roman" w:hAnsi="Times New Roman" w:cs="Times New Roman"/>
              </w:rPr>
            </w:pPr>
          </w:p>
          <w:p w14:paraId="3DCA18A3" w14:textId="77777777" w:rsidR="00BE2C1D" w:rsidRPr="00BE2C1D" w:rsidRDefault="00BE2C1D" w:rsidP="00BE2C1D">
            <w:pPr>
              <w:rPr>
                <w:rFonts w:ascii="Times New Roman" w:hAnsi="Times New Roman" w:cs="Times New Roman"/>
              </w:rPr>
            </w:pPr>
          </w:p>
          <w:p w14:paraId="0D1FFBAF" w14:textId="77777777" w:rsidR="00BE2C1D" w:rsidRPr="00BE2C1D" w:rsidRDefault="00BE2C1D" w:rsidP="00BE2C1D">
            <w:pPr>
              <w:rPr>
                <w:rFonts w:ascii="Times New Roman" w:hAnsi="Times New Roman" w:cs="Times New Roman"/>
              </w:rPr>
            </w:pPr>
          </w:p>
          <w:p w14:paraId="1F073394" w14:textId="77777777" w:rsidR="00BE2C1D" w:rsidRPr="00BE2C1D" w:rsidRDefault="00BE2C1D" w:rsidP="00BE2C1D">
            <w:pPr>
              <w:rPr>
                <w:rFonts w:ascii="Times New Roman" w:hAnsi="Times New Roman" w:cs="Times New Roman"/>
              </w:rPr>
            </w:pPr>
          </w:p>
          <w:p w14:paraId="725287C9" w14:textId="77777777" w:rsidR="00BE2C1D" w:rsidRPr="00BE2C1D" w:rsidRDefault="00BE2C1D" w:rsidP="00BE2C1D">
            <w:pPr>
              <w:rPr>
                <w:rFonts w:ascii="Times New Roman" w:hAnsi="Times New Roman" w:cs="Times New Roman"/>
              </w:rPr>
            </w:pPr>
          </w:p>
          <w:p w14:paraId="63300DBF" w14:textId="77777777" w:rsidR="00BE2C1D" w:rsidRPr="00BE2C1D" w:rsidRDefault="00BE2C1D" w:rsidP="00BE2C1D">
            <w:pPr>
              <w:rPr>
                <w:rFonts w:ascii="Times New Roman" w:hAnsi="Times New Roman" w:cs="Times New Roman"/>
              </w:rPr>
            </w:pPr>
          </w:p>
          <w:p w14:paraId="458C4F99" w14:textId="77777777" w:rsidR="00BE2C1D" w:rsidRPr="00BE2C1D" w:rsidRDefault="00BE2C1D" w:rsidP="00BE2C1D">
            <w:pPr>
              <w:rPr>
                <w:rFonts w:ascii="Times New Roman" w:hAnsi="Times New Roman" w:cs="Times New Roman"/>
              </w:rPr>
            </w:pPr>
          </w:p>
          <w:p w14:paraId="32D67A0C" w14:textId="77777777" w:rsidR="00BE2C1D" w:rsidRPr="00BE2C1D" w:rsidRDefault="00BE2C1D" w:rsidP="00BE2C1D">
            <w:pPr>
              <w:rPr>
                <w:rFonts w:ascii="Times New Roman" w:hAnsi="Times New Roman" w:cs="Times New Roman"/>
              </w:rPr>
            </w:pPr>
          </w:p>
          <w:p w14:paraId="6914F38D" w14:textId="77777777" w:rsidR="00BE2C1D" w:rsidRPr="00BE2C1D" w:rsidRDefault="00BE2C1D" w:rsidP="00BE2C1D">
            <w:pPr>
              <w:rPr>
                <w:rFonts w:ascii="Times New Roman" w:hAnsi="Times New Roman" w:cs="Times New Roman"/>
              </w:rPr>
            </w:pPr>
          </w:p>
          <w:p w14:paraId="63D05637" w14:textId="77777777" w:rsidR="00BE2C1D" w:rsidRPr="00BE2C1D" w:rsidRDefault="00BE2C1D" w:rsidP="00BE2C1D">
            <w:pPr>
              <w:rPr>
                <w:rFonts w:ascii="Times New Roman" w:hAnsi="Times New Roman" w:cs="Times New Roman"/>
              </w:rPr>
            </w:pPr>
          </w:p>
          <w:p w14:paraId="4A886EB2" w14:textId="77777777" w:rsidR="00BE2C1D" w:rsidRPr="00BE2C1D" w:rsidRDefault="00BE2C1D" w:rsidP="00BE2C1D">
            <w:pPr>
              <w:rPr>
                <w:rFonts w:ascii="Times New Roman" w:hAnsi="Times New Roman" w:cs="Times New Roman"/>
              </w:rPr>
            </w:pPr>
          </w:p>
          <w:p w14:paraId="6F0B8006" w14:textId="77777777" w:rsidR="00BE2C1D" w:rsidRPr="00BE2C1D" w:rsidRDefault="00BE2C1D" w:rsidP="00BE2C1D">
            <w:pPr>
              <w:rPr>
                <w:rFonts w:ascii="Times New Roman" w:hAnsi="Times New Roman" w:cs="Times New Roman"/>
              </w:rPr>
            </w:pPr>
          </w:p>
          <w:p w14:paraId="273B4C75" w14:textId="77777777" w:rsidR="00BE2C1D" w:rsidRPr="00BE2C1D" w:rsidRDefault="00BE2C1D" w:rsidP="00BE2C1D">
            <w:pPr>
              <w:rPr>
                <w:rFonts w:ascii="Times New Roman" w:hAnsi="Times New Roman" w:cs="Times New Roman"/>
              </w:rPr>
            </w:pPr>
          </w:p>
          <w:p w14:paraId="28F0FC19" w14:textId="77777777" w:rsidR="00BE2C1D" w:rsidRPr="00BE2C1D" w:rsidRDefault="00BE2C1D" w:rsidP="00BE2C1D">
            <w:pPr>
              <w:rPr>
                <w:rFonts w:ascii="Times New Roman" w:hAnsi="Times New Roman" w:cs="Times New Roman"/>
              </w:rPr>
            </w:pPr>
          </w:p>
          <w:p w14:paraId="40040B85" w14:textId="77777777" w:rsidR="00BE2C1D" w:rsidRPr="00BE2C1D" w:rsidRDefault="00BE2C1D" w:rsidP="00BE2C1D">
            <w:pPr>
              <w:rPr>
                <w:rFonts w:ascii="Times New Roman" w:hAnsi="Times New Roman" w:cs="Times New Roman"/>
              </w:rPr>
            </w:pPr>
          </w:p>
          <w:p w14:paraId="763ACF3F" w14:textId="77777777" w:rsidR="00BE2C1D" w:rsidRPr="00BE2C1D" w:rsidRDefault="00BE2C1D" w:rsidP="00BE2C1D">
            <w:pPr>
              <w:rPr>
                <w:rFonts w:ascii="Times New Roman" w:hAnsi="Times New Roman" w:cs="Times New Roman"/>
              </w:rPr>
            </w:pPr>
            <w:r w:rsidRPr="00BE2C1D">
              <w:rPr>
                <w:rFonts w:ascii="Times New Roman" w:hAnsi="Times New Roman" w:cs="Times New Roman"/>
              </w:rPr>
              <w:t xml:space="preserve">The likelihood of GH being recommended </w:t>
            </w:r>
            <w:r w:rsidRPr="00BE2C1D">
              <w:rPr>
                <w:rFonts w:ascii="Times New Roman" w:hAnsi="Times New Roman" w:cs="Times New Roman"/>
              </w:rPr>
              <w:lastRenderedPageBreak/>
              <w:t xml:space="preserve">depended on the physiological growth characteristics of the child (e.g. the child’s height, growth rate, predicted adult height), contingency factors (e.g. strong family wishes or a reduction in GH cost) and physician beliefs (e.g. </w:t>
            </w:r>
            <w:r w:rsidRPr="00BE2C1D">
              <w:rPr>
                <w:rFonts w:ascii="Times New Roman" w:hAnsi="Times New Roman" w:cs="Times New Roman"/>
                <w:u w:val="single"/>
              </w:rPr>
              <w:t>the impact of short stature on well being, the effectiveness of GH therapy</w:t>
            </w:r>
            <w:r w:rsidRPr="00BE2C1D">
              <w:rPr>
                <w:rFonts w:ascii="Times New Roman" w:hAnsi="Times New Roman" w:cs="Times New Roman"/>
              </w:rPr>
              <w:t>).</w:t>
            </w:r>
          </w:p>
          <w:p w14:paraId="492D8D3C" w14:textId="77777777" w:rsidR="00BE2C1D" w:rsidRPr="00BE2C1D" w:rsidRDefault="00BE2C1D" w:rsidP="00BE2C1D">
            <w:pPr>
              <w:rPr>
                <w:rFonts w:ascii="Times New Roman" w:hAnsi="Times New Roman" w:cs="Times New Roman"/>
              </w:rPr>
            </w:pPr>
            <w:r w:rsidRPr="00BE2C1D">
              <w:rPr>
                <w:rFonts w:ascii="Times New Roman" w:hAnsi="Times New Roman" w:cs="Times New Roman"/>
              </w:rPr>
              <w:t>Pediatric endocrinologists consider GH treatment appropriate for selected short non-GHG children.</w:t>
            </w:r>
          </w:p>
          <w:p w14:paraId="73901F9E" w14:textId="77777777" w:rsidR="00BE2C1D" w:rsidRPr="00BE2C1D" w:rsidRDefault="00BE2C1D" w:rsidP="00BE2C1D">
            <w:pPr>
              <w:rPr>
                <w:rFonts w:ascii="Times New Roman" w:hAnsi="Times New Roman" w:cs="Times New Roman"/>
              </w:rPr>
            </w:pPr>
          </w:p>
          <w:p w14:paraId="7B19F505" w14:textId="77777777" w:rsidR="00BE2C1D" w:rsidRPr="00BE2C1D" w:rsidRDefault="00BE2C1D" w:rsidP="00BE2C1D">
            <w:pPr>
              <w:rPr>
                <w:rFonts w:ascii="Times New Roman" w:hAnsi="Times New Roman" w:cs="Times New Roman"/>
              </w:rPr>
            </w:pPr>
            <w:r w:rsidRPr="00BE2C1D">
              <w:rPr>
                <w:rFonts w:ascii="Times New Roman" w:hAnsi="Times New Roman" w:cs="Times New Roman"/>
              </w:rPr>
              <w:t xml:space="preserve">There was no significant difference on measures </w:t>
            </w:r>
            <w:r w:rsidRPr="00BE2C1D">
              <w:rPr>
                <w:rFonts w:ascii="Times New Roman" w:hAnsi="Times New Roman" w:cs="Times New Roman"/>
                <w:color w:val="FFD966" w:themeColor="accent4" w:themeTint="99"/>
              </w:rPr>
              <w:t>of self esteem, self perception</w:t>
            </w:r>
            <w:r w:rsidRPr="00BE2C1D">
              <w:rPr>
                <w:rFonts w:ascii="Times New Roman" w:hAnsi="Times New Roman" w:cs="Times New Roman"/>
              </w:rPr>
              <w:t xml:space="preserve">, or </w:t>
            </w:r>
            <w:r w:rsidRPr="00BE2C1D">
              <w:rPr>
                <w:rFonts w:ascii="Times New Roman" w:hAnsi="Times New Roman" w:cs="Times New Roman"/>
                <w:color w:val="8496B0" w:themeColor="text2" w:themeTint="99"/>
              </w:rPr>
              <w:t>behaviour</w:t>
            </w:r>
            <w:r w:rsidRPr="00BE2C1D">
              <w:rPr>
                <w:rFonts w:ascii="Times New Roman" w:hAnsi="Times New Roman" w:cs="Times New Roman"/>
              </w:rPr>
              <w:t xml:space="preserve"> between short normal children and control group.</w:t>
            </w:r>
          </w:p>
          <w:p w14:paraId="2DD9AE23" w14:textId="77777777" w:rsidR="00BE2C1D" w:rsidRPr="00BE2C1D" w:rsidRDefault="00BE2C1D" w:rsidP="00BE2C1D">
            <w:pPr>
              <w:rPr>
                <w:rFonts w:ascii="Times New Roman" w:hAnsi="Times New Roman" w:cs="Times New Roman"/>
                <w:color w:val="92D050"/>
              </w:rPr>
            </w:pPr>
            <w:r w:rsidRPr="00BE2C1D">
              <w:rPr>
                <w:rFonts w:ascii="Times New Roman" w:hAnsi="Times New Roman" w:cs="Times New Roman"/>
                <w:color w:val="525252" w:themeColor="accent3" w:themeShade="80"/>
              </w:rPr>
              <w:t>Short children scored significantly lower on measures of IQ</w:t>
            </w:r>
            <w:r w:rsidRPr="00BE2C1D">
              <w:rPr>
                <w:rFonts w:ascii="Times New Roman" w:hAnsi="Times New Roman" w:cs="Times New Roman"/>
              </w:rPr>
              <w:t xml:space="preserve">, </w:t>
            </w:r>
            <w:r w:rsidRPr="00BE2C1D">
              <w:rPr>
                <w:rFonts w:ascii="Times New Roman" w:hAnsi="Times New Roman" w:cs="Times New Roman"/>
                <w:color w:val="92D050"/>
              </w:rPr>
              <w:t>reading attainment and basic number skills. However, attainment scores can be attributed to social class (children came from working class families) rather than short stature.</w:t>
            </w:r>
          </w:p>
          <w:p w14:paraId="12FA4F28" w14:textId="77777777" w:rsidR="00BE2C1D" w:rsidRPr="00BE2C1D" w:rsidRDefault="00BE2C1D" w:rsidP="00BE2C1D">
            <w:pPr>
              <w:rPr>
                <w:rFonts w:ascii="Times New Roman" w:hAnsi="Times New Roman" w:cs="Times New Roman"/>
              </w:rPr>
            </w:pPr>
            <w:r w:rsidRPr="00BE2C1D">
              <w:rPr>
                <w:rFonts w:ascii="Times New Roman" w:hAnsi="Times New Roman" w:cs="Times New Roman"/>
              </w:rPr>
              <w:t xml:space="preserve">Short children demonstrated less internalisation of control </w:t>
            </w:r>
            <w:r w:rsidRPr="00BE2C1D">
              <w:rPr>
                <w:rFonts w:ascii="Times New Roman" w:hAnsi="Times New Roman" w:cs="Times New Roman"/>
                <w:color w:val="FFD966" w:themeColor="accent4" w:themeTint="99"/>
              </w:rPr>
              <w:t xml:space="preserve">and less </w:t>
            </w:r>
            <w:r w:rsidRPr="00BE2C1D">
              <w:rPr>
                <w:rFonts w:ascii="Times New Roman" w:hAnsi="Times New Roman" w:cs="Times New Roman"/>
                <w:color w:val="FFD966" w:themeColor="accent4" w:themeTint="99"/>
              </w:rPr>
              <w:lastRenderedPageBreak/>
              <w:t>satisfaction with their height.</w:t>
            </w:r>
          </w:p>
        </w:tc>
      </w:tr>
      <w:tr w:rsidR="00BE2C1D" w:rsidRPr="00BE2C1D" w14:paraId="36A3EEB1" w14:textId="77777777" w:rsidTr="00BE2C1D">
        <w:trPr>
          <w:trHeight w:val="5355"/>
        </w:trPr>
        <w:tc>
          <w:tcPr>
            <w:tcW w:w="1130" w:type="dxa"/>
            <w:vMerge w:val="restart"/>
          </w:tcPr>
          <w:p w14:paraId="5C805F7D" w14:textId="77777777" w:rsidR="00BE2C1D" w:rsidRPr="00BE2C1D" w:rsidRDefault="00BE2C1D" w:rsidP="00BE2C1D">
            <w:r w:rsidRPr="00BE2C1D">
              <w:lastRenderedPageBreak/>
              <w:t>2000s</w:t>
            </w:r>
          </w:p>
        </w:tc>
        <w:tc>
          <w:tcPr>
            <w:tcW w:w="2244" w:type="dxa"/>
          </w:tcPr>
          <w:p w14:paraId="43DC35FF" w14:textId="77777777" w:rsidR="00BE2C1D" w:rsidRPr="00BE2C1D" w:rsidRDefault="00BE2C1D" w:rsidP="00BE2C1D">
            <w:pPr>
              <w:rPr>
                <w:rFonts w:ascii="Times New Roman" w:hAnsi="Times New Roman" w:cs="Times New Roman"/>
                <w:sz w:val="20"/>
                <w:szCs w:val="20"/>
              </w:rPr>
            </w:pPr>
            <w:r w:rsidRPr="00BE2C1D">
              <w:rPr>
                <w:rFonts w:ascii="Times New Roman" w:hAnsi="Times New Roman" w:cs="Times New Roman"/>
              </w:rPr>
              <w:t xml:space="preserve">Kranzler, Rosenbloom, Proctor, Diamond &amp; Watson, 2000 </w:t>
            </w:r>
            <w:r w:rsidRPr="00BE2C1D">
              <w:rPr>
                <w:rFonts w:ascii="Times New Roman" w:hAnsi="Times New Roman" w:cs="Times New Roman"/>
                <w:sz w:val="20"/>
                <w:szCs w:val="20"/>
              </w:rPr>
              <w:t xml:space="preserve">(Supported by a grant from the </w:t>
            </w:r>
            <w:r w:rsidRPr="00BE2C1D">
              <w:rPr>
                <w:rFonts w:ascii="Times New Roman" w:hAnsi="Times New Roman" w:cs="Times New Roman"/>
                <w:b/>
                <w:sz w:val="20"/>
                <w:szCs w:val="20"/>
                <w:u w:val="single"/>
              </w:rPr>
              <w:t>Genentech Foundation for Growth and Development</w:t>
            </w:r>
            <w:r w:rsidRPr="00BE2C1D">
              <w:rPr>
                <w:rFonts w:ascii="Times New Roman" w:hAnsi="Times New Roman" w:cs="Times New Roman"/>
                <w:sz w:val="20"/>
                <w:szCs w:val="20"/>
              </w:rPr>
              <w:t>)</w:t>
            </w:r>
          </w:p>
          <w:p w14:paraId="72104D94" w14:textId="77777777" w:rsidR="00BE2C1D" w:rsidRPr="00BE2C1D" w:rsidRDefault="00BE2C1D" w:rsidP="00BE2C1D">
            <w:pPr>
              <w:rPr>
                <w:rFonts w:ascii="Times New Roman" w:hAnsi="Times New Roman" w:cs="Times New Roman"/>
                <w:sz w:val="20"/>
                <w:szCs w:val="20"/>
              </w:rPr>
            </w:pPr>
          </w:p>
          <w:p w14:paraId="767D0DB7" w14:textId="77777777" w:rsidR="00BE2C1D" w:rsidRPr="00BE2C1D" w:rsidRDefault="00BE2C1D" w:rsidP="00BE2C1D">
            <w:pPr>
              <w:rPr>
                <w:rFonts w:ascii="Times New Roman" w:hAnsi="Times New Roman" w:cs="Times New Roman"/>
                <w:sz w:val="20"/>
                <w:szCs w:val="20"/>
              </w:rPr>
            </w:pPr>
          </w:p>
          <w:p w14:paraId="36841580" w14:textId="77777777" w:rsidR="00BE2C1D" w:rsidRPr="00BE2C1D" w:rsidRDefault="00BE2C1D" w:rsidP="00BE2C1D">
            <w:pPr>
              <w:rPr>
                <w:rFonts w:ascii="Times New Roman" w:hAnsi="Times New Roman" w:cs="Times New Roman"/>
                <w:sz w:val="20"/>
                <w:szCs w:val="20"/>
              </w:rPr>
            </w:pPr>
          </w:p>
          <w:p w14:paraId="04399842" w14:textId="77777777" w:rsidR="00BE2C1D" w:rsidRPr="00BE2C1D" w:rsidRDefault="00BE2C1D" w:rsidP="00BE2C1D">
            <w:pPr>
              <w:rPr>
                <w:rFonts w:ascii="Times New Roman" w:hAnsi="Times New Roman" w:cs="Times New Roman"/>
                <w:sz w:val="20"/>
                <w:szCs w:val="20"/>
              </w:rPr>
            </w:pPr>
          </w:p>
          <w:p w14:paraId="3092DDC4" w14:textId="77777777" w:rsidR="00BE2C1D" w:rsidRPr="00BE2C1D" w:rsidRDefault="00BE2C1D" w:rsidP="00BE2C1D">
            <w:pPr>
              <w:rPr>
                <w:rFonts w:ascii="Times New Roman" w:hAnsi="Times New Roman" w:cs="Times New Roman"/>
                <w:sz w:val="20"/>
                <w:szCs w:val="20"/>
              </w:rPr>
            </w:pPr>
          </w:p>
          <w:p w14:paraId="0D526E1D" w14:textId="77777777" w:rsidR="00BE2C1D" w:rsidRPr="00BE2C1D" w:rsidRDefault="00BE2C1D" w:rsidP="00BE2C1D">
            <w:pPr>
              <w:rPr>
                <w:rFonts w:ascii="Times New Roman" w:hAnsi="Times New Roman" w:cs="Times New Roman"/>
              </w:rPr>
            </w:pPr>
          </w:p>
        </w:tc>
        <w:tc>
          <w:tcPr>
            <w:tcW w:w="2175" w:type="dxa"/>
          </w:tcPr>
          <w:p w14:paraId="2E571412" w14:textId="77777777" w:rsidR="00BE2C1D" w:rsidRPr="00BE2C1D" w:rsidRDefault="00BE2C1D" w:rsidP="00BE2C1D">
            <w:pPr>
              <w:spacing w:line="240" w:lineRule="auto"/>
              <w:rPr>
                <w:rFonts w:ascii="Times New Roman" w:hAnsi="Times New Roman" w:cs="Times New Roman"/>
              </w:rPr>
            </w:pPr>
            <w:r w:rsidRPr="00BE2C1D">
              <w:rPr>
                <w:rFonts w:ascii="Times New Roman" w:hAnsi="Times New Roman" w:cs="Times New Roman"/>
              </w:rPr>
              <w:t>JPed.</w:t>
            </w:r>
          </w:p>
          <w:p w14:paraId="5DA9BF98" w14:textId="77777777" w:rsidR="00BE2C1D" w:rsidRPr="00BE2C1D" w:rsidRDefault="00BE2C1D" w:rsidP="00BE2C1D">
            <w:pPr>
              <w:spacing w:line="240" w:lineRule="auto"/>
              <w:rPr>
                <w:rFonts w:ascii="Times New Roman" w:hAnsi="Times New Roman" w:cs="Times New Roman"/>
                <w:i/>
                <w:u w:val="single"/>
              </w:rPr>
            </w:pPr>
            <w:r w:rsidRPr="00BE2C1D">
              <w:rPr>
                <w:rFonts w:ascii="Times New Roman" w:hAnsi="Times New Roman" w:cs="Times New Roman"/>
                <w:i/>
              </w:rPr>
              <w:t xml:space="preserve">Is short stature a </w:t>
            </w:r>
            <w:r w:rsidRPr="00BE2C1D">
              <w:rPr>
                <w:rFonts w:ascii="Times New Roman" w:hAnsi="Times New Roman" w:cs="Times New Roman"/>
                <w:i/>
                <w:color w:val="FF0000"/>
              </w:rPr>
              <w:t>handicap</w:t>
            </w:r>
            <w:r w:rsidRPr="00BE2C1D">
              <w:rPr>
                <w:rFonts w:ascii="Times New Roman" w:hAnsi="Times New Roman" w:cs="Times New Roman"/>
                <w:i/>
              </w:rPr>
              <w:t xml:space="preserve">? A comparison of the </w:t>
            </w:r>
            <w:r w:rsidRPr="00BE2C1D">
              <w:rPr>
                <w:rFonts w:ascii="Times New Roman" w:hAnsi="Times New Roman" w:cs="Times New Roman"/>
                <w:i/>
                <w:color w:val="FF0000"/>
              </w:rPr>
              <w:t xml:space="preserve">psychosocial functioning </w:t>
            </w:r>
            <w:r w:rsidRPr="00BE2C1D">
              <w:rPr>
                <w:rFonts w:ascii="Times New Roman" w:hAnsi="Times New Roman" w:cs="Times New Roman"/>
                <w:i/>
              </w:rPr>
              <w:t xml:space="preserve">of </w:t>
            </w:r>
            <w:r w:rsidRPr="00BE2C1D">
              <w:rPr>
                <w:rFonts w:ascii="Times New Roman" w:hAnsi="Times New Roman" w:cs="Times New Roman"/>
                <w:i/>
                <w:u w:val="single"/>
              </w:rPr>
              <w:t>referred</w:t>
            </w:r>
            <w:r w:rsidRPr="00BE2C1D">
              <w:rPr>
                <w:rFonts w:ascii="Times New Roman" w:hAnsi="Times New Roman" w:cs="Times New Roman"/>
                <w:i/>
              </w:rPr>
              <w:t xml:space="preserve"> and </w:t>
            </w:r>
            <w:r w:rsidRPr="00BE2C1D">
              <w:rPr>
                <w:rFonts w:ascii="Times New Roman" w:hAnsi="Times New Roman" w:cs="Times New Roman"/>
                <w:i/>
                <w:u w:val="single"/>
              </w:rPr>
              <w:t>nonreferred</w:t>
            </w:r>
            <w:r w:rsidRPr="00BE2C1D">
              <w:rPr>
                <w:rFonts w:ascii="Times New Roman" w:hAnsi="Times New Roman" w:cs="Times New Roman"/>
                <w:i/>
              </w:rPr>
              <w:t xml:space="preserve"> children with </w:t>
            </w:r>
            <w:r w:rsidRPr="00BE2C1D">
              <w:rPr>
                <w:rFonts w:ascii="Times New Roman" w:hAnsi="Times New Roman" w:cs="Times New Roman"/>
                <w:i/>
                <w:color w:val="FF0000"/>
              </w:rPr>
              <w:t xml:space="preserve">normal short stature </w:t>
            </w:r>
            <w:r w:rsidRPr="00BE2C1D">
              <w:rPr>
                <w:rFonts w:ascii="Times New Roman" w:hAnsi="Times New Roman" w:cs="Times New Roman"/>
                <w:i/>
              </w:rPr>
              <w:t xml:space="preserve">and children with </w:t>
            </w:r>
            <w:r w:rsidRPr="00BE2C1D">
              <w:rPr>
                <w:rFonts w:ascii="Times New Roman" w:hAnsi="Times New Roman" w:cs="Times New Roman"/>
                <w:i/>
                <w:u w:val="single"/>
              </w:rPr>
              <w:t>normal stature.</w:t>
            </w:r>
          </w:p>
          <w:p w14:paraId="542807E1" w14:textId="77777777" w:rsidR="00BE2C1D" w:rsidRPr="00BE2C1D" w:rsidRDefault="00BE2C1D" w:rsidP="00BE2C1D">
            <w:pPr>
              <w:spacing w:line="240" w:lineRule="auto"/>
              <w:rPr>
                <w:rFonts w:ascii="Times New Roman" w:hAnsi="Times New Roman" w:cs="Times New Roman"/>
                <w:i/>
              </w:rPr>
            </w:pPr>
          </w:p>
          <w:p w14:paraId="1EC31E87" w14:textId="77777777" w:rsidR="00BE2C1D" w:rsidRPr="00BE2C1D" w:rsidRDefault="00BE2C1D" w:rsidP="00BE2C1D">
            <w:pPr>
              <w:spacing w:line="240" w:lineRule="auto"/>
              <w:rPr>
                <w:rFonts w:ascii="Times New Roman" w:hAnsi="Times New Roman" w:cs="Times New Roman"/>
                <w:i/>
              </w:rPr>
            </w:pPr>
          </w:p>
          <w:p w14:paraId="3E76E813" w14:textId="77777777" w:rsidR="00BE2C1D" w:rsidRPr="00BE2C1D" w:rsidRDefault="00BE2C1D" w:rsidP="00BE2C1D">
            <w:pPr>
              <w:spacing w:line="240" w:lineRule="auto"/>
              <w:rPr>
                <w:rFonts w:ascii="Times New Roman" w:hAnsi="Times New Roman" w:cs="Times New Roman"/>
                <w:i/>
              </w:rPr>
            </w:pPr>
          </w:p>
          <w:p w14:paraId="72B2023B" w14:textId="77777777" w:rsidR="00BE2C1D" w:rsidRPr="00BE2C1D" w:rsidRDefault="00BE2C1D" w:rsidP="00BE2C1D">
            <w:pPr>
              <w:spacing w:line="240" w:lineRule="auto"/>
              <w:rPr>
                <w:rFonts w:ascii="Times New Roman" w:hAnsi="Times New Roman" w:cs="Times New Roman"/>
                <w:i/>
              </w:rPr>
            </w:pPr>
          </w:p>
          <w:p w14:paraId="320C8FC4" w14:textId="77777777" w:rsidR="00BE2C1D" w:rsidRPr="00BE2C1D" w:rsidRDefault="00BE2C1D" w:rsidP="00BE2C1D">
            <w:pPr>
              <w:spacing w:line="240" w:lineRule="auto"/>
              <w:rPr>
                <w:rFonts w:ascii="Times New Roman" w:hAnsi="Times New Roman" w:cs="Times New Roman"/>
                <w:i/>
              </w:rPr>
            </w:pPr>
          </w:p>
        </w:tc>
        <w:tc>
          <w:tcPr>
            <w:tcW w:w="2864" w:type="dxa"/>
          </w:tcPr>
          <w:p w14:paraId="26F40F46" w14:textId="77777777" w:rsidR="00BE2C1D" w:rsidRPr="00BE2C1D" w:rsidRDefault="00BE2C1D" w:rsidP="00BE2C1D">
            <w:pPr>
              <w:rPr>
                <w:rFonts w:ascii="Times New Roman" w:hAnsi="Times New Roman" w:cs="Times New Roman"/>
                <w:sz w:val="20"/>
                <w:szCs w:val="20"/>
              </w:rPr>
            </w:pPr>
            <w:r w:rsidRPr="00BE2C1D">
              <w:rPr>
                <w:rFonts w:ascii="Times New Roman" w:hAnsi="Times New Roman" w:cs="Times New Roman"/>
                <w:sz w:val="20"/>
                <w:szCs w:val="20"/>
              </w:rPr>
              <w:t>Sample: 90 children (46 boys and 44 girls)between 6 and 12 years of age.</w:t>
            </w:r>
          </w:p>
          <w:p w14:paraId="7BFAA553" w14:textId="77777777" w:rsidR="00BE2C1D" w:rsidRPr="00BE2C1D" w:rsidRDefault="00BE2C1D" w:rsidP="00BE2C1D">
            <w:pPr>
              <w:rPr>
                <w:rFonts w:ascii="Times New Roman" w:hAnsi="Times New Roman" w:cs="Times New Roman"/>
                <w:sz w:val="20"/>
                <w:szCs w:val="20"/>
              </w:rPr>
            </w:pPr>
            <w:r w:rsidRPr="00BE2C1D">
              <w:rPr>
                <w:rFonts w:ascii="Times New Roman" w:hAnsi="Times New Roman" w:cs="Times New Roman"/>
                <w:sz w:val="20"/>
                <w:szCs w:val="20"/>
              </w:rPr>
              <w:t xml:space="preserve">3 groups: Group A: 27 </w:t>
            </w:r>
            <w:r w:rsidRPr="00BE2C1D">
              <w:rPr>
                <w:rFonts w:ascii="Times New Roman" w:hAnsi="Times New Roman" w:cs="Times New Roman"/>
                <w:b/>
                <w:sz w:val="20"/>
                <w:szCs w:val="20"/>
                <w:u w:val="single"/>
              </w:rPr>
              <w:t>referred</w:t>
            </w:r>
            <w:r w:rsidRPr="00BE2C1D">
              <w:rPr>
                <w:rFonts w:ascii="Times New Roman" w:hAnsi="Times New Roman" w:cs="Times New Roman"/>
                <w:b/>
                <w:sz w:val="20"/>
                <w:szCs w:val="20"/>
              </w:rPr>
              <w:t xml:space="preserve"> children with </w:t>
            </w:r>
            <w:r w:rsidRPr="00BE2C1D">
              <w:rPr>
                <w:rFonts w:ascii="Times New Roman" w:hAnsi="Times New Roman" w:cs="Times New Roman"/>
                <w:b/>
                <w:sz w:val="20"/>
                <w:szCs w:val="20"/>
                <w:u w:val="single"/>
              </w:rPr>
              <w:t>normal short stature</w:t>
            </w:r>
            <w:r w:rsidRPr="00BE2C1D">
              <w:rPr>
                <w:rFonts w:ascii="Times New Roman" w:hAnsi="Times New Roman" w:cs="Times New Roman"/>
                <w:sz w:val="20"/>
                <w:szCs w:val="20"/>
              </w:rPr>
              <w:t>(</w:t>
            </w:r>
            <w:r w:rsidRPr="00BE2C1D">
              <w:rPr>
                <w:rFonts w:ascii="Times New Roman" w:hAnsi="Times New Roman" w:cs="Times New Roman"/>
                <w:color w:val="FF0000"/>
                <w:sz w:val="20"/>
                <w:szCs w:val="20"/>
              </w:rPr>
              <w:t>22 boys and 5 girls</w:t>
            </w:r>
            <w:r w:rsidRPr="00BE2C1D">
              <w:rPr>
                <w:rFonts w:ascii="Times New Roman" w:hAnsi="Times New Roman" w:cs="Times New Roman"/>
                <w:sz w:val="20"/>
                <w:szCs w:val="20"/>
              </w:rPr>
              <w:t>), Group B: 34 non-</w:t>
            </w:r>
            <w:r w:rsidRPr="00BE2C1D">
              <w:rPr>
                <w:rFonts w:ascii="Times New Roman" w:hAnsi="Times New Roman" w:cs="Times New Roman"/>
                <w:b/>
                <w:sz w:val="20"/>
                <w:szCs w:val="20"/>
              </w:rPr>
              <w:t xml:space="preserve">referred children with normal short stature </w:t>
            </w:r>
            <w:r w:rsidRPr="00BE2C1D">
              <w:rPr>
                <w:rFonts w:ascii="Times New Roman" w:hAnsi="Times New Roman" w:cs="Times New Roman"/>
                <w:sz w:val="20"/>
                <w:szCs w:val="20"/>
              </w:rPr>
              <w:t>(</w:t>
            </w:r>
            <w:r w:rsidRPr="00BE2C1D">
              <w:rPr>
                <w:rFonts w:ascii="Times New Roman" w:hAnsi="Times New Roman" w:cs="Times New Roman"/>
                <w:color w:val="FF0000"/>
                <w:sz w:val="20"/>
                <w:szCs w:val="20"/>
              </w:rPr>
              <w:t>24 girls and 10 boys</w:t>
            </w:r>
            <w:r w:rsidRPr="00BE2C1D">
              <w:rPr>
                <w:rFonts w:ascii="Times New Roman" w:hAnsi="Times New Roman" w:cs="Times New Roman"/>
                <w:sz w:val="20"/>
                <w:szCs w:val="20"/>
              </w:rPr>
              <w:t xml:space="preserve">), Group C: 29 </w:t>
            </w:r>
            <w:r w:rsidRPr="00BE2C1D">
              <w:rPr>
                <w:rFonts w:ascii="Times New Roman" w:hAnsi="Times New Roman" w:cs="Times New Roman"/>
                <w:b/>
                <w:sz w:val="20"/>
                <w:szCs w:val="20"/>
              </w:rPr>
              <w:t>children in a community control group</w:t>
            </w:r>
            <w:r w:rsidRPr="00BE2C1D">
              <w:rPr>
                <w:rFonts w:ascii="Times New Roman" w:hAnsi="Times New Roman" w:cs="Times New Roman"/>
                <w:sz w:val="20"/>
                <w:szCs w:val="20"/>
              </w:rPr>
              <w:t xml:space="preserve"> (14 boys and 15 girls).</w:t>
            </w:r>
          </w:p>
          <w:p w14:paraId="59A56A7F" w14:textId="77777777" w:rsidR="00BE2C1D" w:rsidRPr="00BE2C1D" w:rsidRDefault="00BE2C1D" w:rsidP="00BE2C1D">
            <w:pPr>
              <w:rPr>
                <w:rFonts w:ascii="Times New Roman" w:hAnsi="Times New Roman" w:cs="Times New Roman"/>
                <w:sz w:val="20"/>
                <w:szCs w:val="20"/>
              </w:rPr>
            </w:pPr>
            <w:r w:rsidRPr="00BE2C1D">
              <w:rPr>
                <w:rFonts w:ascii="Times New Roman" w:hAnsi="Times New Roman" w:cs="Times New Roman"/>
                <w:sz w:val="20"/>
                <w:szCs w:val="20"/>
              </w:rPr>
              <w:t xml:space="preserve">Methods/Tools: </w:t>
            </w:r>
          </w:p>
          <w:p w14:paraId="39F36207" w14:textId="77777777" w:rsidR="00BE2C1D" w:rsidRPr="00BE2C1D" w:rsidRDefault="00BE2C1D" w:rsidP="00BE2C1D">
            <w:pPr>
              <w:rPr>
                <w:rFonts w:ascii="Times New Roman" w:hAnsi="Times New Roman" w:cs="Times New Roman"/>
                <w:i/>
                <w:sz w:val="20"/>
                <w:szCs w:val="20"/>
              </w:rPr>
            </w:pPr>
            <w:r w:rsidRPr="00BE2C1D">
              <w:rPr>
                <w:rFonts w:ascii="Times New Roman" w:hAnsi="Times New Roman" w:cs="Times New Roman"/>
                <w:i/>
                <w:color w:val="525252" w:themeColor="accent3" w:themeShade="80"/>
                <w:sz w:val="20"/>
                <w:szCs w:val="20"/>
              </w:rPr>
              <w:t>Intelligence</w:t>
            </w:r>
            <w:r w:rsidRPr="00BE2C1D">
              <w:rPr>
                <w:rFonts w:ascii="Times New Roman" w:hAnsi="Times New Roman" w:cs="Times New Roman"/>
                <w:i/>
                <w:sz w:val="20"/>
                <w:szCs w:val="20"/>
              </w:rPr>
              <w:t xml:space="preserve"> and achievement (administered to the children) </w:t>
            </w:r>
          </w:p>
          <w:p w14:paraId="490482DB" w14:textId="77777777" w:rsidR="00BE2C1D" w:rsidRPr="00BE2C1D" w:rsidRDefault="00BE2C1D" w:rsidP="00BE2C1D">
            <w:pPr>
              <w:rPr>
                <w:rFonts w:ascii="Times New Roman" w:hAnsi="Times New Roman" w:cs="Times New Roman"/>
                <w:color w:val="525252" w:themeColor="accent3" w:themeShade="80"/>
                <w:sz w:val="20"/>
                <w:szCs w:val="20"/>
              </w:rPr>
            </w:pPr>
            <w:r w:rsidRPr="00BE2C1D">
              <w:rPr>
                <w:rFonts w:ascii="Times New Roman" w:hAnsi="Times New Roman" w:cs="Times New Roman"/>
                <w:color w:val="525252" w:themeColor="accent3" w:themeShade="80"/>
                <w:sz w:val="20"/>
                <w:szCs w:val="20"/>
              </w:rPr>
              <w:t>Kaufman Brief Intelligence Test (K-BIT)</w:t>
            </w:r>
          </w:p>
          <w:p w14:paraId="4D1CDD01" w14:textId="77777777" w:rsidR="00BE2C1D" w:rsidRPr="00BE2C1D" w:rsidRDefault="00BE2C1D" w:rsidP="00BE2C1D">
            <w:pPr>
              <w:rPr>
                <w:rFonts w:ascii="Times New Roman" w:hAnsi="Times New Roman" w:cs="Times New Roman"/>
                <w:color w:val="92D050"/>
                <w:sz w:val="20"/>
                <w:szCs w:val="20"/>
              </w:rPr>
            </w:pPr>
            <w:r w:rsidRPr="00BE2C1D">
              <w:rPr>
                <w:rFonts w:ascii="Times New Roman" w:hAnsi="Times New Roman" w:cs="Times New Roman"/>
                <w:color w:val="92D050"/>
                <w:sz w:val="20"/>
                <w:szCs w:val="20"/>
              </w:rPr>
              <w:t>Kaufman Test of Educational Achievement (KTEA)</w:t>
            </w:r>
          </w:p>
          <w:p w14:paraId="67575A35" w14:textId="77777777" w:rsidR="00BE2C1D" w:rsidRPr="00BE2C1D" w:rsidRDefault="00BE2C1D" w:rsidP="00BE2C1D">
            <w:pPr>
              <w:rPr>
                <w:rFonts w:ascii="Times New Roman" w:hAnsi="Times New Roman" w:cs="Times New Roman"/>
                <w:color w:val="808080" w:themeColor="background1" w:themeShade="80"/>
                <w:sz w:val="20"/>
                <w:szCs w:val="20"/>
              </w:rPr>
            </w:pPr>
            <w:r w:rsidRPr="00BE2C1D">
              <w:rPr>
                <w:rFonts w:ascii="Times New Roman" w:hAnsi="Times New Roman" w:cs="Times New Roman"/>
                <w:i/>
                <w:color w:val="808080" w:themeColor="background1" w:themeShade="80"/>
                <w:sz w:val="20"/>
                <w:szCs w:val="20"/>
              </w:rPr>
              <w:t>Family adaptability and cohesiveness:</w:t>
            </w:r>
            <w:r w:rsidRPr="00BE2C1D">
              <w:rPr>
                <w:rFonts w:ascii="Times New Roman" w:hAnsi="Times New Roman" w:cs="Times New Roman"/>
                <w:color w:val="808080" w:themeColor="background1" w:themeShade="80"/>
                <w:sz w:val="20"/>
                <w:szCs w:val="20"/>
              </w:rPr>
              <w:t xml:space="preserve"> (administered to at least 1 parent for each child)</w:t>
            </w:r>
          </w:p>
          <w:p w14:paraId="1D2CA435" w14:textId="77777777" w:rsidR="00BE2C1D" w:rsidRPr="00BE2C1D" w:rsidRDefault="00BE2C1D" w:rsidP="00BE2C1D">
            <w:pPr>
              <w:rPr>
                <w:rFonts w:ascii="Times New Roman" w:hAnsi="Times New Roman" w:cs="Times New Roman"/>
                <w:color w:val="808080" w:themeColor="background1" w:themeShade="80"/>
                <w:sz w:val="20"/>
                <w:szCs w:val="20"/>
              </w:rPr>
            </w:pPr>
            <w:r w:rsidRPr="00BE2C1D">
              <w:rPr>
                <w:rFonts w:ascii="Times New Roman" w:hAnsi="Times New Roman" w:cs="Times New Roman"/>
                <w:color w:val="808080" w:themeColor="background1" w:themeShade="80"/>
                <w:sz w:val="20"/>
                <w:szCs w:val="20"/>
              </w:rPr>
              <w:t xml:space="preserve">Family adaptability and Cohesion Evaluation Scales </w:t>
            </w:r>
          </w:p>
          <w:p w14:paraId="54A44FE2" w14:textId="77777777" w:rsidR="00BE2C1D" w:rsidRPr="00BE2C1D" w:rsidRDefault="00BE2C1D" w:rsidP="00BE2C1D">
            <w:pPr>
              <w:rPr>
                <w:rFonts w:ascii="Times New Roman" w:hAnsi="Times New Roman" w:cs="Times New Roman"/>
                <w:i/>
                <w:color w:val="8496B0" w:themeColor="text2" w:themeTint="99"/>
                <w:sz w:val="20"/>
                <w:szCs w:val="20"/>
              </w:rPr>
            </w:pPr>
            <w:r w:rsidRPr="00BE2C1D">
              <w:rPr>
                <w:rFonts w:ascii="Times New Roman" w:hAnsi="Times New Roman" w:cs="Times New Roman"/>
                <w:i/>
                <w:color w:val="8496B0" w:themeColor="text2" w:themeTint="99"/>
                <w:sz w:val="20"/>
                <w:szCs w:val="20"/>
              </w:rPr>
              <w:t xml:space="preserve">Adaptive and Problem Behaviors (administered to parents and teachers) </w:t>
            </w:r>
          </w:p>
          <w:p w14:paraId="3E9967A5" w14:textId="77777777" w:rsidR="00BE2C1D" w:rsidRPr="00BE2C1D" w:rsidRDefault="00BE2C1D" w:rsidP="00BE2C1D">
            <w:pPr>
              <w:rPr>
                <w:rFonts w:ascii="Times New Roman" w:hAnsi="Times New Roman" w:cs="Times New Roman"/>
                <w:color w:val="8496B0" w:themeColor="text2" w:themeTint="99"/>
                <w:sz w:val="20"/>
                <w:szCs w:val="20"/>
              </w:rPr>
            </w:pPr>
            <w:r w:rsidRPr="00BE2C1D">
              <w:rPr>
                <w:rFonts w:ascii="Times New Roman" w:hAnsi="Times New Roman" w:cs="Times New Roman"/>
                <w:color w:val="8496B0" w:themeColor="text2" w:themeTint="99"/>
                <w:sz w:val="20"/>
                <w:szCs w:val="20"/>
              </w:rPr>
              <w:t>Parent Rating Scale of the Behavior Assessment System for Children.</w:t>
            </w:r>
          </w:p>
          <w:p w14:paraId="1E29F6EA" w14:textId="77777777" w:rsidR="00BE2C1D" w:rsidRPr="00BE2C1D" w:rsidRDefault="00BE2C1D" w:rsidP="00BE2C1D">
            <w:pPr>
              <w:rPr>
                <w:rFonts w:ascii="Times New Roman" w:hAnsi="Times New Roman" w:cs="Times New Roman"/>
                <w:sz w:val="20"/>
                <w:szCs w:val="20"/>
              </w:rPr>
            </w:pPr>
            <w:r w:rsidRPr="00BE2C1D">
              <w:rPr>
                <w:rFonts w:ascii="Times New Roman" w:hAnsi="Times New Roman" w:cs="Times New Roman"/>
                <w:color w:val="8496B0" w:themeColor="text2" w:themeTint="99"/>
                <w:sz w:val="20"/>
                <w:szCs w:val="20"/>
              </w:rPr>
              <w:lastRenderedPageBreak/>
              <w:t>Teacher Rating Scales of Behavior Assesement System for Children.</w:t>
            </w:r>
          </w:p>
        </w:tc>
        <w:tc>
          <w:tcPr>
            <w:tcW w:w="2135" w:type="dxa"/>
          </w:tcPr>
          <w:p w14:paraId="4AF23DE8" w14:textId="77777777" w:rsidR="00BE2C1D" w:rsidRPr="00BE2C1D" w:rsidRDefault="00BE2C1D" w:rsidP="00BE2C1D">
            <w:pPr>
              <w:rPr>
                <w:rFonts w:ascii="Times New Roman" w:hAnsi="Times New Roman" w:cs="Times New Roman"/>
              </w:rPr>
            </w:pPr>
            <w:r w:rsidRPr="00BE2C1D">
              <w:rPr>
                <w:rFonts w:ascii="Times New Roman" w:hAnsi="Times New Roman" w:cs="Times New Roman"/>
                <w:color w:val="525252" w:themeColor="accent3" w:themeShade="80"/>
              </w:rPr>
              <w:lastRenderedPageBreak/>
              <w:t>Intelligence</w:t>
            </w:r>
            <w:r w:rsidRPr="00BE2C1D">
              <w:rPr>
                <w:rFonts w:ascii="Times New Roman" w:hAnsi="Times New Roman" w:cs="Times New Roman"/>
              </w:rPr>
              <w:t xml:space="preserve"> and </w:t>
            </w:r>
            <w:r w:rsidRPr="00BE2C1D">
              <w:rPr>
                <w:rFonts w:ascii="Times New Roman" w:hAnsi="Times New Roman" w:cs="Times New Roman"/>
                <w:color w:val="92D050"/>
              </w:rPr>
              <w:t>achievement</w:t>
            </w:r>
            <w:r w:rsidRPr="00BE2C1D">
              <w:rPr>
                <w:rFonts w:ascii="Times New Roman" w:hAnsi="Times New Roman" w:cs="Times New Roman"/>
              </w:rPr>
              <w:t xml:space="preserve"> for all groups were within the </w:t>
            </w:r>
            <w:r w:rsidRPr="00BE2C1D">
              <w:rPr>
                <w:rFonts w:ascii="Times New Roman" w:hAnsi="Times New Roman" w:cs="Times New Roman"/>
                <w:color w:val="525252" w:themeColor="accent3" w:themeShade="80"/>
              </w:rPr>
              <w:t>average range</w:t>
            </w:r>
            <w:r w:rsidRPr="00BE2C1D">
              <w:rPr>
                <w:rFonts w:ascii="Times New Roman" w:hAnsi="Times New Roman" w:cs="Times New Roman"/>
              </w:rPr>
              <w:t>.</w:t>
            </w:r>
          </w:p>
          <w:p w14:paraId="4A3DD163" w14:textId="77777777" w:rsidR="00BE2C1D" w:rsidRPr="00BE2C1D" w:rsidRDefault="00BE2C1D" w:rsidP="00BE2C1D">
            <w:pPr>
              <w:rPr>
                <w:rFonts w:ascii="Times New Roman" w:hAnsi="Times New Roman" w:cs="Times New Roman"/>
              </w:rPr>
            </w:pPr>
          </w:p>
          <w:p w14:paraId="40969037" w14:textId="77777777" w:rsidR="00BE2C1D" w:rsidRPr="00BE2C1D" w:rsidRDefault="00BE2C1D" w:rsidP="00BE2C1D">
            <w:pPr>
              <w:rPr>
                <w:rFonts w:ascii="Times New Roman" w:hAnsi="Times New Roman" w:cs="Times New Roman"/>
              </w:rPr>
            </w:pPr>
            <w:r w:rsidRPr="00BE2C1D">
              <w:rPr>
                <w:rFonts w:ascii="Times New Roman" w:hAnsi="Times New Roman" w:cs="Times New Roman"/>
              </w:rPr>
              <w:t>Family adaptability and cohesiveness were comparable across groups.</w:t>
            </w:r>
          </w:p>
          <w:p w14:paraId="6B27723B" w14:textId="77777777" w:rsidR="00BE2C1D" w:rsidRPr="00BE2C1D" w:rsidRDefault="00BE2C1D" w:rsidP="00BE2C1D">
            <w:pPr>
              <w:rPr>
                <w:rFonts w:ascii="Times New Roman" w:hAnsi="Times New Roman" w:cs="Times New Roman"/>
              </w:rPr>
            </w:pPr>
          </w:p>
          <w:p w14:paraId="635642FC" w14:textId="77777777" w:rsidR="00BE2C1D" w:rsidRPr="00BE2C1D" w:rsidRDefault="00BE2C1D" w:rsidP="00BE2C1D">
            <w:pPr>
              <w:rPr>
                <w:rFonts w:ascii="Times New Roman" w:hAnsi="Times New Roman" w:cs="Times New Roman"/>
              </w:rPr>
            </w:pPr>
            <w:r w:rsidRPr="00BE2C1D">
              <w:rPr>
                <w:rFonts w:ascii="Times New Roman" w:hAnsi="Times New Roman" w:cs="Times New Roman"/>
              </w:rPr>
              <w:t xml:space="preserve">Referred children with normal short stature </w:t>
            </w:r>
            <w:r w:rsidRPr="00BE2C1D">
              <w:rPr>
                <w:rFonts w:ascii="Times New Roman" w:hAnsi="Times New Roman" w:cs="Times New Roman"/>
                <w:color w:val="8496B0" w:themeColor="text2" w:themeTint="99"/>
              </w:rPr>
              <w:t>were rated by parents significantly higher on externalizing behaviours, attention problems</w:t>
            </w:r>
            <w:r w:rsidRPr="00BE2C1D">
              <w:rPr>
                <w:rFonts w:ascii="Times New Roman" w:hAnsi="Times New Roman" w:cs="Times New Roman"/>
              </w:rPr>
              <w:t xml:space="preserve"> and </w:t>
            </w:r>
            <w:r w:rsidRPr="00BE2C1D">
              <w:rPr>
                <w:rFonts w:ascii="Times New Roman" w:hAnsi="Times New Roman" w:cs="Times New Roman"/>
                <w:color w:val="538135" w:themeColor="accent6" w:themeShade="BF"/>
              </w:rPr>
              <w:t xml:space="preserve">social skills </w:t>
            </w:r>
            <w:r w:rsidRPr="00BE2C1D">
              <w:rPr>
                <w:rFonts w:ascii="Times New Roman" w:hAnsi="Times New Roman" w:cs="Times New Roman"/>
              </w:rPr>
              <w:t xml:space="preserve">than non referred children and children from the community. </w:t>
            </w:r>
          </w:p>
          <w:p w14:paraId="7F5499A1" w14:textId="77777777" w:rsidR="00BE2C1D" w:rsidRPr="00BE2C1D" w:rsidRDefault="00BE2C1D" w:rsidP="00BE2C1D">
            <w:pPr>
              <w:rPr>
                <w:rFonts w:ascii="Times New Roman" w:hAnsi="Times New Roman" w:cs="Times New Roman"/>
              </w:rPr>
            </w:pPr>
            <w:r w:rsidRPr="00BE2C1D">
              <w:rPr>
                <w:rFonts w:ascii="Times New Roman" w:hAnsi="Times New Roman" w:cs="Times New Roman"/>
              </w:rPr>
              <w:t>Explanations provided:</w:t>
            </w:r>
          </w:p>
          <w:p w14:paraId="6B96BEC1" w14:textId="77777777" w:rsidR="00BE2C1D" w:rsidRPr="00BE2C1D" w:rsidRDefault="00BE2C1D" w:rsidP="00BE2C1D">
            <w:pPr>
              <w:rPr>
                <w:rFonts w:ascii="Times New Roman" w:hAnsi="Times New Roman" w:cs="Times New Roman"/>
              </w:rPr>
            </w:pPr>
            <w:r w:rsidRPr="00BE2C1D">
              <w:rPr>
                <w:rFonts w:ascii="Times New Roman" w:hAnsi="Times New Roman" w:cs="Times New Roman"/>
              </w:rPr>
              <w:t>Referral bias (parents seek medical consultation when they think that behavioural problems are related to short stature)</w:t>
            </w:r>
          </w:p>
          <w:p w14:paraId="1120E954" w14:textId="77777777" w:rsidR="00BE2C1D" w:rsidRPr="00BE2C1D" w:rsidRDefault="00BE2C1D" w:rsidP="00BE2C1D">
            <w:pPr>
              <w:rPr>
                <w:rFonts w:ascii="Times New Roman" w:hAnsi="Times New Roman" w:cs="Times New Roman"/>
              </w:rPr>
            </w:pPr>
            <w:r w:rsidRPr="00BE2C1D">
              <w:rPr>
                <w:rFonts w:ascii="Times New Roman" w:hAnsi="Times New Roman" w:cs="Times New Roman"/>
              </w:rPr>
              <w:lastRenderedPageBreak/>
              <w:t xml:space="preserve">Over-representation of boys in the referred group, who are frequently thought to misbehave more than girls. </w:t>
            </w:r>
          </w:p>
        </w:tc>
      </w:tr>
      <w:tr w:rsidR="00BE2C1D" w:rsidRPr="00BE2C1D" w14:paraId="4C88B968" w14:textId="77777777" w:rsidTr="00BE2C1D">
        <w:trPr>
          <w:trHeight w:val="4245"/>
        </w:trPr>
        <w:tc>
          <w:tcPr>
            <w:tcW w:w="1130" w:type="dxa"/>
            <w:vMerge/>
          </w:tcPr>
          <w:p w14:paraId="4A08D876" w14:textId="77777777" w:rsidR="00BE2C1D" w:rsidRPr="00BE2C1D" w:rsidRDefault="00BE2C1D" w:rsidP="00BE2C1D"/>
        </w:tc>
        <w:tc>
          <w:tcPr>
            <w:tcW w:w="2244" w:type="dxa"/>
          </w:tcPr>
          <w:p w14:paraId="506510BD" w14:textId="77777777" w:rsidR="00BE2C1D" w:rsidRPr="00BE2C1D" w:rsidRDefault="00BE2C1D" w:rsidP="00BE2C1D">
            <w:pPr>
              <w:rPr>
                <w:rFonts w:ascii="Times New Roman" w:hAnsi="Times New Roman" w:cs="Times New Roman"/>
                <w:sz w:val="20"/>
                <w:szCs w:val="20"/>
              </w:rPr>
            </w:pPr>
            <w:r w:rsidRPr="00BE2C1D">
              <w:rPr>
                <w:rFonts w:ascii="Times New Roman" w:hAnsi="Times New Roman" w:cs="Times New Roman"/>
              </w:rPr>
              <w:t xml:space="preserve">Sandberg, Bukowski, Fung &amp; Noll, 2004 </w:t>
            </w:r>
            <w:r w:rsidRPr="00BE2C1D">
              <w:rPr>
                <w:rFonts w:ascii="Times New Roman" w:hAnsi="Times New Roman" w:cs="Times New Roman"/>
                <w:sz w:val="20"/>
                <w:szCs w:val="20"/>
              </w:rPr>
              <w:t xml:space="preserve">(supported in part by a grant from the </w:t>
            </w:r>
            <w:r w:rsidRPr="00BE2C1D">
              <w:rPr>
                <w:rFonts w:ascii="Times New Roman" w:hAnsi="Times New Roman" w:cs="Times New Roman"/>
                <w:b/>
                <w:sz w:val="20"/>
                <w:szCs w:val="20"/>
                <w:u w:val="single"/>
              </w:rPr>
              <w:t>Human Growth Foundation</w:t>
            </w:r>
            <w:r w:rsidRPr="00BE2C1D">
              <w:rPr>
                <w:rFonts w:ascii="Times New Roman" w:hAnsi="Times New Roman" w:cs="Times New Roman"/>
                <w:sz w:val="20"/>
                <w:szCs w:val="20"/>
              </w:rPr>
              <w:t xml:space="preserve"> and the </w:t>
            </w:r>
            <w:r w:rsidRPr="00BE2C1D">
              <w:rPr>
                <w:rFonts w:ascii="Times New Roman" w:hAnsi="Times New Roman" w:cs="Times New Roman"/>
                <w:b/>
                <w:sz w:val="20"/>
                <w:szCs w:val="20"/>
                <w:u w:val="single"/>
              </w:rPr>
              <w:t>Genentech Foundation for Growth and Development</w:t>
            </w:r>
            <w:r w:rsidRPr="00BE2C1D">
              <w:rPr>
                <w:rFonts w:ascii="Times New Roman" w:hAnsi="Times New Roman" w:cs="Times New Roman"/>
                <w:sz w:val="20"/>
                <w:szCs w:val="20"/>
              </w:rPr>
              <w:t>)</w:t>
            </w:r>
          </w:p>
          <w:p w14:paraId="504015C0" w14:textId="77777777" w:rsidR="00BE2C1D" w:rsidRPr="00BE2C1D" w:rsidRDefault="00BE2C1D" w:rsidP="00BE2C1D">
            <w:pPr>
              <w:rPr>
                <w:rFonts w:ascii="Times New Roman" w:hAnsi="Times New Roman" w:cs="Times New Roman"/>
                <w:sz w:val="20"/>
                <w:szCs w:val="20"/>
              </w:rPr>
            </w:pPr>
          </w:p>
          <w:p w14:paraId="458F4097" w14:textId="77777777" w:rsidR="00BE2C1D" w:rsidRPr="00BE2C1D" w:rsidRDefault="00BE2C1D" w:rsidP="00BE2C1D">
            <w:pPr>
              <w:rPr>
                <w:rFonts w:ascii="Times New Roman" w:hAnsi="Times New Roman" w:cs="Times New Roman"/>
              </w:rPr>
            </w:pPr>
          </w:p>
        </w:tc>
        <w:tc>
          <w:tcPr>
            <w:tcW w:w="2175" w:type="dxa"/>
          </w:tcPr>
          <w:p w14:paraId="23ADB288" w14:textId="77777777" w:rsidR="00BE2C1D" w:rsidRPr="00BE2C1D" w:rsidRDefault="00BE2C1D" w:rsidP="00BE2C1D">
            <w:pPr>
              <w:spacing w:line="240" w:lineRule="auto"/>
              <w:rPr>
                <w:rFonts w:ascii="Times New Roman" w:hAnsi="Times New Roman" w:cs="Times New Roman"/>
              </w:rPr>
            </w:pPr>
            <w:r w:rsidRPr="00BE2C1D">
              <w:rPr>
                <w:rFonts w:ascii="Times New Roman" w:hAnsi="Times New Roman" w:cs="Times New Roman"/>
              </w:rPr>
              <w:t>Ped.</w:t>
            </w:r>
          </w:p>
          <w:p w14:paraId="59A6BE6E" w14:textId="77777777" w:rsidR="00BE2C1D" w:rsidRPr="00BE2C1D" w:rsidRDefault="00BE2C1D" w:rsidP="00BE2C1D">
            <w:pPr>
              <w:spacing w:line="240" w:lineRule="auto"/>
              <w:rPr>
                <w:rFonts w:ascii="Times New Roman" w:hAnsi="Times New Roman" w:cs="Times New Roman"/>
                <w:i/>
              </w:rPr>
            </w:pPr>
            <w:r w:rsidRPr="00BE2C1D">
              <w:rPr>
                <w:rFonts w:ascii="Times New Roman" w:hAnsi="Times New Roman" w:cs="Times New Roman"/>
                <w:i/>
              </w:rPr>
              <w:t xml:space="preserve">Height and </w:t>
            </w:r>
            <w:r w:rsidRPr="00BE2C1D">
              <w:rPr>
                <w:rFonts w:ascii="Times New Roman" w:hAnsi="Times New Roman" w:cs="Times New Roman"/>
                <w:i/>
                <w:color w:val="FF0000"/>
              </w:rPr>
              <w:t>Social Adjustment</w:t>
            </w:r>
            <w:r w:rsidRPr="00BE2C1D">
              <w:rPr>
                <w:rFonts w:ascii="Times New Roman" w:hAnsi="Times New Roman" w:cs="Times New Roman"/>
                <w:i/>
              </w:rPr>
              <w:t>: Are Extremes a Cause for Concern and Action?</w:t>
            </w:r>
          </w:p>
          <w:p w14:paraId="6CE4768C" w14:textId="77777777" w:rsidR="00BE2C1D" w:rsidRPr="00BE2C1D" w:rsidRDefault="00BE2C1D" w:rsidP="00BE2C1D">
            <w:pPr>
              <w:rPr>
                <w:rFonts w:ascii="Times New Roman" w:hAnsi="Times New Roman" w:cs="Times New Roman"/>
              </w:rPr>
            </w:pPr>
          </w:p>
          <w:p w14:paraId="13A4CAFA" w14:textId="77777777" w:rsidR="00BE2C1D" w:rsidRPr="00BE2C1D" w:rsidRDefault="00BE2C1D" w:rsidP="00BE2C1D">
            <w:pPr>
              <w:rPr>
                <w:rFonts w:ascii="Times New Roman" w:hAnsi="Times New Roman" w:cs="Times New Roman"/>
              </w:rPr>
            </w:pPr>
          </w:p>
          <w:p w14:paraId="340BA4E0" w14:textId="77777777" w:rsidR="00BE2C1D" w:rsidRPr="00BE2C1D" w:rsidRDefault="00BE2C1D" w:rsidP="00BE2C1D">
            <w:pPr>
              <w:rPr>
                <w:rFonts w:ascii="Times New Roman" w:hAnsi="Times New Roman" w:cs="Times New Roman"/>
              </w:rPr>
            </w:pPr>
          </w:p>
          <w:p w14:paraId="3DC0E6DD" w14:textId="77777777" w:rsidR="00BE2C1D" w:rsidRPr="00BE2C1D" w:rsidRDefault="00BE2C1D" w:rsidP="00BE2C1D">
            <w:pPr>
              <w:rPr>
                <w:rFonts w:ascii="Times New Roman" w:hAnsi="Times New Roman" w:cs="Times New Roman"/>
              </w:rPr>
            </w:pPr>
          </w:p>
          <w:p w14:paraId="2C657CAF" w14:textId="77777777" w:rsidR="00BE2C1D" w:rsidRPr="00BE2C1D" w:rsidRDefault="00BE2C1D" w:rsidP="00BE2C1D">
            <w:pPr>
              <w:spacing w:line="240" w:lineRule="auto"/>
              <w:rPr>
                <w:rFonts w:ascii="Times New Roman" w:hAnsi="Times New Roman" w:cs="Times New Roman"/>
              </w:rPr>
            </w:pPr>
          </w:p>
        </w:tc>
        <w:tc>
          <w:tcPr>
            <w:tcW w:w="2864" w:type="dxa"/>
          </w:tcPr>
          <w:p w14:paraId="4C6D1B97" w14:textId="77777777" w:rsidR="00BE2C1D" w:rsidRPr="00BE2C1D" w:rsidRDefault="00BE2C1D" w:rsidP="00BE2C1D">
            <w:pPr>
              <w:rPr>
                <w:rFonts w:ascii="Times New Roman" w:hAnsi="Times New Roman" w:cs="Times New Roman"/>
                <w:sz w:val="20"/>
                <w:szCs w:val="20"/>
              </w:rPr>
            </w:pPr>
            <w:r w:rsidRPr="00BE2C1D">
              <w:rPr>
                <w:rFonts w:ascii="Times New Roman" w:hAnsi="Times New Roman" w:cs="Times New Roman"/>
                <w:sz w:val="20"/>
                <w:szCs w:val="20"/>
              </w:rPr>
              <w:t>Cross-sectional study</w:t>
            </w:r>
          </w:p>
          <w:p w14:paraId="10C85DC7" w14:textId="77777777" w:rsidR="00BE2C1D" w:rsidRPr="00BE2C1D" w:rsidRDefault="00BE2C1D" w:rsidP="00BE2C1D">
            <w:pPr>
              <w:rPr>
                <w:rFonts w:ascii="Times New Roman" w:hAnsi="Times New Roman" w:cs="Times New Roman"/>
                <w:sz w:val="20"/>
                <w:szCs w:val="20"/>
              </w:rPr>
            </w:pPr>
            <w:r w:rsidRPr="00BE2C1D">
              <w:rPr>
                <w:rFonts w:ascii="Times New Roman" w:hAnsi="Times New Roman" w:cs="Times New Roman"/>
                <w:sz w:val="20"/>
                <w:szCs w:val="20"/>
              </w:rPr>
              <w:t>Sample: 956 students of both genders who attended grades 6 to 12.</w:t>
            </w:r>
          </w:p>
          <w:p w14:paraId="71C260AD" w14:textId="77777777" w:rsidR="00BE2C1D" w:rsidRPr="00BE2C1D" w:rsidRDefault="00BE2C1D" w:rsidP="00BE2C1D">
            <w:pPr>
              <w:rPr>
                <w:rFonts w:ascii="Times New Roman" w:hAnsi="Times New Roman" w:cs="Times New Roman"/>
                <w:sz w:val="20"/>
                <w:szCs w:val="20"/>
              </w:rPr>
            </w:pPr>
            <w:r w:rsidRPr="00BE2C1D">
              <w:rPr>
                <w:rFonts w:ascii="Times New Roman" w:hAnsi="Times New Roman" w:cs="Times New Roman"/>
                <w:sz w:val="20"/>
                <w:szCs w:val="20"/>
              </w:rPr>
              <w:t>3 groups: Target Group A: 68 participants of short stature (31 boys and 36 girls), Target Group B: 58 participants of tall stature (33 boys and 25 girls) Comparison Group: 123 participants of average stature,</w:t>
            </w:r>
          </w:p>
          <w:p w14:paraId="4903AE54" w14:textId="77777777" w:rsidR="00BE2C1D" w:rsidRPr="00BE2C1D" w:rsidRDefault="00BE2C1D" w:rsidP="00BE2C1D">
            <w:pPr>
              <w:rPr>
                <w:rFonts w:ascii="Times New Roman" w:hAnsi="Times New Roman" w:cs="Times New Roman"/>
                <w:sz w:val="20"/>
                <w:szCs w:val="20"/>
              </w:rPr>
            </w:pPr>
            <w:r w:rsidRPr="00BE2C1D">
              <w:rPr>
                <w:rFonts w:ascii="Times New Roman" w:hAnsi="Times New Roman" w:cs="Times New Roman"/>
                <w:sz w:val="20"/>
                <w:szCs w:val="20"/>
              </w:rPr>
              <w:t>704 Remaining unclassified classmates also provided data.</w:t>
            </w:r>
          </w:p>
          <w:p w14:paraId="2D43B27F" w14:textId="77777777" w:rsidR="00BE2C1D" w:rsidRPr="00BE2C1D" w:rsidRDefault="00BE2C1D" w:rsidP="00BE2C1D">
            <w:pPr>
              <w:rPr>
                <w:rFonts w:ascii="Times New Roman" w:hAnsi="Times New Roman" w:cs="Times New Roman"/>
                <w:sz w:val="20"/>
                <w:szCs w:val="20"/>
              </w:rPr>
            </w:pPr>
            <w:r w:rsidRPr="00BE2C1D">
              <w:rPr>
                <w:rFonts w:ascii="Times New Roman" w:hAnsi="Times New Roman" w:cs="Times New Roman"/>
                <w:sz w:val="20"/>
                <w:szCs w:val="20"/>
              </w:rPr>
              <w:t>Methods/Tools</w:t>
            </w:r>
          </w:p>
          <w:p w14:paraId="19236DC8" w14:textId="77777777" w:rsidR="00BE2C1D" w:rsidRPr="00BE2C1D" w:rsidRDefault="00BE2C1D" w:rsidP="00BE2C1D">
            <w:pPr>
              <w:rPr>
                <w:rFonts w:ascii="Times New Roman" w:hAnsi="Times New Roman" w:cs="Times New Roman"/>
                <w:i/>
                <w:color w:val="538135" w:themeColor="accent6" w:themeShade="BF"/>
                <w:sz w:val="20"/>
                <w:szCs w:val="20"/>
              </w:rPr>
            </w:pPr>
            <w:r w:rsidRPr="00BE2C1D">
              <w:rPr>
                <w:rFonts w:ascii="Times New Roman" w:hAnsi="Times New Roman" w:cs="Times New Roman"/>
                <w:i/>
                <w:color w:val="538135" w:themeColor="accent6" w:themeShade="BF"/>
                <w:sz w:val="20"/>
                <w:szCs w:val="20"/>
              </w:rPr>
              <w:t>Social functioning a)acceptance=how often the student was chosen as friend,</w:t>
            </w:r>
          </w:p>
          <w:p w14:paraId="7F375B9B" w14:textId="77777777" w:rsidR="00BE2C1D" w:rsidRPr="00BE2C1D" w:rsidRDefault="00BE2C1D" w:rsidP="00BE2C1D">
            <w:pPr>
              <w:rPr>
                <w:rFonts w:ascii="Times New Roman" w:hAnsi="Times New Roman" w:cs="Times New Roman"/>
                <w:i/>
                <w:color w:val="538135" w:themeColor="accent6" w:themeShade="BF"/>
                <w:sz w:val="20"/>
                <w:szCs w:val="20"/>
              </w:rPr>
            </w:pPr>
            <w:r w:rsidRPr="00BE2C1D">
              <w:rPr>
                <w:rFonts w:ascii="Times New Roman" w:hAnsi="Times New Roman" w:cs="Times New Roman"/>
                <w:i/>
                <w:color w:val="538135" w:themeColor="accent6" w:themeShade="BF"/>
                <w:sz w:val="20"/>
                <w:szCs w:val="20"/>
              </w:rPr>
              <w:t>b) preference=the mean of the liking ratings that a child received from peers</w:t>
            </w:r>
          </w:p>
          <w:p w14:paraId="09C2543B" w14:textId="77777777" w:rsidR="00BE2C1D" w:rsidRPr="00BE2C1D" w:rsidRDefault="00BE2C1D" w:rsidP="00BE2C1D">
            <w:pPr>
              <w:rPr>
                <w:rFonts w:ascii="Times New Roman" w:hAnsi="Times New Roman" w:cs="Times New Roman"/>
                <w:i/>
                <w:color w:val="538135" w:themeColor="accent6" w:themeShade="BF"/>
                <w:sz w:val="20"/>
                <w:szCs w:val="20"/>
              </w:rPr>
            </w:pPr>
            <w:r w:rsidRPr="00BE2C1D">
              <w:rPr>
                <w:rFonts w:ascii="Times New Roman" w:hAnsi="Times New Roman" w:cs="Times New Roman"/>
                <w:i/>
                <w:color w:val="538135" w:themeColor="accent6" w:themeShade="BF"/>
                <w:sz w:val="20"/>
                <w:szCs w:val="20"/>
              </w:rPr>
              <w:t>c) friendship (the number of times a participant was chosen as a best friend by any of the classmates whom the participant had chosen as a friend)</w:t>
            </w:r>
          </w:p>
          <w:p w14:paraId="7F2605EA" w14:textId="77777777" w:rsidR="00BE2C1D" w:rsidRPr="00BE2C1D" w:rsidRDefault="00BE2C1D" w:rsidP="00BE2C1D">
            <w:pPr>
              <w:rPr>
                <w:rFonts w:ascii="Times New Roman" w:hAnsi="Times New Roman" w:cs="Times New Roman"/>
                <w:color w:val="538135" w:themeColor="accent6" w:themeShade="BF"/>
                <w:sz w:val="20"/>
                <w:szCs w:val="20"/>
              </w:rPr>
            </w:pPr>
            <w:r w:rsidRPr="00BE2C1D">
              <w:rPr>
                <w:rFonts w:ascii="Times New Roman" w:hAnsi="Times New Roman" w:cs="Times New Roman"/>
                <w:color w:val="538135" w:themeColor="accent6" w:themeShade="BF"/>
                <w:sz w:val="20"/>
                <w:szCs w:val="20"/>
              </w:rPr>
              <w:t>2 sociometric questionnaires: 1) nomination procedure (the subject lists his/her best friends) 2) Rating scale assessment-</w:t>
            </w:r>
            <w:r w:rsidRPr="00BE2C1D">
              <w:rPr>
                <w:rFonts w:ascii="Times New Roman" w:hAnsi="Times New Roman" w:cs="Times New Roman"/>
                <w:color w:val="538135" w:themeColor="accent6" w:themeShade="BF"/>
                <w:sz w:val="20"/>
                <w:szCs w:val="20"/>
              </w:rPr>
              <w:lastRenderedPageBreak/>
              <w:t>Likert (how much they liked each participant)</w:t>
            </w:r>
          </w:p>
          <w:p w14:paraId="70BDE1D5" w14:textId="77777777" w:rsidR="00BE2C1D" w:rsidRPr="00BE2C1D" w:rsidRDefault="00BE2C1D" w:rsidP="00BE2C1D">
            <w:pPr>
              <w:spacing w:line="240" w:lineRule="auto"/>
              <w:rPr>
                <w:rFonts w:ascii="Times New Roman" w:hAnsi="Times New Roman" w:cs="Times New Roman"/>
                <w:i/>
                <w:color w:val="538135" w:themeColor="accent6" w:themeShade="BF"/>
                <w:sz w:val="20"/>
                <w:szCs w:val="20"/>
              </w:rPr>
            </w:pPr>
            <w:r w:rsidRPr="00BE2C1D">
              <w:rPr>
                <w:rFonts w:ascii="Times New Roman" w:hAnsi="Times New Roman" w:cs="Times New Roman"/>
                <w:i/>
                <w:color w:val="538135" w:themeColor="accent6" w:themeShade="BF"/>
                <w:sz w:val="20"/>
                <w:szCs w:val="20"/>
              </w:rPr>
              <w:t>What a child is like and his/her reputation</w:t>
            </w:r>
          </w:p>
          <w:p w14:paraId="3F8DA416" w14:textId="77777777" w:rsidR="00BE2C1D" w:rsidRPr="00BE2C1D" w:rsidRDefault="00BE2C1D" w:rsidP="00BE2C1D">
            <w:pPr>
              <w:spacing w:line="240" w:lineRule="auto"/>
              <w:rPr>
                <w:rFonts w:ascii="Times New Roman" w:hAnsi="Times New Roman" w:cs="Times New Roman"/>
                <w:i/>
                <w:color w:val="538135" w:themeColor="accent6" w:themeShade="BF"/>
                <w:sz w:val="20"/>
                <w:szCs w:val="20"/>
              </w:rPr>
            </w:pPr>
            <w:r w:rsidRPr="00BE2C1D">
              <w:rPr>
                <w:rFonts w:ascii="Times New Roman" w:hAnsi="Times New Roman" w:cs="Times New Roman"/>
                <w:i/>
                <w:color w:val="538135" w:themeColor="accent6" w:themeShade="BF"/>
                <w:sz w:val="20"/>
                <w:szCs w:val="20"/>
              </w:rPr>
              <w:t>5 broad-band scores and 16 narrow band scores</w:t>
            </w:r>
          </w:p>
          <w:p w14:paraId="37DCB5A3" w14:textId="77777777" w:rsidR="00BE2C1D" w:rsidRPr="00BE2C1D" w:rsidRDefault="00BE2C1D" w:rsidP="00BE2C1D">
            <w:pPr>
              <w:spacing w:line="240" w:lineRule="auto"/>
              <w:rPr>
                <w:rFonts w:ascii="Times New Roman" w:hAnsi="Times New Roman" w:cs="Times New Roman"/>
              </w:rPr>
            </w:pPr>
            <w:r w:rsidRPr="00BE2C1D">
              <w:rPr>
                <w:rFonts w:ascii="Times New Roman" w:hAnsi="Times New Roman" w:cs="Times New Roman"/>
                <w:color w:val="538135" w:themeColor="accent6" w:themeShade="BF"/>
                <w:sz w:val="20"/>
                <w:szCs w:val="20"/>
              </w:rPr>
              <w:t>Peer assessment instrument (“class play): 28 roles that the participant needs to distribute among other participants.</w:t>
            </w:r>
          </w:p>
        </w:tc>
        <w:tc>
          <w:tcPr>
            <w:tcW w:w="2135" w:type="dxa"/>
          </w:tcPr>
          <w:p w14:paraId="2930F94B" w14:textId="77777777" w:rsidR="00BE2C1D" w:rsidRPr="00BE2C1D" w:rsidRDefault="00BE2C1D" w:rsidP="00BE2C1D">
            <w:pPr>
              <w:rPr>
                <w:rFonts w:asciiTheme="majorBidi" w:hAnsiTheme="majorBidi" w:cstheme="majorBidi"/>
              </w:rPr>
            </w:pPr>
            <w:r w:rsidRPr="00BE2C1D">
              <w:rPr>
                <w:rFonts w:asciiTheme="majorBidi" w:hAnsiTheme="majorBidi" w:cstheme="majorBidi"/>
              </w:rPr>
              <w:lastRenderedPageBreak/>
              <w:t xml:space="preserve">There were no significant relationships between </w:t>
            </w:r>
            <w:r w:rsidRPr="00BE2C1D">
              <w:rPr>
                <w:rFonts w:asciiTheme="majorBidi" w:hAnsiTheme="majorBidi" w:cstheme="majorBidi"/>
                <w:color w:val="538135" w:themeColor="accent6" w:themeShade="BF"/>
              </w:rPr>
              <w:t>height and measures of friendship, popularity or reputation with peers</w:t>
            </w:r>
            <w:r w:rsidRPr="00BE2C1D">
              <w:rPr>
                <w:rFonts w:asciiTheme="majorBidi" w:hAnsiTheme="majorBidi" w:cstheme="majorBidi"/>
              </w:rPr>
              <w:t>.</w:t>
            </w:r>
          </w:p>
          <w:p w14:paraId="56D88C3C" w14:textId="77777777" w:rsidR="00BE2C1D" w:rsidRPr="00BE2C1D" w:rsidRDefault="00BE2C1D" w:rsidP="00BE2C1D">
            <w:r w:rsidRPr="00BE2C1D">
              <w:rPr>
                <w:rFonts w:asciiTheme="majorBidi" w:hAnsiTheme="majorBidi" w:cstheme="majorBidi"/>
              </w:rPr>
              <w:t>Shorter students from lower grades were perceived by peers to be younger, but this had no influence on their social acceptance or reputation.</w:t>
            </w:r>
          </w:p>
        </w:tc>
      </w:tr>
      <w:tr w:rsidR="00BE2C1D" w:rsidRPr="00BE2C1D" w14:paraId="0A78F0F6" w14:textId="77777777" w:rsidTr="00BE2C1D">
        <w:trPr>
          <w:trHeight w:val="5573"/>
        </w:trPr>
        <w:tc>
          <w:tcPr>
            <w:tcW w:w="1130" w:type="dxa"/>
            <w:vMerge/>
          </w:tcPr>
          <w:p w14:paraId="343D9BEE" w14:textId="77777777" w:rsidR="00BE2C1D" w:rsidRPr="00BE2C1D" w:rsidRDefault="00BE2C1D" w:rsidP="00BE2C1D"/>
        </w:tc>
        <w:tc>
          <w:tcPr>
            <w:tcW w:w="2244" w:type="dxa"/>
          </w:tcPr>
          <w:p w14:paraId="3A93C870" w14:textId="77777777" w:rsidR="00BE2C1D" w:rsidRPr="00BE2C1D" w:rsidRDefault="00BE2C1D" w:rsidP="00BE2C1D">
            <w:pPr>
              <w:rPr>
                <w:rFonts w:ascii="Times New Roman" w:hAnsi="Times New Roman" w:cs="Times New Roman"/>
              </w:rPr>
            </w:pPr>
            <w:r w:rsidRPr="00BE2C1D">
              <w:rPr>
                <w:rFonts w:ascii="Times New Roman" w:hAnsi="Times New Roman" w:cs="Times New Roman"/>
              </w:rPr>
              <w:t xml:space="preserve">Ulph, Mulligan &amp; Stratford, 2004 </w:t>
            </w:r>
          </w:p>
          <w:p w14:paraId="527D3565" w14:textId="77777777" w:rsidR="00BE2C1D" w:rsidRPr="00BE2C1D" w:rsidRDefault="00BE2C1D" w:rsidP="00BE2C1D"/>
          <w:p w14:paraId="28765330" w14:textId="77777777" w:rsidR="00BE2C1D" w:rsidRPr="00BE2C1D" w:rsidRDefault="00BE2C1D" w:rsidP="00BE2C1D"/>
          <w:p w14:paraId="5E6216B4" w14:textId="77777777" w:rsidR="00BE2C1D" w:rsidRPr="00BE2C1D" w:rsidRDefault="00BE2C1D" w:rsidP="00BE2C1D"/>
          <w:p w14:paraId="740DCF0E" w14:textId="77777777" w:rsidR="00BE2C1D" w:rsidRPr="00BE2C1D" w:rsidRDefault="00BE2C1D" w:rsidP="00BE2C1D"/>
          <w:p w14:paraId="50CD39DB" w14:textId="77777777" w:rsidR="00BE2C1D" w:rsidRPr="00BE2C1D" w:rsidRDefault="00BE2C1D" w:rsidP="00BE2C1D"/>
          <w:p w14:paraId="6C316471" w14:textId="77777777" w:rsidR="00BE2C1D" w:rsidRPr="00BE2C1D" w:rsidRDefault="00BE2C1D" w:rsidP="00BE2C1D"/>
          <w:p w14:paraId="3DE733BE" w14:textId="77777777" w:rsidR="00BE2C1D" w:rsidRPr="00BE2C1D" w:rsidRDefault="00BE2C1D" w:rsidP="00BE2C1D"/>
          <w:p w14:paraId="69B8E10E" w14:textId="77777777" w:rsidR="00BE2C1D" w:rsidRPr="00BE2C1D" w:rsidRDefault="00BE2C1D" w:rsidP="00BE2C1D"/>
          <w:p w14:paraId="749EB88A" w14:textId="77777777" w:rsidR="00BE2C1D" w:rsidRPr="00BE2C1D" w:rsidRDefault="00BE2C1D" w:rsidP="00BE2C1D">
            <w:pPr>
              <w:rPr>
                <w:rFonts w:ascii="Times New Roman" w:hAnsi="Times New Roman" w:cs="Times New Roman"/>
              </w:rPr>
            </w:pPr>
          </w:p>
        </w:tc>
        <w:tc>
          <w:tcPr>
            <w:tcW w:w="2175" w:type="dxa"/>
          </w:tcPr>
          <w:p w14:paraId="081A79E7" w14:textId="77777777" w:rsidR="00BE2C1D" w:rsidRPr="00BE2C1D" w:rsidRDefault="00BE2C1D" w:rsidP="00BE2C1D">
            <w:pPr>
              <w:rPr>
                <w:rFonts w:ascii="Times New Roman" w:hAnsi="Times New Roman" w:cs="Times New Roman"/>
              </w:rPr>
            </w:pPr>
            <w:r w:rsidRPr="00BE2C1D">
              <w:rPr>
                <w:rFonts w:ascii="Times New Roman" w:hAnsi="Times New Roman" w:cs="Times New Roman"/>
              </w:rPr>
              <w:t>Arc.Dis.Ch.</w:t>
            </w:r>
          </w:p>
          <w:p w14:paraId="7AC33874" w14:textId="77777777" w:rsidR="00BE2C1D" w:rsidRPr="00BE2C1D" w:rsidRDefault="00BE2C1D" w:rsidP="00BE2C1D">
            <w:pPr>
              <w:rPr>
                <w:rFonts w:ascii="Times New Roman" w:hAnsi="Times New Roman" w:cs="Times New Roman"/>
                <w:i/>
              </w:rPr>
            </w:pPr>
            <w:r w:rsidRPr="00BE2C1D">
              <w:rPr>
                <w:rFonts w:ascii="Times New Roman" w:hAnsi="Times New Roman" w:cs="Times New Roman"/>
                <w:i/>
                <w:color w:val="FF0000"/>
              </w:rPr>
              <w:t>Personality functioning</w:t>
            </w:r>
            <w:r w:rsidRPr="00BE2C1D">
              <w:rPr>
                <w:rFonts w:ascii="Times New Roman" w:hAnsi="Times New Roman" w:cs="Times New Roman"/>
                <w:i/>
              </w:rPr>
              <w:t>: the influence of short stature.</w:t>
            </w:r>
          </w:p>
          <w:p w14:paraId="2E59BA6B" w14:textId="77777777" w:rsidR="00BE2C1D" w:rsidRPr="00BE2C1D" w:rsidRDefault="00BE2C1D" w:rsidP="00BE2C1D"/>
          <w:p w14:paraId="43517383" w14:textId="77777777" w:rsidR="00BE2C1D" w:rsidRPr="00BE2C1D" w:rsidRDefault="00BE2C1D" w:rsidP="00BE2C1D"/>
          <w:p w14:paraId="26C93DDC" w14:textId="77777777" w:rsidR="00BE2C1D" w:rsidRPr="00BE2C1D" w:rsidRDefault="00BE2C1D" w:rsidP="00BE2C1D"/>
          <w:p w14:paraId="1156EF86" w14:textId="77777777" w:rsidR="00BE2C1D" w:rsidRPr="00BE2C1D" w:rsidRDefault="00BE2C1D" w:rsidP="00BE2C1D"/>
          <w:p w14:paraId="4F2FAFE9" w14:textId="77777777" w:rsidR="00BE2C1D" w:rsidRPr="00BE2C1D" w:rsidRDefault="00BE2C1D" w:rsidP="00BE2C1D"/>
          <w:p w14:paraId="737C5B61" w14:textId="77777777" w:rsidR="00BE2C1D" w:rsidRPr="00BE2C1D" w:rsidRDefault="00BE2C1D" w:rsidP="00BE2C1D"/>
          <w:p w14:paraId="04CA7AFF" w14:textId="77777777" w:rsidR="00BE2C1D" w:rsidRPr="00BE2C1D" w:rsidRDefault="00BE2C1D" w:rsidP="00BE2C1D">
            <w:pPr>
              <w:spacing w:line="240" w:lineRule="auto"/>
              <w:rPr>
                <w:rFonts w:ascii="Times New Roman" w:hAnsi="Times New Roman" w:cs="Times New Roman"/>
              </w:rPr>
            </w:pPr>
          </w:p>
        </w:tc>
        <w:tc>
          <w:tcPr>
            <w:tcW w:w="2864" w:type="dxa"/>
          </w:tcPr>
          <w:p w14:paraId="66DD4BB2" w14:textId="77777777" w:rsidR="00BE2C1D" w:rsidRPr="00BE2C1D" w:rsidRDefault="00BE2C1D" w:rsidP="00BE2C1D">
            <w:pPr>
              <w:rPr>
                <w:rFonts w:ascii="Times New Roman" w:hAnsi="Times New Roman" w:cs="Times New Roman"/>
                <w:sz w:val="20"/>
                <w:szCs w:val="20"/>
              </w:rPr>
            </w:pPr>
            <w:r w:rsidRPr="00BE2C1D">
              <w:rPr>
                <w:rFonts w:ascii="Times New Roman" w:hAnsi="Times New Roman" w:cs="Times New Roman"/>
                <w:sz w:val="20"/>
                <w:szCs w:val="20"/>
              </w:rPr>
              <w:t>Sample: 114 participants aged 18-20: 48 short normal (22 female and 26 male) and 66 control participants.</w:t>
            </w:r>
          </w:p>
          <w:p w14:paraId="52ADDB4E" w14:textId="77777777" w:rsidR="00BE2C1D" w:rsidRPr="00BE2C1D" w:rsidRDefault="00BE2C1D" w:rsidP="00BE2C1D">
            <w:pPr>
              <w:rPr>
                <w:rFonts w:ascii="Times New Roman" w:hAnsi="Times New Roman" w:cs="Times New Roman"/>
                <w:sz w:val="20"/>
                <w:szCs w:val="20"/>
              </w:rPr>
            </w:pPr>
            <w:r w:rsidRPr="00BE2C1D">
              <w:rPr>
                <w:rFonts w:ascii="Times New Roman" w:hAnsi="Times New Roman" w:cs="Times New Roman"/>
                <w:sz w:val="20"/>
                <w:szCs w:val="20"/>
              </w:rPr>
              <w:t xml:space="preserve">Methods-Tools </w:t>
            </w:r>
          </w:p>
          <w:p w14:paraId="72C331E6" w14:textId="77777777" w:rsidR="00BE2C1D" w:rsidRPr="00BE2C1D" w:rsidRDefault="00BE2C1D" w:rsidP="00BE2C1D">
            <w:pPr>
              <w:rPr>
                <w:rFonts w:ascii="Times New Roman" w:hAnsi="Times New Roman" w:cs="Times New Roman"/>
                <w:i/>
                <w:iCs/>
                <w:sz w:val="20"/>
                <w:szCs w:val="20"/>
              </w:rPr>
            </w:pPr>
            <w:r w:rsidRPr="00BE2C1D">
              <w:rPr>
                <w:rFonts w:ascii="Times New Roman" w:hAnsi="Times New Roman" w:cs="Times New Roman"/>
                <w:i/>
                <w:iCs/>
                <w:sz w:val="20"/>
                <w:szCs w:val="20"/>
              </w:rPr>
              <w:t>Adult Personality Functioning</w:t>
            </w:r>
          </w:p>
          <w:p w14:paraId="455E3A58" w14:textId="77777777" w:rsidR="00BE2C1D" w:rsidRPr="00BE2C1D" w:rsidRDefault="00BE2C1D" w:rsidP="00BE2C1D">
            <w:pPr>
              <w:numPr>
                <w:ilvl w:val="0"/>
                <w:numId w:val="19"/>
              </w:numPr>
              <w:spacing w:after="200" w:line="276" w:lineRule="auto"/>
              <w:contextualSpacing/>
              <w:rPr>
                <w:rFonts w:ascii="Times New Roman" w:eastAsiaTheme="minorEastAsia" w:hAnsi="Times New Roman" w:cs="Times New Roman"/>
                <w:i/>
                <w:iCs/>
                <w:sz w:val="20"/>
                <w:szCs w:val="20"/>
                <w:lang w:eastAsia="zh-CN"/>
              </w:rPr>
            </w:pPr>
            <w:r w:rsidRPr="00BE2C1D">
              <w:rPr>
                <w:rFonts w:ascii="Times New Roman" w:eastAsiaTheme="minorEastAsia" w:hAnsi="Times New Roman" w:cs="Times New Roman"/>
                <w:i/>
                <w:iCs/>
                <w:sz w:val="20"/>
                <w:szCs w:val="20"/>
                <w:lang w:eastAsia="zh-CN"/>
              </w:rPr>
              <w:t>Education and employment</w:t>
            </w:r>
          </w:p>
          <w:p w14:paraId="4AF10A20" w14:textId="77777777" w:rsidR="00BE2C1D" w:rsidRPr="00BE2C1D" w:rsidRDefault="00BE2C1D" w:rsidP="00BE2C1D">
            <w:pPr>
              <w:numPr>
                <w:ilvl w:val="0"/>
                <w:numId w:val="19"/>
              </w:numPr>
              <w:spacing w:after="200" w:line="276" w:lineRule="auto"/>
              <w:contextualSpacing/>
              <w:rPr>
                <w:rFonts w:ascii="Times New Roman" w:eastAsiaTheme="minorEastAsia" w:hAnsi="Times New Roman" w:cs="Times New Roman"/>
                <w:sz w:val="20"/>
                <w:szCs w:val="20"/>
                <w:lang w:eastAsia="zh-CN"/>
              </w:rPr>
            </w:pPr>
            <w:r w:rsidRPr="00BE2C1D">
              <w:rPr>
                <w:rFonts w:ascii="Times New Roman" w:eastAsiaTheme="minorEastAsia" w:hAnsi="Times New Roman" w:cs="Times New Roman"/>
                <w:sz w:val="20"/>
                <w:szCs w:val="20"/>
                <w:lang w:eastAsia="zh-CN"/>
              </w:rPr>
              <w:t>Love Relationships</w:t>
            </w:r>
          </w:p>
          <w:p w14:paraId="1C1E4465" w14:textId="77777777" w:rsidR="00BE2C1D" w:rsidRPr="00BE2C1D" w:rsidRDefault="00BE2C1D" w:rsidP="00BE2C1D">
            <w:pPr>
              <w:numPr>
                <w:ilvl w:val="0"/>
                <w:numId w:val="19"/>
              </w:numPr>
              <w:spacing w:after="200" w:line="276" w:lineRule="auto"/>
              <w:contextualSpacing/>
              <w:rPr>
                <w:rFonts w:ascii="Times New Roman" w:eastAsiaTheme="minorEastAsia" w:hAnsi="Times New Roman" w:cs="Times New Roman"/>
                <w:sz w:val="20"/>
                <w:szCs w:val="20"/>
                <w:lang w:eastAsia="zh-CN"/>
              </w:rPr>
            </w:pPr>
            <w:r w:rsidRPr="00BE2C1D">
              <w:rPr>
                <w:rFonts w:ascii="Times New Roman" w:eastAsiaTheme="minorEastAsia" w:hAnsi="Times New Roman" w:cs="Times New Roman"/>
                <w:sz w:val="20"/>
                <w:szCs w:val="20"/>
                <w:lang w:eastAsia="zh-CN"/>
              </w:rPr>
              <w:t>Friendships</w:t>
            </w:r>
          </w:p>
          <w:p w14:paraId="50329734" w14:textId="77777777" w:rsidR="00BE2C1D" w:rsidRPr="00BE2C1D" w:rsidRDefault="00BE2C1D" w:rsidP="00BE2C1D">
            <w:pPr>
              <w:numPr>
                <w:ilvl w:val="0"/>
                <w:numId w:val="19"/>
              </w:numPr>
              <w:spacing w:after="200" w:line="276" w:lineRule="auto"/>
              <w:contextualSpacing/>
              <w:rPr>
                <w:rFonts w:ascii="Times New Roman" w:eastAsiaTheme="minorEastAsia" w:hAnsi="Times New Roman" w:cs="Times New Roman"/>
                <w:sz w:val="20"/>
                <w:szCs w:val="20"/>
                <w:lang w:eastAsia="zh-CN"/>
              </w:rPr>
            </w:pPr>
            <w:r w:rsidRPr="00BE2C1D">
              <w:rPr>
                <w:rFonts w:ascii="Times New Roman" w:eastAsiaTheme="minorEastAsia" w:hAnsi="Times New Roman" w:cs="Times New Roman"/>
                <w:sz w:val="20"/>
                <w:szCs w:val="20"/>
                <w:lang w:eastAsia="zh-CN"/>
              </w:rPr>
              <w:t>Coping</w:t>
            </w:r>
          </w:p>
          <w:p w14:paraId="3FDF8ECA" w14:textId="77777777" w:rsidR="00BE2C1D" w:rsidRPr="00BE2C1D" w:rsidRDefault="00BE2C1D" w:rsidP="00BE2C1D">
            <w:pPr>
              <w:numPr>
                <w:ilvl w:val="0"/>
                <w:numId w:val="19"/>
              </w:numPr>
              <w:spacing w:after="200" w:line="276" w:lineRule="auto"/>
              <w:contextualSpacing/>
              <w:rPr>
                <w:rFonts w:ascii="Times New Roman" w:eastAsiaTheme="minorEastAsia" w:hAnsi="Times New Roman" w:cs="Times New Roman"/>
                <w:sz w:val="20"/>
                <w:szCs w:val="20"/>
                <w:lang w:eastAsia="zh-CN"/>
              </w:rPr>
            </w:pPr>
            <w:r w:rsidRPr="00BE2C1D">
              <w:rPr>
                <w:rFonts w:ascii="Times New Roman" w:eastAsiaTheme="minorEastAsia" w:hAnsi="Times New Roman" w:cs="Times New Roman"/>
                <w:sz w:val="20"/>
                <w:szCs w:val="20"/>
                <w:lang w:eastAsia="zh-CN"/>
              </w:rPr>
              <w:t>Social contacts</w:t>
            </w:r>
          </w:p>
          <w:p w14:paraId="7E75C09C" w14:textId="77777777" w:rsidR="00BE2C1D" w:rsidRPr="00BE2C1D" w:rsidRDefault="00BE2C1D" w:rsidP="00BE2C1D">
            <w:pPr>
              <w:numPr>
                <w:ilvl w:val="0"/>
                <w:numId w:val="19"/>
              </w:numPr>
              <w:spacing w:after="200" w:line="276" w:lineRule="auto"/>
              <w:contextualSpacing/>
              <w:rPr>
                <w:rFonts w:ascii="Times New Roman" w:eastAsiaTheme="minorEastAsia" w:hAnsi="Times New Roman" w:cs="Times New Roman"/>
                <w:sz w:val="20"/>
                <w:szCs w:val="20"/>
                <w:lang w:eastAsia="zh-CN"/>
              </w:rPr>
            </w:pPr>
            <w:r w:rsidRPr="00BE2C1D">
              <w:rPr>
                <w:rFonts w:ascii="Times New Roman" w:eastAsiaTheme="minorEastAsia" w:hAnsi="Times New Roman" w:cs="Times New Roman"/>
                <w:sz w:val="20"/>
                <w:szCs w:val="20"/>
                <w:lang w:eastAsia="zh-CN"/>
              </w:rPr>
              <w:t>Negotiations</w:t>
            </w:r>
          </w:p>
          <w:p w14:paraId="066B09BA" w14:textId="77777777" w:rsidR="00BE2C1D" w:rsidRPr="00BE2C1D" w:rsidRDefault="00BE2C1D" w:rsidP="00BE2C1D">
            <w:pPr>
              <w:rPr>
                <w:rFonts w:ascii="Times New Roman" w:hAnsi="Times New Roman" w:cs="Times New Roman"/>
              </w:rPr>
            </w:pPr>
            <w:r w:rsidRPr="00BE2C1D">
              <w:rPr>
                <w:rFonts w:ascii="Times New Roman" w:hAnsi="Times New Roman" w:cs="Times New Roman"/>
                <w:sz w:val="20"/>
                <w:szCs w:val="20"/>
              </w:rPr>
              <w:t>Adolescent to Adult Personality Functioning Assessment (ADAPFA): standard interview schedule</w:t>
            </w:r>
          </w:p>
        </w:tc>
        <w:tc>
          <w:tcPr>
            <w:tcW w:w="2135" w:type="dxa"/>
          </w:tcPr>
          <w:p w14:paraId="5360CB28" w14:textId="77777777" w:rsidR="00BE2C1D" w:rsidRPr="00BE2C1D" w:rsidRDefault="00BE2C1D" w:rsidP="00BE2C1D">
            <w:pPr>
              <w:rPr>
                <w:rFonts w:ascii="Times New Roman" w:hAnsi="Times New Roman" w:cs="Times New Roman"/>
              </w:rPr>
            </w:pPr>
            <w:r w:rsidRPr="00BE2C1D">
              <w:rPr>
                <w:rFonts w:ascii="Times New Roman" w:hAnsi="Times New Roman" w:cs="Times New Roman"/>
              </w:rPr>
              <w:t>There was no significant difference of recruitment/final height on total ADAPFA.</w:t>
            </w:r>
          </w:p>
          <w:p w14:paraId="435EAC46" w14:textId="77777777" w:rsidR="00BE2C1D" w:rsidRPr="00BE2C1D" w:rsidRDefault="00BE2C1D" w:rsidP="00BE2C1D">
            <w:pPr>
              <w:rPr>
                <w:rFonts w:ascii="Times New Roman" w:hAnsi="Times New Roman" w:cs="Times New Roman"/>
              </w:rPr>
            </w:pPr>
            <w:r w:rsidRPr="00BE2C1D">
              <w:rPr>
                <w:rFonts w:ascii="Times New Roman" w:hAnsi="Times New Roman" w:cs="Times New Roman"/>
              </w:rPr>
              <w:t>Socioeconomic status had a significant effect on employment and education and coping domain scores.</w:t>
            </w:r>
          </w:p>
          <w:p w14:paraId="2203E51B" w14:textId="77777777" w:rsidR="00BE2C1D" w:rsidRPr="00BE2C1D" w:rsidRDefault="00BE2C1D" w:rsidP="00BE2C1D">
            <w:pPr>
              <w:rPr>
                <w:rFonts w:ascii="Times New Roman" w:hAnsi="Times New Roman" w:cs="Times New Roman"/>
              </w:rPr>
            </w:pPr>
            <w:r w:rsidRPr="00BE2C1D">
              <w:rPr>
                <w:rFonts w:ascii="Times New Roman" w:hAnsi="Times New Roman" w:cs="Times New Roman"/>
              </w:rPr>
              <w:t>Gender (male in particular) significantly affected love relationships, coping and social contacts domain scores.</w:t>
            </w:r>
          </w:p>
        </w:tc>
      </w:tr>
      <w:tr w:rsidR="00BE2C1D" w:rsidRPr="00BE2C1D" w14:paraId="68E6772F" w14:textId="77777777" w:rsidTr="00BE2C1D">
        <w:trPr>
          <w:trHeight w:val="4322"/>
        </w:trPr>
        <w:tc>
          <w:tcPr>
            <w:tcW w:w="1130" w:type="dxa"/>
            <w:vMerge/>
          </w:tcPr>
          <w:p w14:paraId="5CC0D107" w14:textId="77777777" w:rsidR="00BE2C1D" w:rsidRPr="00BE2C1D" w:rsidRDefault="00BE2C1D" w:rsidP="00BE2C1D"/>
        </w:tc>
        <w:tc>
          <w:tcPr>
            <w:tcW w:w="2244" w:type="dxa"/>
          </w:tcPr>
          <w:p w14:paraId="6C1FD434" w14:textId="77777777" w:rsidR="00BE2C1D" w:rsidRPr="00BE2C1D" w:rsidRDefault="00BE2C1D" w:rsidP="00BE2C1D">
            <w:pPr>
              <w:rPr>
                <w:rFonts w:asciiTheme="majorBidi" w:hAnsiTheme="majorBidi" w:cstheme="majorBidi"/>
              </w:rPr>
            </w:pPr>
            <w:r w:rsidRPr="00BE2C1D">
              <w:rPr>
                <w:rFonts w:asciiTheme="majorBidi" w:hAnsiTheme="majorBidi" w:cstheme="majorBidi"/>
              </w:rPr>
              <w:t xml:space="preserve">Voss, 2006 </w:t>
            </w:r>
          </w:p>
          <w:p w14:paraId="1C1CC6DA" w14:textId="77777777" w:rsidR="00BE2C1D" w:rsidRPr="00BE2C1D" w:rsidRDefault="00BE2C1D" w:rsidP="00BE2C1D"/>
          <w:p w14:paraId="17056BB2" w14:textId="77777777" w:rsidR="00BE2C1D" w:rsidRPr="00BE2C1D" w:rsidRDefault="00BE2C1D" w:rsidP="00BE2C1D"/>
          <w:p w14:paraId="46013E9E" w14:textId="77777777" w:rsidR="00BE2C1D" w:rsidRPr="00BE2C1D" w:rsidRDefault="00BE2C1D" w:rsidP="00BE2C1D">
            <w:pPr>
              <w:rPr>
                <w:rFonts w:ascii="Times New Roman" w:hAnsi="Times New Roman" w:cs="Times New Roman"/>
                <w:sz w:val="20"/>
                <w:szCs w:val="20"/>
              </w:rPr>
            </w:pPr>
          </w:p>
        </w:tc>
        <w:tc>
          <w:tcPr>
            <w:tcW w:w="2175" w:type="dxa"/>
          </w:tcPr>
          <w:p w14:paraId="38CBFAA8" w14:textId="77777777" w:rsidR="00BE2C1D" w:rsidRPr="00BE2C1D" w:rsidRDefault="00BE2C1D" w:rsidP="00BE2C1D">
            <w:pPr>
              <w:spacing w:line="240" w:lineRule="auto"/>
              <w:rPr>
                <w:rFonts w:ascii="Times New Roman" w:hAnsi="Times New Roman" w:cs="Times New Roman"/>
              </w:rPr>
            </w:pPr>
            <w:r w:rsidRPr="00BE2C1D">
              <w:rPr>
                <w:rFonts w:ascii="Times New Roman" w:hAnsi="Times New Roman" w:cs="Times New Roman"/>
              </w:rPr>
              <w:t>EJE</w:t>
            </w:r>
          </w:p>
          <w:p w14:paraId="045BCEE9" w14:textId="77777777" w:rsidR="00BE2C1D" w:rsidRPr="00BE2C1D" w:rsidRDefault="00BE2C1D" w:rsidP="00BE2C1D">
            <w:pPr>
              <w:spacing w:line="240" w:lineRule="auto"/>
              <w:rPr>
                <w:rFonts w:ascii="Times New Roman" w:hAnsi="Times New Roman" w:cs="Times New Roman"/>
                <w:i/>
              </w:rPr>
            </w:pPr>
            <w:r w:rsidRPr="00BE2C1D">
              <w:rPr>
                <w:rFonts w:ascii="Times New Roman" w:hAnsi="Times New Roman" w:cs="Times New Roman"/>
                <w:i/>
              </w:rPr>
              <w:t xml:space="preserve">Is short stature a </w:t>
            </w:r>
            <w:r w:rsidRPr="00BE2C1D">
              <w:rPr>
                <w:rFonts w:ascii="Times New Roman" w:hAnsi="Times New Roman" w:cs="Times New Roman"/>
                <w:i/>
                <w:color w:val="FF0000"/>
              </w:rPr>
              <w:t>problem</w:t>
            </w:r>
            <w:r w:rsidRPr="00BE2C1D">
              <w:rPr>
                <w:rFonts w:ascii="Times New Roman" w:hAnsi="Times New Roman" w:cs="Times New Roman"/>
                <w:i/>
              </w:rPr>
              <w:t xml:space="preserve">? The </w:t>
            </w:r>
            <w:r w:rsidRPr="00BE2C1D">
              <w:rPr>
                <w:rFonts w:ascii="Times New Roman" w:hAnsi="Times New Roman" w:cs="Times New Roman"/>
                <w:i/>
                <w:color w:val="FF0000"/>
              </w:rPr>
              <w:t>psychological view</w:t>
            </w:r>
            <w:r w:rsidRPr="00BE2C1D">
              <w:rPr>
                <w:rFonts w:ascii="Times New Roman" w:hAnsi="Times New Roman" w:cs="Times New Roman"/>
                <w:i/>
              </w:rPr>
              <w:t>.</w:t>
            </w:r>
          </w:p>
          <w:p w14:paraId="511D65E2" w14:textId="77777777" w:rsidR="00BE2C1D" w:rsidRPr="00BE2C1D" w:rsidRDefault="00BE2C1D" w:rsidP="00BE2C1D">
            <w:pPr>
              <w:spacing w:line="240" w:lineRule="auto"/>
              <w:rPr>
                <w:rFonts w:ascii="Times New Roman" w:hAnsi="Times New Roman" w:cs="Times New Roman"/>
              </w:rPr>
            </w:pPr>
          </w:p>
        </w:tc>
        <w:tc>
          <w:tcPr>
            <w:tcW w:w="2864" w:type="dxa"/>
          </w:tcPr>
          <w:p w14:paraId="6FDA7381" w14:textId="77777777" w:rsidR="00BE2C1D" w:rsidRPr="00BE2C1D" w:rsidRDefault="00BE2C1D" w:rsidP="00BE2C1D">
            <w:pPr>
              <w:rPr>
                <w:rFonts w:ascii="Times New Roman" w:hAnsi="Times New Roman" w:cs="Times New Roman"/>
                <w:sz w:val="20"/>
                <w:szCs w:val="20"/>
              </w:rPr>
            </w:pPr>
            <w:r w:rsidRPr="00BE2C1D">
              <w:rPr>
                <w:rFonts w:ascii="Times New Roman" w:hAnsi="Times New Roman" w:cs="Times New Roman"/>
                <w:sz w:val="20"/>
                <w:szCs w:val="20"/>
              </w:rPr>
              <w:t>Critical review of literature</w:t>
            </w:r>
          </w:p>
          <w:p w14:paraId="2A8E04FD" w14:textId="77777777" w:rsidR="00BE2C1D" w:rsidRPr="00BE2C1D" w:rsidRDefault="00BE2C1D" w:rsidP="00BE2C1D">
            <w:pPr>
              <w:rPr>
                <w:rFonts w:ascii="Times New Roman" w:hAnsi="Times New Roman" w:cs="Times New Roman"/>
                <w:sz w:val="20"/>
                <w:szCs w:val="20"/>
              </w:rPr>
            </w:pPr>
            <w:r w:rsidRPr="00BE2C1D">
              <w:rPr>
                <w:rFonts w:ascii="Times New Roman" w:hAnsi="Times New Roman" w:cs="Times New Roman"/>
                <w:sz w:val="20"/>
                <w:szCs w:val="20"/>
              </w:rPr>
              <w:t>Short stature in the paediatric clinic</w:t>
            </w:r>
          </w:p>
          <w:p w14:paraId="256231C2" w14:textId="77777777" w:rsidR="00BE2C1D" w:rsidRPr="00BE2C1D" w:rsidRDefault="00BE2C1D" w:rsidP="00BE2C1D">
            <w:pPr>
              <w:rPr>
                <w:rFonts w:ascii="Times New Roman" w:hAnsi="Times New Roman" w:cs="Times New Roman"/>
                <w:sz w:val="20"/>
                <w:szCs w:val="20"/>
              </w:rPr>
            </w:pPr>
          </w:p>
          <w:p w14:paraId="431B9CC5" w14:textId="77777777" w:rsidR="00BE2C1D" w:rsidRPr="00BE2C1D" w:rsidRDefault="00BE2C1D" w:rsidP="00BE2C1D">
            <w:pPr>
              <w:rPr>
                <w:rFonts w:ascii="Times New Roman" w:hAnsi="Times New Roman" w:cs="Times New Roman"/>
                <w:sz w:val="20"/>
                <w:szCs w:val="20"/>
              </w:rPr>
            </w:pPr>
          </w:p>
          <w:p w14:paraId="1559FB60" w14:textId="77777777" w:rsidR="00BE2C1D" w:rsidRPr="00BE2C1D" w:rsidRDefault="00BE2C1D" w:rsidP="00BE2C1D">
            <w:pPr>
              <w:rPr>
                <w:rFonts w:ascii="Times New Roman" w:hAnsi="Times New Roman" w:cs="Times New Roman"/>
                <w:sz w:val="20"/>
                <w:szCs w:val="20"/>
              </w:rPr>
            </w:pPr>
          </w:p>
          <w:p w14:paraId="380D4221" w14:textId="77777777" w:rsidR="00BE2C1D" w:rsidRPr="00BE2C1D" w:rsidRDefault="00BE2C1D" w:rsidP="00BE2C1D">
            <w:pPr>
              <w:rPr>
                <w:rFonts w:ascii="Times New Roman" w:hAnsi="Times New Roman" w:cs="Times New Roman"/>
                <w:sz w:val="20"/>
                <w:szCs w:val="20"/>
              </w:rPr>
            </w:pPr>
          </w:p>
          <w:p w14:paraId="6FAEC4ED" w14:textId="77777777" w:rsidR="00BE2C1D" w:rsidRPr="00BE2C1D" w:rsidRDefault="00BE2C1D" w:rsidP="00BE2C1D">
            <w:pPr>
              <w:rPr>
                <w:rFonts w:ascii="Times New Roman" w:hAnsi="Times New Roman" w:cs="Times New Roman"/>
                <w:sz w:val="20"/>
                <w:szCs w:val="20"/>
              </w:rPr>
            </w:pPr>
          </w:p>
          <w:p w14:paraId="1EC5A93E" w14:textId="77777777" w:rsidR="00BE2C1D" w:rsidRPr="00BE2C1D" w:rsidRDefault="00BE2C1D" w:rsidP="00BE2C1D">
            <w:pPr>
              <w:rPr>
                <w:rFonts w:ascii="Times New Roman" w:hAnsi="Times New Roman" w:cs="Times New Roman"/>
                <w:sz w:val="20"/>
                <w:szCs w:val="20"/>
              </w:rPr>
            </w:pPr>
          </w:p>
          <w:p w14:paraId="1FFA6DCB" w14:textId="77777777" w:rsidR="00BE2C1D" w:rsidRPr="00BE2C1D" w:rsidRDefault="00BE2C1D" w:rsidP="00BE2C1D">
            <w:pPr>
              <w:rPr>
                <w:rFonts w:ascii="Times New Roman" w:hAnsi="Times New Roman" w:cs="Times New Roman"/>
                <w:sz w:val="20"/>
                <w:szCs w:val="20"/>
              </w:rPr>
            </w:pPr>
          </w:p>
          <w:p w14:paraId="6552B60C" w14:textId="77777777" w:rsidR="00BE2C1D" w:rsidRPr="00BE2C1D" w:rsidRDefault="00BE2C1D" w:rsidP="00BE2C1D">
            <w:pPr>
              <w:rPr>
                <w:rFonts w:ascii="Times New Roman" w:hAnsi="Times New Roman" w:cs="Times New Roman"/>
                <w:sz w:val="20"/>
                <w:szCs w:val="20"/>
              </w:rPr>
            </w:pPr>
          </w:p>
          <w:p w14:paraId="311ED821" w14:textId="77777777" w:rsidR="00BE2C1D" w:rsidRPr="00BE2C1D" w:rsidRDefault="00BE2C1D" w:rsidP="00BE2C1D">
            <w:pPr>
              <w:rPr>
                <w:rFonts w:ascii="Times New Roman" w:hAnsi="Times New Roman" w:cs="Times New Roman"/>
                <w:sz w:val="20"/>
                <w:szCs w:val="20"/>
              </w:rPr>
            </w:pPr>
          </w:p>
          <w:p w14:paraId="075647CD" w14:textId="77777777" w:rsidR="00BE2C1D" w:rsidRPr="00BE2C1D" w:rsidRDefault="00BE2C1D" w:rsidP="00BE2C1D">
            <w:pPr>
              <w:rPr>
                <w:rFonts w:ascii="Times New Roman" w:hAnsi="Times New Roman" w:cs="Times New Roman"/>
                <w:sz w:val="20"/>
                <w:szCs w:val="20"/>
              </w:rPr>
            </w:pPr>
          </w:p>
          <w:p w14:paraId="140D46D6" w14:textId="77777777" w:rsidR="00BE2C1D" w:rsidRPr="00BE2C1D" w:rsidRDefault="00BE2C1D" w:rsidP="00BE2C1D">
            <w:pPr>
              <w:rPr>
                <w:rFonts w:ascii="Times New Roman" w:hAnsi="Times New Roman" w:cs="Times New Roman"/>
                <w:sz w:val="20"/>
                <w:szCs w:val="20"/>
              </w:rPr>
            </w:pPr>
          </w:p>
          <w:p w14:paraId="5C633E88" w14:textId="77777777" w:rsidR="00BE2C1D" w:rsidRPr="00BE2C1D" w:rsidRDefault="00BE2C1D" w:rsidP="00BE2C1D">
            <w:pPr>
              <w:rPr>
                <w:rFonts w:ascii="Times New Roman" w:hAnsi="Times New Roman" w:cs="Times New Roman"/>
                <w:sz w:val="20"/>
                <w:szCs w:val="20"/>
              </w:rPr>
            </w:pPr>
          </w:p>
          <w:p w14:paraId="6662C97C" w14:textId="77777777" w:rsidR="00BE2C1D" w:rsidRPr="00BE2C1D" w:rsidRDefault="00BE2C1D" w:rsidP="00BE2C1D">
            <w:pPr>
              <w:rPr>
                <w:rFonts w:ascii="Times New Roman" w:hAnsi="Times New Roman" w:cs="Times New Roman"/>
                <w:sz w:val="20"/>
                <w:szCs w:val="20"/>
              </w:rPr>
            </w:pPr>
          </w:p>
          <w:p w14:paraId="76D89154" w14:textId="77777777" w:rsidR="00BE2C1D" w:rsidRPr="00BE2C1D" w:rsidRDefault="00BE2C1D" w:rsidP="00BE2C1D">
            <w:pPr>
              <w:rPr>
                <w:rFonts w:ascii="Times New Roman" w:hAnsi="Times New Roman" w:cs="Times New Roman"/>
                <w:sz w:val="20"/>
                <w:szCs w:val="20"/>
              </w:rPr>
            </w:pPr>
          </w:p>
          <w:p w14:paraId="6D4C4A4F" w14:textId="77777777" w:rsidR="00BE2C1D" w:rsidRPr="00BE2C1D" w:rsidRDefault="00BE2C1D" w:rsidP="00BE2C1D">
            <w:pPr>
              <w:rPr>
                <w:rFonts w:ascii="Times New Roman" w:hAnsi="Times New Roman" w:cs="Times New Roman"/>
                <w:sz w:val="20"/>
                <w:szCs w:val="20"/>
              </w:rPr>
            </w:pPr>
          </w:p>
          <w:p w14:paraId="22CBB036" w14:textId="77777777" w:rsidR="00BE2C1D" w:rsidRPr="00BE2C1D" w:rsidRDefault="00BE2C1D" w:rsidP="00BE2C1D">
            <w:pPr>
              <w:rPr>
                <w:rFonts w:ascii="Times New Roman" w:hAnsi="Times New Roman" w:cs="Times New Roman"/>
                <w:sz w:val="20"/>
                <w:szCs w:val="20"/>
              </w:rPr>
            </w:pPr>
          </w:p>
          <w:p w14:paraId="7B33D6AA" w14:textId="77777777" w:rsidR="00BE2C1D" w:rsidRPr="00BE2C1D" w:rsidRDefault="00BE2C1D" w:rsidP="00BE2C1D">
            <w:pPr>
              <w:rPr>
                <w:rFonts w:ascii="Times New Roman" w:hAnsi="Times New Roman" w:cs="Times New Roman"/>
                <w:sz w:val="20"/>
                <w:szCs w:val="20"/>
              </w:rPr>
            </w:pPr>
          </w:p>
          <w:p w14:paraId="0EBF29CD" w14:textId="77777777" w:rsidR="00BE2C1D" w:rsidRPr="00BE2C1D" w:rsidRDefault="00BE2C1D" w:rsidP="00BE2C1D">
            <w:pPr>
              <w:rPr>
                <w:rFonts w:ascii="Times New Roman" w:hAnsi="Times New Roman" w:cs="Times New Roman"/>
                <w:sz w:val="20"/>
                <w:szCs w:val="20"/>
              </w:rPr>
            </w:pPr>
          </w:p>
          <w:p w14:paraId="56B362A1" w14:textId="77777777" w:rsidR="00BE2C1D" w:rsidRPr="00BE2C1D" w:rsidRDefault="00BE2C1D" w:rsidP="00BE2C1D">
            <w:pPr>
              <w:rPr>
                <w:rFonts w:ascii="Times New Roman" w:hAnsi="Times New Roman" w:cs="Times New Roman"/>
                <w:sz w:val="20"/>
                <w:szCs w:val="20"/>
              </w:rPr>
            </w:pPr>
          </w:p>
          <w:p w14:paraId="3ADBAD6E" w14:textId="77777777" w:rsidR="00BE2C1D" w:rsidRPr="00BE2C1D" w:rsidRDefault="00BE2C1D" w:rsidP="00BE2C1D">
            <w:pPr>
              <w:rPr>
                <w:rFonts w:ascii="Times New Roman" w:hAnsi="Times New Roman" w:cs="Times New Roman"/>
                <w:sz w:val="20"/>
                <w:szCs w:val="20"/>
              </w:rPr>
            </w:pPr>
          </w:p>
          <w:p w14:paraId="189920DE" w14:textId="77777777" w:rsidR="00BE2C1D" w:rsidRPr="00BE2C1D" w:rsidRDefault="00BE2C1D" w:rsidP="00BE2C1D">
            <w:pPr>
              <w:rPr>
                <w:rFonts w:ascii="Times New Roman" w:hAnsi="Times New Roman" w:cs="Times New Roman"/>
                <w:sz w:val="20"/>
                <w:szCs w:val="20"/>
              </w:rPr>
            </w:pPr>
            <w:r w:rsidRPr="00BE2C1D">
              <w:rPr>
                <w:rFonts w:ascii="Times New Roman" w:hAnsi="Times New Roman" w:cs="Times New Roman"/>
                <w:sz w:val="20"/>
                <w:szCs w:val="20"/>
              </w:rPr>
              <w:t>Short stature in the community</w:t>
            </w:r>
          </w:p>
          <w:p w14:paraId="458E9833" w14:textId="77777777" w:rsidR="00BE2C1D" w:rsidRPr="00BE2C1D" w:rsidRDefault="00BE2C1D" w:rsidP="00BE2C1D">
            <w:pPr>
              <w:rPr>
                <w:rFonts w:ascii="Times New Roman" w:hAnsi="Times New Roman" w:cs="Times New Roman"/>
                <w:sz w:val="20"/>
                <w:szCs w:val="20"/>
              </w:rPr>
            </w:pPr>
          </w:p>
          <w:p w14:paraId="0A71B52C" w14:textId="77777777" w:rsidR="00BE2C1D" w:rsidRPr="00BE2C1D" w:rsidRDefault="00BE2C1D" w:rsidP="00BE2C1D">
            <w:pPr>
              <w:rPr>
                <w:rFonts w:ascii="Times New Roman" w:hAnsi="Times New Roman" w:cs="Times New Roman"/>
                <w:sz w:val="20"/>
                <w:szCs w:val="20"/>
              </w:rPr>
            </w:pPr>
          </w:p>
          <w:p w14:paraId="474007E4" w14:textId="77777777" w:rsidR="00BE2C1D" w:rsidRPr="00BE2C1D" w:rsidRDefault="00BE2C1D" w:rsidP="00BE2C1D">
            <w:pPr>
              <w:rPr>
                <w:rFonts w:ascii="Times New Roman" w:hAnsi="Times New Roman" w:cs="Times New Roman"/>
                <w:sz w:val="20"/>
                <w:szCs w:val="20"/>
              </w:rPr>
            </w:pPr>
          </w:p>
          <w:p w14:paraId="7E7B846D" w14:textId="77777777" w:rsidR="00BE2C1D" w:rsidRPr="00BE2C1D" w:rsidRDefault="00BE2C1D" w:rsidP="00BE2C1D">
            <w:pPr>
              <w:rPr>
                <w:rFonts w:ascii="Times New Roman" w:hAnsi="Times New Roman" w:cs="Times New Roman"/>
                <w:sz w:val="20"/>
                <w:szCs w:val="20"/>
              </w:rPr>
            </w:pPr>
          </w:p>
          <w:p w14:paraId="63943831" w14:textId="77777777" w:rsidR="00BE2C1D" w:rsidRPr="00BE2C1D" w:rsidRDefault="00BE2C1D" w:rsidP="00BE2C1D">
            <w:pPr>
              <w:rPr>
                <w:rFonts w:ascii="Times New Roman" w:hAnsi="Times New Roman" w:cs="Times New Roman"/>
                <w:sz w:val="20"/>
                <w:szCs w:val="20"/>
              </w:rPr>
            </w:pPr>
          </w:p>
          <w:p w14:paraId="483C8D89" w14:textId="77777777" w:rsidR="00BE2C1D" w:rsidRPr="00BE2C1D" w:rsidRDefault="00BE2C1D" w:rsidP="00BE2C1D">
            <w:pPr>
              <w:rPr>
                <w:rFonts w:ascii="Times New Roman" w:hAnsi="Times New Roman" w:cs="Times New Roman"/>
                <w:sz w:val="20"/>
                <w:szCs w:val="20"/>
              </w:rPr>
            </w:pPr>
          </w:p>
          <w:p w14:paraId="560EA386" w14:textId="77777777" w:rsidR="00BE2C1D" w:rsidRPr="00BE2C1D" w:rsidRDefault="00BE2C1D" w:rsidP="00BE2C1D">
            <w:pPr>
              <w:rPr>
                <w:rFonts w:ascii="Times New Roman" w:hAnsi="Times New Roman" w:cs="Times New Roman"/>
                <w:sz w:val="20"/>
                <w:szCs w:val="20"/>
              </w:rPr>
            </w:pPr>
          </w:p>
          <w:p w14:paraId="0AA434F5" w14:textId="77777777" w:rsidR="00BE2C1D" w:rsidRPr="00BE2C1D" w:rsidRDefault="00BE2C1D" w:rsidP="00BE2C1D">
            <w:pPr>
              <w:rPr>
                <w:rFonts w:ascii="Times New Roman" w:hAnsi="Times New Roman" w:cs="Times New Roman"/>
                <w:sz w:val="20"/>
                <w:szCs w:val="20"/>
              </w:rPr>
            </w:pPr>
          </w:p>
          <w:p w14:paraId="58905659" w14:textId="77777777" w:rsidR="00BE2C1D" w:rsidRPr="00BE2C1D" w:rsidRDefault="00BE2C1D" w:rsidP="00BE2C1D">
            <w:pPr>
              <w:rPr>
                <w:rFonts w:ascii="Times New Roman" w:hAnsi="Times New Roman" w:cs="Times New Roman"/>
                <w:sz w:val="20"/>
                <w:szCs w:val="20"/>
              </w:rPr>
            </w:pPr>
          </w:p>
          <w:p w14:paraId="344D68C7" w14:textId="77777777" w:rsidR="00BE2C1D" w:rsidRPr="00BE2C1D" w:rsidRDefault="00BE2C1D" w:rsidP="00BE2C1D">
            <w:pPr>
              <w:rPr>
                <w:rFonts w:ascii="Times New Roman" w:hAnsi="Times New Roman" w:cs="Times New Roman"/>
                <w:sz w:val="20"/>
                <w:szCs w:val="20"/>
              </w:rPr>
            </w:pPr>
            <w:r w:rsidRPr="00BE2C1D">
              <w:rPr>
                <w:rFonts w:ascii="Times New Roman" w:hAnsi="Times New Roman" w:cs="Times New Roman"/>
                <w:sz w:val="20"/>
                <w:szCs w:val="20"/>
              </w:rPr>
              <w:t>Growth Hormone Treatment</w:t>
            </w:r>
          </w:p>
          <w:p w14:paraId="18B968F8" w14:textId="77777777" w:rsidR="00BE2C1D" w:rsidRPr="00BE2C1D" w:rsidRDefault="00BE2C1D" w:rsidP="00BE2C1D">
            <w:pPr>
              <w:rPr>
                <w:rFonts w:ascii="Times New Roman" w:hAnsi="Times New Roman" w:cs="Times New Roman"/>
              </w:rPr>
            </w:pPr>
          </w:p>
          <w:p w14:paraId="1BFCC14C" w14:textId="77777777" w:rsidR="00BE2C1D" w:rsidRPr="00BE2C1D" w:rsidRDefault="00BE2C1D" w:rsidP="00BE2C1D">
            <w:pPr>
              <w:rPr>
                <w:rFonts w:ascii="Times New Roman" w:hAnsi="Times New Roman" w:cs="Times New Roman"/>
              </w:rPr>
            </w:pPr>
          </w:p>
          <w:p w14:paraId="4A9033DC" w14:textId="77777777" w:rsidR="00BE2C1D" w:rsidRPr="00BE2C1D" w:rsidRDefault="00BE2C1D" w:rsidP="00BE2C1D">
            <w:pPr>
              <w:rPr>
                <w:rFonts w:ascii="Times New Roman" w:hAnsi="Times New Roman" w:cs="Times New Roman"/>
                <w:sz w:val="20"/>
                <w:szCs w:val="20"/>
              </w:rPr>
            </w:pPr>
          </w:p>
        </w:tc>
        <w:tc>
          <w:tcPr>
            <w:tcW w:w="2135" w:type="dxa"/>
          </w:tcPr>
          <w:p w14:paraId="1922620E" w14:textId="77777777" w:rsidR="00BE2C1D" w:rsidRPr="00BE2C1D" w:rsidRDefault="00BE2C1D" w:rsidP="00BE2C1D">
            <w:pPr>
              <w:rPr>
                <w:rFonts w:ascii="Times New Roman" w:hAnsi="Times New Roman" w:cs="Times New Roman"/>
              </w:rPr>
            </w:pPr>
            <w:r w:rsidRPr="00BE2C1D">
              <w:rPr>
                <w:rFonts w:ascii="Times New Roman" w:hAnsi="Times New Roman" w:cs="Times New Roman"/>
              </w:rPr>
              <w:lastRenderedPageBreak/>
              <w:t xml:space="preserve">Research assessing psychological adaptation of children with short stature was based on clinically referred patients with a whole variety of medical diagnoses. </w:t>
            </w:r>
          </w:p>
          <w:p w14:paraId="57187279" w14:textId="77777777" w:rsidR="00BE2C1D" w:rsidRPr="00BE2C1D" w:rsidRDefault="00BE2C1D" w:rsidP="00BE2C1D">
            <w:pPr>
              <w:rPr>
                <w:rFonts w:ascii="Times New Roman" w:hAnsi="Times New Roman" w:cs="Times New Roman"/>
              </w:rPr>
            </w:pPr>
            <w:r w:rsidRPr="00BE2C1D">
              <w:rPr>
                <w:rFonts w:ascii="Times New Roman" w:hAnsi="Times New Roman" w:cs="Times New Roman"/>
              </w:rPr>
              <w:t>Problems of social adaptation have included stigmatization, juvenilisation, immaturity and unassertiveness.</w:t>
            </w:r>
          </w:p>
          <w:p w14:paraId="5FEC7F6B" w14:textId="77777777" w:rsidR="00BE2C1D" w:rsidRPr="00BE2C1D" w:rsidRDefault="00BE2C1D" w:rsidP="00BE2C1D">
            <w:pPr>
              <w:rPr>
                <w:rFonts w:ascii="Times New Roman" w:hAnsi="Times New Roman" w:cs="Times New Roman"/>
              </w:rPr>
            </w:pPr>
            <w:r w:rsidRPr="00BE2C1D">
              <w:rPr>
                <w:rFonts w:ascii="Times New Roman" w:hAnsi="Times New Roman" w:cs="Times New Roman"/>
              </w:rPr>
              <w:t>Research suggests academic underachievement of students with short stature, but this is not strictly related to height.</w:t>
            </w:r>
          </w:p>
          <w:p w14:paraId="0EE1288E" w14:textId="77777777" w:rsidR="00BE2C1D" w:rsidRPr="00BE2C1D" w:rsidRDefault="00BE2C1D" w:rsidP="00BE2C1D">
            <w:pPr>
              <w:rPr>
                <w:rFonts w:ascii="Times New Roman" w:hAnsi="Times New Roman" w:cs="Times New Roman"/>
              </w:rPr>
            </w:pPr>
            <w:r w:rsidRPr="00BE2C1D">
              <w:rPr>
                <w:rFonts w:ascii="Times New Roman" w:hAnsi="Times New Roman" w:cs="Times New Roman"/>
              </w:rPr>
              <w:t>More recent research reports that short stature does not cause behavioural problems or has an effect on the quality of life.</w:t>
            </w:r>
          </w:p>
          <w:p w14:paraId="6EDD8CA6" w14:textId="77777777" w:rsidR="00BE2C1D" w:rsidRPr="00BE2C1D" w:rsidRDefault="00BE2C1D" w:rsidP="00BE2C1D">
            <w:pPr>
              <w:rPr>
                <w:rFonts w:ascii="Times New Roman" w:hAnsi="Times New Roman" w:cs="Times New Roman"/>
              </w:rPr>
            </w:pPr>
          </w:p>
          <w:p w14:paraId="4469BDEE" w14:textId="77777777" w:rsidR="00BE2C1D" w:rsidRPr="00BE2C1D" w:rsidRDefault="00BE2C1D" w:rsidP="00BE2C1D">
            <w:pPr>
              <w:rPr>
                <w:rFonts w:ascii="Times New Roman" w:hAnsi="Times New Roman" w:cs="Times New Roman"/>
              </w:rPr>
            </w:pPr>
            <w:r w:rsidRPr="00BE2C1D">
              <w:rPr>
                <w:rFonts w:ascii="Times New Roman" w:hAnsi="Times New Roman" w:cs="Times New Roman"/>
              </w:rPr>
              <w:t>Wessex Growth Study (WGS)</w:t>
            </w:r>
          </w:p>
          <w:p w14:paraId="27A83698" w14:textId="77777777" w:rsidR="00BE2C1D" w:rsidRPr="00BE2C1D" w:rsidRDefault="00BE2C1D" w:rsidP="00BE2C1D">
            <w:pPr>
              <w:rPr>
                <w:rFonts w:ascii="Times New Roman" w:hAnsi="Times New Roman" w:cs="Times New Roman"/>
              </w:rPr>
            </w:pPr>
            <w:r w:rsidRPr="00BE2C1D">
              <w:rPr>
                <w:rFonts w:ascii="Times New Roman" w:hAnsi="Times New Roman" w:cs="Times New Roman"/>
              </w:rPr>
              <w:t xml:space="preserve">The WGS has shown no evidence of maladaptation or psychosocial dysfunction, before, during or after puberty. </w:t>
            </w:r>
          </w:p>
          <w:p w14:paraId="7B43249B" w14:textId="77777777" w:rsidR="00BE2C1D" w:rsidRPr="00BE2C1D" w:rsidRDefault="00BE2C1D" w:rsidP="00BE2C1D">
            <w:pPr>
              <w:rPr>
                <w:rFonts w:ascii="Times New Roman" w:hAnsi="Times New Roman" w:cs="Times New Roman"/>
              </w:rPr>
            </w:pPr>
            <w:r w:rsidRPr="00BE2C1D">
              <w:rPr>
                <w:rFonts w:ascii="Times New Roman" w:hAnsi="Times New Roman" w:cs="Times New Roman"/>
              </w:rPr>
              <w:t>Socioeconomic factors best predict psychosocial and academic outcome.</w:t>
            </w:r>
          </w:p>
          <w:p w14:paraId="59E041C6" w14:textId="77777777" w:rsidR="00BE2C1D" w:rsidRPr="00BE2C1D" w:rsidRDefault="00BE2C1D" w:rsidP="00BE2C1D">
            <w:pPr>
              <w:rPr>
                <w:rFonts w:ascii="Times New Roman" w:hAnsi="Times New Roman" w:cs="Times New Roman"/>
              </w:rPr>
            </w:pPr>
          </w:p>
          <w:p w14:paraId="0B481F53" w14:textId="77777777" w:rsidR="00BE2C1D" w:rsidRPr="00BE2C1D" w:rsidRDefault="00BE2C1D" w:rsidP="00BE2C1D">
            <w:pPr>
              <w:rPr>
                <w:rFonts w:ascii="Times New Roman" w:hAnsi="Times New Roman" w:cs="Times New Roman"/>
              </w:rPr>
            </w:pPr>
            <w:r w:rsidRPr="00BE2C1D">
              <w:rPr>
                <w:rFonts w:ascii="Times New Roman" w:hAnsi="Times New Roman" w:cs="Times New Roman"/>
              </w:rPr>
              <w:lastRenderedPageBreak/>
              <w:t xml:space="preserve">Growth hormone treatment of idiopathic short stature or short normal stature cannot be justified.  </w:t>
            </w:r>
          </w:p>
        </w:tc>
      </w:tr>
      <w:tr w:rsidR="00BE2C1D" w:rsidRPr="00BE2C1D" w14:paraId="532A53E3" w14:textId="77777777" w:rsidTr="00BE2C1D">
        <w:trPr>
          <w:trHeight w:val="1160"/>
        </w:trPr>
        <w:tc>
          <w:tcPr>
            <w:tcW w:w="1130" w:type="dxa"/>
            <w:vMerge/>
          </w:tcPr>
          <w:p w14:paraId="6C774394" w14:textId="77777777" w:rsidR="00BE2C1D" w:rsidRPr="00BE2C1D" w:rsidRDefault="00BE2C1D" w:rsidP="00BE2C1D"/>
        </w:tc>
        <w:tc>
          <w:tcPr>
            <w:tcW w:w="2244" w:type="dxa"/>
          </w:tcPr>
          <w:p w14:paraId="3668681F" w14:textId="77777777" w:rsidR="00BE2C1D" w:rsidRPr="00BE2C1D" w:rsidRDefault="00BE2C1D" w:rsidP="00BE2C1D">
            <w:pPr>
              <w:rPr>
                <w:rFonts w:asciiTheme="majorBidi" w:hAnsiTheme="majorBidi" w:cstheme="majorBidi"/>
              </w:rPr>
            </w:pPr>
            <w:r w:rsidRPr="00BE2C1D">
              <w:rPr>
                <w:rFonts w:asciiTheme="majorBidi" w:hAnsiTheme="majorBidi" w:cstheme="majorBidi"/>
              </w:rPr>
              <w:t>Theunissen, Kamp, Koopman, Zwinderman, Vogels&amp; Wit, 2002</w:t>
            </w:r>
          </w:p>
          <w:p w14:paraId="5E6F41B4" w14:textId="77777777" w:rsidR="00BE2C1D" w:rsidRPr="00BE2C1D" w:rsidRDefault="00BE2C1D" w:rsidP="00BE2C1D"/>
          <w:p w14:paraId="6D388B6D" w14:textId="77777777" w:rsidR="00BE2C1D" w:rsidRPr="00BE2C1D" w:rsidRDefault="00BE2C1D" w:rsidP="00BE2C1D">
            <w:pPr>
              <w:rPr>
                <w:rFonts w:ascii="Times New Roman" w:hAnsi="Times New Roman" w:cs="Times New Roman"/>
                <w:sz w:val="20"/>
                <w:szCs w:val="20"/>
              </w:rPr>
            </w:pPr>
          </w:p>
        </w:tc>
        <w:tc>
          <w:tcPr>
            <w:tcW w:w="2175" w:type="dxa"/>
          </w:tcPr>
          <w:p w14:paraId="2D49CA29" w14:textId="77777777" w:rsidR="00BE2C1D" w:rsidRPr="00BE2C1D" w:rsidRDefault="00BE2C1D" w:rsidP="00BE2C1D">
            <w:pPr>
              <w:spacing w:line="240" w:lineRule="auto"/>
              <w:rPr>
                <w:rFonts w:ascii="Times New Roman" w:hAnsi="Times New Roman" w:cs="Times New Roman"/>
              </w:rPr>
            </w:pPr>
            <w:r w:rsidRPr="00BE2C1D">
              <w:rPr>
                <w:rFonts w:ascii="Times New Roman" w:hAnsi="Times New Roman" w:cs="Times New Roman"/>
              </w:rPr>
              <w:t>JPed.</w:t>
            </w:r>
          </w:p>
          <w:p w14:paraId="02DD6096" w14:textId="77777777" w:rsidR="00BE2C1D" w:rsidRPr="00BE2C1D" w:rsidRDefault="00BE2C1D" w:rsidP="00BE2C1D">
            <w:pPr>
              <w:spacing w:line="240" w:lineRule="auto"/>
              <w:rPr>
                <w:i/>
                <w:color w:val="FF0000"/>
              </w:rPr>
            </w:pPr>
            <w:r w:rsidRPr="00BE2C1D">
              <w:rPr>
                <w:rFonts w:ascii="Times New Roman" w:hAnsi="Times New Roman" w:cs="Times New Roman"/>
                <w:i/>
                <w:color w:val="FF0000"/>
              </w:rPr>
              <w:t xml:space="preserve">Quality of life </w:t>
            </w:r>
            <w:r w:rsidRPr="00BE2C1D">
              <w:rPr>
                <w:rFonts w:ascii="Times New Roman" w:hAnsi="Times New Roman" w:cs="Times New Roman"/>
                <w:i/>
              </w:rPr>
              <w:t xml:space="preserve">and </w:t>
            </w:r>
            <w:r w:rsidRPr="00BE2C1D">
              <w:rPr>
                <w:rFonts w:ascii="Times New Roman" w:hAnsi="Times New Roman" w:cs="Times New Roman"/>
                <w:i/>
                <w:color w:val="FF0000"/>
              </w:rPr>
              <w:t>self-esteem</w:t>
            </w:r>
            <w:r w:rsidRPr="00BE2C1D">
              <w:rPr>
                <w:rFonts w:ascii="Times New Roman" w:hAnsi="Times New Roman" w:cs="Times New Roman"/>
                <w:i/>
              </w:rPr>
              <w:t xml:space="preserve"> in children </w:t>
            </w:r>
            <w:r w:rsidRPr="00BE2C1D">
              <w:rPr>
                <w:rFonts w:ascii="Times New Roman" w:hAnsi="Times New Roman" w:cs="Times New Roman"/>
                <w:i/>
                <w:color w:val="FF0000"/>
              </w:rPr>
              <w:t>treated</w:t>
            </w:r>
            <w:r w:rsidRPr="00BE2C1D">
              <w:rPr>
                <w:rFonts w:ascii="Times New Roman" w:hAnsi="Times New Roman" w:cs="Times New Roman"/>
                <w:i/>
              </w:rPr>
              <w:t xml:space="preserve"> for </w:t>
            </w:r>
            <w:r w:rsidRPr="00BE2C1D">
              <w:rPr>
                <w:rFonts w:ascii="Times New Roman" w:hAnsi="Times New Roman" w:cs="Times New Roman"/>
                <w:i/>
                <w:color w:val="FF0000"/>
              </w:rPr>
              <w:t>idiopathic short stature</w:t>
            </w:r>
          </w:p>
          <w:p w14:paraId="01CF1E3B" w14:textId="77777777" w:rsidR="00BE2C1D" w:rsidRPr="00BE2C1D" w:rsidRDefault="00BE2C1D" w:rsidP="00BE2C1D">
            <w:pPr>
              <w:spacing w:line="240" w:lineRule="auto"/>
              <w:rPr>
                <w:rFonts w:ascii="Times New Roman" w:hAnsi="Times New Roman" w:cs="Times New Roman"/>
              </w:rPr>
            </w:pPr>
          </w:p>
        </w:tc>
        <w:tc>
          <w:tcPr>
            <w:tcW w:w="2864" w:type="dxa"/>
          </w:tcPr>
          <w:p w14:paraId="01C778B5" w14:textId="77777777" w:rsidR="00BE2C1D" w:rsidRPr="00BE2C1D" w:rsidRDefault="00BE2C1D" w:rsidP="00BE2C1D">
            <w:pPr>
              <w:rPr>
                <w:rFonts w:ascii="Times New Roman" w:hAnsi="Times New Roman" w:cs="Times New Roman"/>
                <w:sz w:val="20"/>
                <w:szCs w:val="20"/>
              </w:rPr>
            </w:pPr>
            <w:r w:rsidRPr="00BE2C1D">
              <w:rPr>
                <w:rFonts w:ascii="Times New Roman" w:hAnsi="Times New Roman" w:cs="Times New Roman"/>
                <w:sz w:val="20"/>
                <w:szCs w:val="20"/>
              </w:rPr>
              <w:t>Prospective randomized controlled GH dose response study-Longitudinal</w:t>
            </w:r>
          </w:p>
          <w:p w14:paraId="5C6E75DD" w14:textId="77777777" w:rsidR="00BE2C1D" w:rsidRPr="00BE2C1D" w:rsidRDefault="00BE2C1D" w:rsidP="00BE2C1D">
            <w:pPr>
              <w:rPr>
                <w:rFonts w:ascii="Times New Roman" w:hAnsi="Times New Roman" w:cs="Times New Roman"/>
                <w:sz w:val="20"/>
                <w:szCs w:val="20"/>
              </w:rPr>
            </w:pPr>
            <w:r w:rsidRPr="00BE2C1D">
              <w:rPr>
                <w:rFonts w:ascii="Times New Roman" w:hAnsi="Times New Roman" w:cs="Times New Roman"/>
                <w:sz w:val="20"/>
                <w:szCs w:val="20"/>
              </w:rPr>
              <w:t>Sample: 36 prepubertal children (age at start, 4-10 years) were assigned to a treatment or control group (73% boys). Their parents and paediatricians also provided data.</w:t>
            </w:r>
          </w:p>
          <w:p w14:paraId="14AC87C1" w14:textId="77777777" w:rsidR="00BE2C1D" w:rsidRPr="00BE2C1D" w:rsidRDefault="00BE2C1D" w:rsidP="00BE2C1D">
            <w:pPr>
              <w:rPr>
                <w:rFonts w:ascii="Times New Roman" w:hAnsi="Times New Roman" w:cs="Times New Roman"/>
                <w:sz w:val="20"/>
                <w:szCs w:val="20"/>
              </w:rPr>
            </w:pPr>
            <w:r w:rsidRPr="00BE2C1D">
              <w:rPr>
                <w:rFonts w:ascii="Times New Roman" w:hAnsi="Times New Roman" w:cs="Times New Roman"/>
                <w:sz w:val="20"/>
                <w:szCs w:val="20"/>
              </w:rPr>
              <w:t>Methods-Tools</w:t>
            </w:r>
          </w:p>
          <w:p w14:paraId="39E0BA06" w14:textId="77777777" w:rsidR="00BE2C1D" w:rsidRPr="00BE2C1D" w:rsidRDefault="00BE2C1D" w:rsidP="00BE2C1D">
            <w:pPr>
              <w:rPr>
                <w:rFonts w:ascii="Times New Roman" w:hAnsi="Times New Roman" w:cs="Times New Roman"/>
                <w:i/>
                <w:iCs/>
                <w:color w:val="3B3838" w:themeColor="background2" w:themeShade="40"/>
                <w:sz w:val="20"/>
                <w:szCs w:val="20"/>
              </w:rPr>
            </w:pPr>
            <w:r w:rsidRPr="00BE2C1D">
              <w:rPr>
                <w:rFonts w:ascii="Times New Roman" w:hAnsi="Times New Roman" w:cs="Times New Roman"/>
                <w:i/>
                <w:iCs/>
                <w:color w:val="3B3838" w:themeColor="background2" w:themeShade="40"/>
                <w:sz w:val="20"/>
                <w:szCs w:val="20"/>
              </w:rPr>
              <w:t>Measurement of HRQOL</w:t>
            </w:r>
          </w:p>
          <w:p w14:paraId="7D4D59E2" w14:textId="77777777" w:rsidR="00BE2C1D" w:rsidRPr="00BE2C1D" w:rsidRDefault="00BE2C1D" w:rsidP="00BE2C1D">
            <w:pPr>
              <w:rPr>
                <w:rFonts w:ascii="Times New Roman" w:hAnsi="Times New Roman" w:cs="Times New Roman"/>
                <w:color w:val="3B3838" w:themeColor="background2" w:themeShade="40"/>
                <w:sz w:val="20"/>
                <w:szCs w:val="20"/>
              </w:rPr>
            </w:pPr>
            <w:r w:rsidRPr="00BE2C1D">
              <w:rPr>
                <w:rFonts w:ascii="Times New Roman" w:hAnsi="Times New Roman" w:cs="Times New Roman"/>
                <w:color w:val="3B3838" w:themeColor="background2" w:themeShade="40"/>
                <w:sz w:val="20"/>
                <w:szCs w:val="20"/>
              </w:rPr>
              <w:t>TNO-AZL Children’s Quality of Life (TACQOL) (child form)</w:t>
            </w:r>
          </w:p>
          <w:p w14:paraId="1B7E2DE9" w14:textId="77777777" w:rsidR="00BE2C1D" w:rsidRPr="00BE2C1D" w:rsidRDefault="00BE2C1D" w:rsidP="00BE2C1D">
            <w:pPr>
              <w:rPr>
                <w:rFonts w:ascii="Times New Roman" w:hAnsi="Times New Roman" w:cs="Times New Roman"/>
                <w:color w:val="3B3838" w:themeColor="background2" w:themeShade="40"/>
                <w:sz w:val="20"/>
                <w:szCs w:val="20"/>
              </w:rPr>
            </w:pPr>
            <w:r w:rsidRPr="00BE2C1D">
              <w:rPr>
                <w:rFonts w:ascii="Times New Roman" w:hAnsi="Times New Roman" w:cs="Times New Roman"/>
                <w:color w:val="3B3838" w:themeColor="background2" w:themeShade="40"/>
                <w:sz w:val="20"/>
                <w:szCs w:val="20"/>
              </w:rPr>
              <w:t>TNO-AZL Children’s Quality of Life (TACQOL) (parent form)</w:t>
            </w:r>
          </w:p>
          <w:p w14:paraId="52B41265" w14:textId="77777777" w:rsidR="00BE2C1D" w:rsidRPr="00BE2C1D" w:rsidRDefault="00BE2C1D" w:rsidP="00BE2C1D">
            <w:pPr>
              <w:rPr>
                <w:rFonts w:ascii="Times New Roman" w:hAnsi="Times New Roman" w:cs="Times New Roman"/>
                <w:i/>
                <w:iCs/>
                <w:color w:val="3B3838" w:themeColor="background2" w:themeShade="40"/>
                <w:sz w:val="20"/>
                <w:szCs w:val="20"/>
              </w:rPr>
            </w:pPr>
            <w:r w:rsidRPr="00BE2C1D">
              <w:rPr>
                <w:rFonts w:ascii="Times New Roman" w:hAnsi="Times New Roman" w:cs="Times New Roman"/>
                <w:i/>
                <w:iCs/>
                <w:color w:val="3B3838" w:themeColor="background2" w:themeShade="40"/>
                <w:sz w:val="20"/>
                <w:szCs w:val="20"/>
              </w:rPr>
              <w:t>Measurement of vitality</w:t>
            </w:r>
          </w:p>
          <w:p w14:paraId="613282DB" w14:textId="77777777" w:rsidR="00BE2C1D" w:rsidRPr="00BE2C1D" w:rsidRDefault="00BE2C1D" w:rsidP="00BE2C1D">
            <w:pPr>
              <w:rPr>
                <w:rFonts w:ascii="Times New Roman" w:hAnsi="Times New Roman" w:cs="Times New Roman"/>
                <w:color w:val="3B3838" w:themeColor="background2" w:themeShade="40"/>
                <w:sz w:val="20"/>
                <w:szCs w:val="20"/>
              </w:rPr>
            </w:pPr>
            <w:r w:rsidRPr="00BE2C1D">
              <w:rPr>
                <w:rFonts w:ascii="Times New Roman" w:hAnsi="Times New Roman" w:cs="Times New Roman"/>
                <w:color w:val="3B3838" w:themeColor="background2" w:themeShade="40"/>
                <w:sz w:val="20"/>
                <w:szCs w:val="20"/>
              </w:rPr>
              <w:t>Idiopathic Short Stature Quality of Life (ISSQOL) Questionnaire.</w:t>
            </w:r>
          </w:p>
          <w:p w14:paraId="69D3076A" w14:textId="77777777" w:rsidR="00BE2C1D" w:rsidRPr="00BE2C1D" w:rsidRDefault="00BE2C1D" w:rsidP="00BE2C1D">
            <w:pPr>
              <w:rPr>
                <w:rFonts w:ascii="Times New Roman" w:hAnsi="Times New Roman" w:cs="Times New Roman"/>
                <w:i/>
                <w:iCs/>
                <w:color w:val="3B3838" w:themeColor="background2" w:themeShade="40"/>
                <w:sz w:val="20"/>
                <w:szCs w:val="20"/>
              </w:rPr>
            </w:pPr>
            <w:r w:rsidRPr="00BE2C1D">
              <w:rPr>
                <w:rFonts w:ascii="Times New Roman" w:hAnsi="Times New Roman" w:cs="Times New Roman"/>
                <w:i/>
                <w:iCs/>
                <w:color w:val="3B3838" w:themeColor="background2" w:themeShade="40"/>
                <w:sz w:val="20"/>
                <w:szCs w:val="20"/>
              </w:rPr>
              <w:t>Aspects of children’s daily functioning</w:t>
            </w:r>
          </w:p>
          <w:p w14:paraId="5FD05103" w14:textId="77777777" w:rsidR="00BE2C1D" w:rsidRPr="00BE2C1D" w:rsidRDefault="00BE2C1D" w:rsidP="00BE2C1D">
            <w:pPr>
              <w:rPr>
                <w:rFonts w:ascii="Times New Roman" w:hAnsi="Times New Roman" w:cs="Times New Roman"/>
                <w:color w:val="3B3838" w:themeColor="background2" w:themeShade="40"/>
                <w:sz w:val="20"/>
                <w:szCs w:val="20"/>
              </w:rPr>
            </w:pPr>
            <w:r w:rsidRPr="00BE2C1D">
              <w:rPr>
                <w:rFonts w:ascii="Times New Roman" w:hAnsi="Times New Roman" w:cs="Times New Roman"/>
                <w:color w:val="3B3838" w:themeColor="background2" w:themeShade="40"/>
                <w:sz w:val="20"/>
                <w:szCs w:val="20"/>
              </w:rPr>
              <w:t>Dutch Children’s AZL/TNO  Quality of Life (DUCATQOL)Questionnaire (completed by children)</w:t>
            </w:r>
          </w:p>
          <w:p w14:paraId="55C0C252" w14:textId="77777777" w:rsidR="00BE2C1D" w:rsidRPr="00BE2C1D" w:rsidRDefault="00BE2C1D" w:rsidP="00BE2C1D">
            <w:pPr>
              <w:rPr>
                <w:rFonts w:ascii="Times New Roman" w:hAnsi="Times New Roman" w:cs="Times New Roman"/>
                <w:i/>
                <w:iCs/>
                <w:color w:val="FFD966" w:themeColor="accent4" w:themeTint="99"/>
                <w:sz w:val="20"/>
                <w:szCs w:val="20"/>
              </w:rPr>
            </w:pPr>
            <w:r w:rsidRPr="00BE2C1D">
              <w:rPr>
                <w:rFonts w:ascii="Times New Roman" w:hAnsi="Times New Roman" w:cs="Times New Roman"/>
                <w:i/>
                <w:iCs/>
                <w:color w:val="FFD966" w:themeColor="accent4" w:themeTint="99"/>
                <w:sz w:val="20"/>
                <w:szCs w:val="20"/>
              </w:rPr>
              <w:t>Self esteem</w:t>
            </w:r>
          </w:p>
          <w:p w14:paraId="5EEBA2A6" w14:textId="77777777" w:rsidR="00BE2C1D" w:rsidRPr="00BE2C1D" w:rsidRDefault="00BE2C1D" w:rsidP="00BE2C1D">
            <w:pPr>
              <w:rPr>
                <w:rFonts w:ascii="Times New Roman" w:hAnsi="Times New Roman" w:cs="Times New Roman"/>
                <w:color w:val="FFD966" w:themeColor="accent4" w:themeTint="99"/>
                <w:sz w:val="20"/>
                <w:szCs w:val="20"/>
              </w:rPr>
            </w:pPr>
            <w:r w:rsidRPr="00BE2C1D">
              <w:rPr>
                <w:rFonts w:ascii="Times New Roman" w:hAnsi="Times New Roman" w:cs="Times New Roman"/>
                <w:color w:val="FFD966" w:themeColor="accent4" w:themeTint="99"/>
                <w:sz w:val="20"/>
                <w:szCs w:val="20"/>
              </w:rPr>
              <w:t>Self-perception profile (completed by children)</w:t>
            </w:r>
          </w:p>
          <w:p w14:paraId="10CB9280" w14:textId="77777777" w:rsidR="00BE2C1D" w:rsidRPr="00BE2C1D" w:rsidRDefault="00BE2C1D" w:rsidP="00BE2C1D">
            <w:pPr>
              <w:rPr>
                <w:rFonts w:ascii="Times New Roman" w:hAnsi="Times New Roman" w:cs="Times New Roman"/>
                <w:i/>
                <w:iCs/>
                <w:sz w:val="20"/>
                <w:szCs w:val="20"/>
              </w:rPr>
            </w:pPr>
            <w:r w:rsidRPr="00BE2C1D">
              <w:rPr>
                <w:rFonts w:ascii="Times New Roman" w:hAnsi="Times New Roman" w:cs="Times New Roman"/>
                <w:i/>
                <w:iCs/>
                <w:sz w:val="20"/>
                <w:szCs w:val="20"/>
              </w:rPr>
              <w:t>Perceived Growth and Growth Expectations</w:t>
            </w:r>
          </w:p>
          <w:p w14:paraId="6CBFE3F5" w14:textId="77777777" w:rsidR="00BE2C1D" w:rsidRPr="00BE2C1D" w:rsidRDefault="00BE2C1D" w:rsidP="00BE2C1D">
            <w:pPr>
              <w:rPr>
                <w:rFonts w:ascii="Times New Roman" w:hAnsi="Times New Roman" w:cs="Times New Roman"/>
                <w:i/>
                <w:iCs/>
                <w:sz w:val="20"/>
                <w:szCs w:val="20"/>
              </w:rPr>
            </w:pPr>
            <w:r w:rsidRPr="00BE2C1D">
              <w:rPr>
                <w:rFonts w:ascii="Times New Roman" w:hAnsi="Times New Roman" w:cs="Times New Roman"/>
                <w:sz w:val="20"/>
                <w:szCs w:val="20"/>
              </w:rPr>
              <w:lastRenderedPageBreak/>
              <w:t>Therapy Evaluation Scale (TES) (completed by children and parents)</w:t>
            </w:r>
          </w:p>
          <w:p w14:paraId="18991555" w14:textId="77777777" w:rsidR="00BE2C1D" w:rsidRPr="00BE2C1D" w:rsidRDefault="00BE2C1D" w:rsidP="00BE2C1D">
            <w:pPr>
              <w:numPr>
                <w:ilvl w:val="0"/>
                <w:numId w:val="18"/>
              </w:numPr>
              <w:spacing w:after="200" w:line="276" w:lineRule="auto"/>
              <w:contextualSpacing/>
              <w:rPr>
                <w:rFonts w:ascii="Times New Roman" w:eastAsiaTheme="minorEastAsia" w:hAnsi="Times New Roman" w:cs="Times New Roman"/>
                <w:i/>
                <w:iCs/>
                <w:sz w:val="20"/>
                <w:szCs w:val="20"/>
                <w:lang w:eastAsia="zh-CN"/>
              </w:rPr>
            </w:pPr>
            <w:r w:rsidRPr="00BE2C1D">
              <w:rPr>
                <w:rFonts w:ascii="Times New Roman" w:eastAsiaTheme="minorEastAsia" w:hAnsi="Times New Roman" w:cs="Times New Roman"/>
                <w:i/>
                <w:iCs/>
                <w:sz w:val="20"/>
                <w:szCs w:val="20"/>
                <w:lang w:eastAsia="zh-CN"/>
              </w:rPr>
              <w:t>Seriousness of present medical situation</w:t>
            </w:r>
          </w:p>
          <w:p w14:paraId="43D423F0" w14:textId="77777777" w:rsidR="00BE2C1D" w:rsidRPr="00BE2C1D" w:rsidRDefault="00BE2C1D" w:rsidP="00BE2C1D">
            <w:pPr>
              <w:numPr>
                <w:ilvl w:val="0"/>
                <w:numId w:val="18"/>
              </w:numPr>
              <w:spacing w:after="200" w:line="276" w:lineRule="auto"/>
              <w:contextualSpacing/>
              <w:rPr>
                <w:rFonts w:ascii="Times New Roman" w:eastAsiaTheme="minorEastAsia" w:hAnsi="Times New Roman" w:cs="Times New Roman"/>
                <w:i/>
                <w:iCs/>
                <w:sz w:val="20"/>
                <w:szCs w:val="20"/>
                <w:lang w:eastAsia="zh-CN"/>
              </w:rPr>
            </w:pPr>
            <w:r w:rsidRPr="00BE2C1D">
              <w:rPr>
                <w:rFonts w:ascii="Times New Roman" w:eastAsiaTheme="minorEastAsia" w:hAnsi="Times New Roman" w:cs="Times New Roman"/>
                <w:i/>
                <w:iCs/>
                <w:sz w:val="20"/>
                <w:szCs w:val="20"/>
                <w:lang w:eastAsia="zh-CN"/>
              </w:rPr>
              <w:t>Distress of the child from current physical situation</w:t>
            </w:r>
          </w:p>
          <w:p w14:paraId="3C7381A8" w14:textId="77777777" w:rsidR="00BE2C1D" w:rsidRPr="00BE2C1D" w:rsidRDefault="00BE2C1D" w:rsidP="00BE2C1D">
            <w:pPr>
              <w:numPr>
                <w:ilvl w:val="0"/>
                <w:numId w:val="18"/>
              </w:numPr>
              <w:spacing w:after="200" w:line="276" w:lineRule="auto"/>
              <w:contextualSpacing/>
              <w:rPr>
                <w:rFonts w:ascii="Times New Roman" w:eastAsiaTheme="minorEastAsia" w:hAnsi="Times New Roman" w:cs="Times New Roman"/>
                <w:i/>
                <w:iCs/>
                <w:sz w:val="20"/>
                <w:szCs w:val="20"/>
                <w:lang w:eastAsia="zh-CN"/>
              </w:rPr>
            </w:pPr>
            <w:r w:rsidRPr="00BE2C1D">
              <w:rPr>
                <w:rFonts w:ascii="Times New Roman" w:eastAsiaTheme="minorEastAsia" w:hAnsi="Times New Roman" w:cs="Times New Roman"/>
                <w:i/>
                <w:iCs/>
                <w:sz w:val="20"/>
                <w:szCs w:val="20"/>
                <w:lang w:eastAsia="zh-CN"/>
              </w:rPr>
              <w:t xml:space="preserve">Distress of the child from participating in the research program. </w:t>
            </w:r>
          </w:p>
          <w:p w14:paraId="3641F135" w14:textId="77777777" w:rsidR="00BE2C1D" w:rsidRPr="00BE2C1D" w:rsidRDefault="00BE2C1D" w:rsidP="00BE2C1D">
            <w:pPr>
              <w:rPr>
                <w:rFonts w:ascii="Times New Roman" w:hAnsi="Times New Roman" w:cs="Times New Roman"/>
                <w:sz w:val="20"/>
                <w:szCs w:val="20"/>
              </w:rPr>
            </w:pPr>
            <w:r w:rsidRPr="00BE2C1D">
              <w:rPr>
                <w:rFonts w:ascii="Times New Roman" w:hAnsi="Times New Roman" w:cs="Times New Roman"/>
                <w:sz w:val="20"/>
                <w:szCs w:val="20"/>
              </w:rPr>
              <w:t>Judgement of the Pediatrician: Global HRQOL of the child.</w:t>
            </w:r>
          </w:p>
          <w:p w14:paraId="1ACF5CAB" w14:textId="77777777" w:rsidR="00BE2C1D" w:rsidRPr="00BE2C1D" w:rsidRDefault="00BE2C1D" w:rsidP="00BE2C1D">
            <w:pPr>
              <w:rPr>
                <w:rFonts w:ascii="Times New Roman" w:hAnsi="Times New Roman" w:cs="Times New Roman"/>
                <w:i/>
                <w:iCs/>
                <w:sz w:val="20"/>
                <w:szCs w:val="20"/>
              </w:rPr>
            </w:pPr>
            <w:r w:rsidRPr="00BE2C1D">
              <w:rPr>
                <w:rFonts w:ascii="Times New Roman" w:hAnsi="Times New Roman" w:cs="Times New Roman"/>
                <w:i/>
                <w:iCs/>
                <w:sz w:val="20"/>
                <w:szCs w:val="20"/>
              </w:rPr>
              <w:t>Parental Education/Changes in height</w:t>
            </w:r>
          </w:p>
          <w:p w14:paraId="2022BA81" w14:textId="77777777" w:rsidR="00BE2C1D" w:rsidRPr="00BE2C1D" w:rsidRDefault="00BE2C1D" w:rsidP="00BE2C1D">
            <w:pPr>
              <w:rPr>
                <w:rFonts w:ascii="Times New Roman" w:hAnsi="Times New Roman" w:cs="Times New Roman"/>
                <w:sz w:val="20"/>
                <w:szCs w:val="20"/>
              </w:rPr>
            </w:pPr>
            <w:r w:rsidRPr="00BE2C1D">
              <w:rPr>
                <w:rFonts w:ascii="Times New Roman" w:hAnsi="Times New Roman" w:cs="Times New Roman"/>
                <w:sz w:val="20"/>
                <w:szCs w:val="20"/>
              </w:rPr>
              <w:t>Children’s and parents’ characteristics</w:t>
            </w:r>
          </w:p>
        </w:tc>
        <w:tc>
          <w:tcPr>
            <w:tcW w:w="2135" w:type="dxa"/>
          </w:tcPr>
          <w:p w14:paraId="6F59AB0C" w14:textId="77777777" w:rsidR="00BE2C1D" w:rsidRPr="00BE2C1D" w:rsidRDefault="00BE2C1D" w:rsidP="00BE2C1D">
            <w:pPr>
              <w:rPr>
                <w:rFonts w:ascii="Times New Roman" w:hAnsi="Times New Roman" w:cs="Times New Roman"/>
                <w:color w:val="FFD966" w:themeColor="accent4" w:themeTint="99"/>
              </w:rPr>
            </w:pPr>
            <w:r w:rsidRPr="00BE2C1D">
              <w:rPr>
                <w:rFonts w:ascii="Times New Roman" w:hAnsi="Times New Roman" w:cs="Times New Roman"/>
              </w:rPr>
              <w:lastRenderedPageBreak/>
              <w:t xml:space="preserve">Children with ISS did not have a lower HRQOL and </w:t>
            </w:r>
            <w:r w:rsidRPr="00BE2C1D">
              <w:rPr>
                <w:rFonts w:ascii="Times New Roman" w:hAnsi="Times New Roman" w:cs="Times New Roman"/>
                <w:color w:val="FFD966" w:themeColor="accent4" w:themeTint="99"/>
              </w:rPr>
              <w:t>self-esteem than the norm population.</w:t>
            </w:r>
          </w:p>
          <w:p w14:paraId="5E03D070" w14:textId="77777777" w:rsidR="00BE2C1D" w:rsidRPr="00BE2C1D" w:rsidRDefault="00BE2C1D" w:rsidP="00BE2C1D">
            <w:pPr>
              <w:rPr>
                <w:rFonts w:ascii="Times New Roman" w:hAnsi="Times New Roman" w:cs="Times New Roman"/>
                <w:color w:val="538135" w:themeColor="accent6" w:themeShade="BF"/>
              </w:rPr>
            </w:pPr>
            <w:r w:rsidRPr="00BE2C1D">
              <w:rPr>
                <w:rFonts w:ascii="Times New Roman" w:hAnsi="Times New Roman" w:cs="Times New Roman"/>
                <w:color w:val="538135" w:themeColor="accent6" w:themeShade="BF"/>
              </w:rPr>
              <w:t xml:space="preserve">Social functioning was reported as lower both by children and parents. </w:t>
            </w:r>
          </w:p>
          <w:p w14:paraId="536033E0" w14:textId="77777777" w:rsidR="00BE2C1D" w:rsidRPr="00BE2C1D" w:rsidRDefault="00BE2C1D" w:rsidP="00BE2C1D">
            <w:pPr>
              <w:rPr>
                <w:rFonts w:ascii="Times New Roman" w:hAnsi="Times New Roman" w:cs="Times New Roman"/>
              </w:rPr>
            </w:pPr>
            <w:r w:rsidRPr="00BE2C1D">
              <w:rPr>
                <w:rFonts w:ascii="Times New Roman" w:hAnsi="Times New Roman" w:cs="Times New Roman"/>
                <w:b/>
              </w:rPr>
              <w:t>Only paediatricians noticed improvement of HRQOL, self- esteem, or vitality</w:t>
            </w:r>
            <w:r w:rsidRPr="00BE2C1D">
              <w:rPr>
                <w:rFonts w:ascii="Times New Roman" w:hAnsi="Times New Roman" w:cs="Times New Roman"/>
              </w:rPr>
              <w:t xml:space="preserve">. </w:t>
            </w:r>
          </w:p>
          <w:p w14:paraId="2CB2F463" w14:textId="77777777" w:rsidR="00BE2C1D" w:rsidRPr="00BE2C1D" w:rsidRDefault="00BE2C1D" w:rsidP="00BE2C1D">
            <w:pPr>
              <w:rPr>
                <w:rFonts w:ascii="Times New Roman" w:hAnsi="Times New Roman" w:cs="Times New Roman"/>
              </w:rPr>
            </w:pPr>
          </w:p>
          <w:p w14:paraId="685655E6" w14:textId="77777777" w:rsidR="00BE2C1D" w:rsidRPr="00BE2C1D" w:rsidRDefault="00BE2C1D" w:rsidP="00BE2C1D">
            <w:pPr>
              <w:rPr>
                <w:rFonts w:ascii="Times New Roman" w:hAnsi="Times New Roman" w:cs="Times New Roman"/>
              </w:rPr>
            </w:pPr>
          </w:p>
        </w:tc>
      </w:tr>
      <w:tr w:rsidR="00BE2C1D" w:rsidRPr="00BE2C1D" w14:paraId="0BF86576" w14:textId="77777777" w:rsidTr="00BE2C1D">
        <w:trPr>
          <w:trHeight w:val="4619"/>
        </w:trPr>
        <w:tc>
          <w:tcPr>
            <w:tcW w:w="1130" w:type="dxa"/>
            <w:vMerge/>
          </w:tcPr>
          <w:p w14:paraId="19E1048F" w14:textId="77777777" w:rsidR="00BE2C1D" w:rsidRPr="00BE2C1D" w:rsidRDefault="00BE2C1D" w:rsidP="00BE2C1D"/>
        </w:tc>
        <w:tc>
          <w:tcPr>
            <w:tcW w:w="2244" w:type="dxa"/>
          </w:tcPr>
          <w:p w14:paraId="6878944D" w14:textId="77777777" w:rsidR="00BE2C1D" w:rsidRPr="00BE2C1D" w:rsidRDefault="00BE2C1D" w:rsidP="00BE2C1D">
            <w:pPr>
              <w:rPr>
                <w:rFonts w:ascii="Times New Roman" w:hAnsi="Times New Roman" w:cs="Times New Roman"/>
              </w:rPr>
            </w:pPr>
            <w:r w:rsidRPr="00BE2C1D">
              <w:rPr>
                <w:rFonts w:ascii="Times New Roman" w:hAnsi="Times New Roman" w:cs="Times New Roman"/>
              </w:rPr>
              <w:t xml:space="preserve">Webb, O’Reilly, Clayden, Seunarine, Chong, Dale, Salt, Clark &amp;Dattani, 2012 (supported by the </w:t>
            </w:r>
            <w:r w:rsidRPr="00BE2C1D">
              <w:rPr>
                <w:rFonts w:ascii="Times New Roman" w:hAnsi="Times New Roman" w:cs="Times New Roman"/>
                <w:b/>
                <w:u w:val="single"/>
              </w:rPr>
              <w:t xml:space="preserve">Child Growth Foundation </w:t>
            </w:r>
            <w:r w:rsidRPr="00BE2C1D">
              <w:rPr>
                <w:rFonts w:ascii="Times New Roman" w:hAnsi="Times New Roman" w:cs="Times New Roman"/>
              </w:rPr>
              <w:t xml:space="preserve">and an unrestricted educational grant from </w:t>
            </w:r>
            <w:r w:rsidRPr="00BE2C1D">
              <w:rPr>
                <w:rFonts w:ascii="Times New Roman" w:hAnsi="Times New Roman" w:cs="Times New Roman"/>
                <w:b/>
                <w:u w:val="single"/>
              </w:rPr>
              <w:t>Novo Nordisk Ltd; Great Ormond Street Children’s Charity</w:t>
            </w:r>
            <w:r w:rsidRPr="00BE2C1D">
              <w:rPr>
                <w:rFonts w:ascii="Times New Roman" w:hAnsi="Times New Roman" w:cs="Times New Roman"/>
              </w:rPr>
              <w:t>)</w:t>
            </w:r>
          </w:p>
          <w:p w14:paraId="74DE2A35" w14:textId="77777777" w:rsidR="00BE2C1D" w:rsidRPr="00BE2C1D" w:rsidRDefault="00BE2C1D" w:rsidP="00BE2C1D">
            <w:pPr>
              <w:rPr>
                <w:rFonts w:ascii="Times New Roman" w:hAnsi="Times New Roman" w:cs="Times New Roman"/>
              </w:rPr>
            </w:pPr>
          </w:p>
          <w:p w14:paraId="0A062419" w14:textId="77777777" w:rsidR="00BE2C1D" w:rsidRPr="00BE2C1D" w:rsidRDefault="00BE2C1D" w:rsidP="00BE2C1D">
            <w:pPr>
              <w:rPr>
                <w:rFonts w:ascii="Times New Roman" w:hAnsi="Times New Roman" w:cs="Times New Roman"/>
              </w:rPr>
            </w:pPr>
          </w:p>
          <w:p w14:paraId="28A39BD7" w14:textId="77777777" w:rsidR="00BE2C1D" w:rsidRPr="00BE2C1D" w:rsidRDefault="00BE2C1D" w:rsidP="00BE2C1D">
            <w:pPr>
              <w:rPr>
                <w:rFonts w:ascii="Times New Roman" w:hAnsi="Times New Roman" w:cs="Times New Roman"/>
              </w:rPr>
            </w:pPr>
          </w:p>
          <w:p w14:paraId="279E48E5" w14:textId="77777777" w:rsidR="00BE2C1D" w:rsidRPr="00BE2C1D" w:rsidRDefault="00BE2C1D" w:rsidP="00BE2C1D">
            <w:pPr>
              <w:rPr>
                <w:rFonts w:ascii="Times New Roman" w:hAnsi="Times New Roman" w:cs="Times New Roman"/>
              </w:rPr>
            </w:pPr>
          </w:p>
          <w:p w14:paraId="7E5F3F19" w14:textId="77777777" w:rsidR="00BE2C1D" w:rsidRPr="00BE2C1D" w:rsidRDefault="00BE2C1D" w:rsidP="00BE2C1D">
            <w:pPr>
              <w:rPr>
                <w:rFonts w:ascii="Times New Roman" w:hAnsi="Times New Roman" w:cs="Times New Roman"/>
              </w:rPr>
            </w:pPr>
          </w:p>
          <w:p w14:paraId="27048DFB" w14:textId="77777777" w:rsidR="00BE2C1D" w:rsidRPr="00BE2C1D" w:rsidRDefault="00BE2C1D" w:rsidP="00BE2C1D">
            <w:pPr>
              <w:rPr>
                <w:rFonts w:ascii="Times New Roman" w:hAnsi="Times New Roman" w:cs="Times New Roman"/>
              </w:rPr>
            </w:pPr>
          </w:p>
          <w:p w14:paraId="74C79F3C" w14:textId="77777777" w:rsidR="00BE2C1D" w:rsidRPr="00BE2C1D" w:rsidRDefault="00BE2C1D" w:rsidP="00BE2C1D">
            <w:pPr>
              <w:rPr>
                <w:rFonts w:ascii="Times New Roman" w:hAnsi="Times New Roman" w:cs="Times New Roman"/>
              </w:rPr>
            </w:pPr>
          </w:p>
          <w:p w14:paraId="2934C4D2" w14:textId="77777777" w:rsidR="00BE2C1D" w:rsidRPr="00BE2C1D" w:rsidRDefault="00BE2C1D" w:rsidP="00BE2C1D">
            <w:pPr>
              <w:rPr>
                <w:rFonts w:ascii="Times New Roman" w:hAnsi="Times New Roman" w:cs="Times New Roman"/>
              </w:rPr>
            </w:pPr>
          </w:p>
          <w:p w14:paraId="686F8839" w14:textId="77777777" w:rsidR="00BE2C1D" w:rsidRPr="00BE2C1D" w:rsidRDefault="00BE2C1D" w:rsidP="00BE2C1D">
            <w:pPr>
              <w:rPr>
                <w:rFonts w:ascii="Times New Roman" w:hAnsi="Times New Roman" w:cs="Times New Roman"/>
              </w:rPr>
            </w:pPr>
          </w:p>
          <w:p w14:paraId="19C9EE0B" w14:textId="77777777" w:rsidR="00BE2C1D" w:rsidRPr="00BE2C1D" w:rsidRDefault="00BE2C1D" w:rsidP="00BE2C1D">
            <w:pPr>
              <w:rPr>
                <w:rFonts w:ascii="Times New Roman" w:hAnsi="Times New Roman" w:cs="Times New Roman"/>
              </w:rPr>
            </w:pPr>
          </w:p>
          <w:p w14:paraId="72BDCEB8" w14:textId="77777777" w:rsidR="00BE2C1D" w:rsidRPr="00BE2C1D" w:rsidRDefault="00BE2C1D" w:rsidP="00BE2C1D">
            <w:pPr>
              <w:rPr>
                <w:rFonts w:ascii="Times New Roman" w:hAnsi="Times New Roman" w:cs="Times New Roman"/>
              </w:rPr>
            </w:pPr>
          </w:p>
          <w:p w14:paraId="76B067EB" w14:textId="77777777" w:rsidR="00BE2C1D" w:rsidRPr="00BE2C1D" w:rsidRDefault="00BE2C1D" w:rsidP="00BE2C1D">
            <w:pPr>
              <w:rPr>
                <w:rFonts w:ascii="Times New Roman" w:hAnsi="Times New Roman" w:cs="Times New Roman"/>
              </w:rPr>
            </w:pPr>
          </w:p>
          <w:p w14:paraId="688FA4F8" w14:textId="77777777" w:rsidR="00BE2C1D" w:rsidRPr="00BE2C1D" w:rsidRDefault="00BE2C1D" w:rsidP="00BE2C1D">
            <w:pPr>
              <w:rPr>
                <w:rFonts w:ascii="Times New Roman" w:hAnsi="Times New Roman" w:cs="Times New Roman"/>
              </w:rPr>
            </w:pPr>
          </w:p>
          <w:p w14:paraId="69B8AF02" w14:textId="77777777" w:rsidR="00BE2C1D" w:rsidRPr="00BE2C1D" w:rsidRDefault="00BE2C1D" w:rsidP="00BE2C1D">
            <w:pPr>
              <w:rPr>
                <w:rFonts w:ascii="Times New Roman" w:hAnsi="Times New Roman" w:cs="Times New Roman"/>
              </w:rPr>
            </w:pPr>
          </w:p>
          <w:p w14:paraId="6D1ED5A9" w14:textId="77777777" w:rsidR="00BE2C1D" w:rsidRPr="00BE2C1D" w:rsidRDefault="00BE2C1D" w:rsidP="00BE2C1D">
            <w:pPr>
              <w:rPr>
                <w:rFonts w:ascii="Times New Roman" w:hAnsi="Times New Roman" w:cs="Times New Roman"/>
              </w:rPr>
            </w:pPr>
          </w:p>
          <w:p w14:paraId="52F7B0D9" w14:textId="77777777" w:rsidR="00BE2C1D" w:rsidRPr="00BE2C1D" w:rsidRDefault="00BE2C1D" w:rsidP="00BE2C1D">
            <w:pPr>
              <w:rPr>
                <w:rFonts w:ascii="Times New Roman" w:hAnsi="Times New Roman" w:cs="Times New Roman"/>
              </w:rPr>
            </w:pPr>
          </w:p>
          <w:p w14:paraId="034869CD" w14:textId="77777777" w:rsidR="00BE2C1D" w:rsidRPr="00BE2C1D" w:rsidRDefault="00BE2C1D" w:rsidP="00BE2C1D">
            <w:pPr>
              <w:rPr>
                <w:rFonts w:ascii="Times New Roman" w:hAnsi="Times New Roman" w:cs="Times New Roman"/>
              </w:rPr>
            </w:pPr>
          </w:p>
          <w:p w14:paraId="0C0F7F58" w14:textId="77777777" w:rsidR="00BE2C1D" w:rsidRPr="00BE2C1D" w:rsidRDefault="00BE2C1D" w:rsidP="00BE2C1D">
            <w:pPr>
              <w:rPr>
                <w:rFonts w:ascii="Times New Roman" w:hAnsi="Times New Roman" w:cs="Times New Roman"/>
              </w:rPr>
            </w:pPr>
          </w:p>
          <w:p w14:paraId="49950A58" w14:textId="77777777" w:rsidR="00BE2C1D" w:rsidRPr="00BE2C1D" w:rsidRDefault="00BE2C1D" w:rsidP="00BE2C1D">
            <w:pPr>
              <w:rPr>
                <w:rFonts w:ascii="Times New Roman" w:hAnsi="Times New Roman" w:cs="Times New Roman"/>
              </w:rPr>
            </w:pPr>
          </w:p>
          <w:p w14:paraId="75BAA55A" w14:textId="77777777" w:rsidR="00BE2C1D" w:rsidRPr="00BE2C1D" w:rsidRDefault="00BE2C1D" w:rsidP="00BE2C1D">
            <w:pPr>
              <w:rPr>
                <w:rFonts w:ascii="Times New Roman" w:hAnsi="Times New Roman" w:cs="Times New Roman"/>
              </w:rPr>
            </w:pPr>
          </w:p>
          <w:p w14:paraId="146664FC" w14:textId="77777777" w:rsidR="00BE2C1D" w:rsidRPr="00BE2C1D" w:rsidRDefault="00BE2C1D" w:rsidP="00BE2C1D">
            <w:pPr>
              <w:rPr>
                <w:rFonts w:ascii="Times New Roman" w:hAnsi="Times New Roman" w:cs="Times New Roman"/>
              </w:rPr>
            </w:pPr>
          </w:p>
          <w:p w14:paraId="373CD19E" w14:textId="77777777" w:rsidR="00BE2C1D" w:rsidRPr="00BE2C1D" w:rsidRDefault="00BE2C1D" w:rsidP="00BE2C1D">
            <w:pPr>
              <w:rPr>
                <w:rFonts w:ascii="Times New Roman" w:hAnsi="Times New Roman" w:cs="Times New Roman"/>
              </w:rPr>
            </w:pPr>
          </w:p>
          <w:p w14:paraId="33426B79" w14:textId="77777777" w:rsidR="00BE2C1D" w:rsidRPr="00BE2C1D" w:rsidRDefault="00BE2C1D" w:rsidP="00BE2C1D">
            <w:pPr>
              <w:rPr>
                <w:rFonts w:ascii="Times New Roman" w:hAnsi="Times New Roman" w:cs="Times New Roman"/>
              </w:rPr>
            </w:pPr>
          </w:p>
          <w:p w14:paraId="1621C8F7" w14:textId="77777777" w:rsidR="00BE2C1D" w:rsidRPr="00BE2C1D" w:rsidRDefault="00BE2C1D" w:rsidP="00BE2C1D">
            <w:pPr>
              <w:rPr>
                <w:rFonts w:ascii="Times New Roman" w:hAnsi="Times New Roman" w:cs="Times New Roman"/>
              </w:rPr>
            </w:pPr>
          </w:p>
          <w:p w14:paraId="29277490" w14:textId="77777777" w:rsidR="00BE2C1D" w:rsidRPr="00BE2C1D" w:rsidRDefault="00BE2C1D" w:rsidP="00BE2C1D"/>
        </w:tc>
        <w:tc>
          <w:tcPr>
            <w:tcW w:w="2175" w:type="dxa"/>
          </w:tcPr>
          <w:p w14:paraId="69AF8111" w14:textId="77777777" w:rsidR="00BE2C1D" w:rsidRPr="00BE2C1D" w:rsidRDefault="00BE2C1D" w:rsidP="00BE2C1D">
            <w:pPr>
              <w:spacing w:line="240" w:lineRule="auto"/>
              <w:rPr>
                <w:rFonts w:ascii="Times New Roman" w:hAnsi="Times New Roman" w:cs="Times New Roman"/>
              </w:rPr>
            </w:pPr>
            <w:r w:rsidRPr="00BE2C1D">
              <w:rPr>
                <w:rFonts w:ascii="Times New Roman" w:hAnsi="Times New Roman" w:cs="Times New Roman"/>
              </w:rPr>
              <w:lastRenderedPageBreak/>
              <w:t>Brain</w:t>
            </w:r>
          </w:p>
          <w:p w14:paraId="0CF75154" w14:textId="77777777" w:rsidR="00BE2C1D" w:rsidRPr="00BE2C1D" w:rsidRDefault="00BE2C1D" w:rsidP="00BE2C1D">
            <w:pPr>
              <w:spacing w:line="240" w:lineRule="auto"/>
              <w:rPr>
                <w:rFonts w:ascii="Times New Roman" w:hAnsi="Times New Roman" w:cs="Times New Roman"/>
                <w:i/>
              </w:rPr>
            </w:pPr>
            <w:r w:rsidRPr="00BE2C1D">
              <w:rPr>
                <w:rFonts w:ascii="Times New Roman" w:hAnsi="Times New Roman" w:cs="Times New Roman"/>
                <w:i/>
              </w:rPr>
              <w:t xml:space="preserve">Effect of growth hormone deficiency on </w:t>
            </w:r>
            <w:r w:rsidRPr="00BE2C1D">
              <w:rPr>
                <w:rFonts w:ascii="Times New Roman" w:hAnsi="Times New Roman" w:cs="Times New Roman"/>
                <w:i/>
                <w:color w:val="FF0000"/>
              </w:rPr>
              <w:t>brain structure, motor function and cognition</w:t>
            </w:r>
            <w:r w:rsidRPr="00BE2C1D">
              <w:rPr>
                <w:rFonts w:ascii="Times New Roman" w:hAnsi="Times New Roman" w:cs="Times New Roman"/>
                <w:i/>
              </w:rPr>
              <w:t>.</w:t>
            </w:r>
          </w:p>
          <w:p w14:paraId="06F7C96D" w14:textId="77777777" w:rsidR="00BE2C1D" w:rsidRPr="00BE2C1D" w:rsidRDefault="00BE2C1D" w:rsidP="00BE2C1D">
            <w:pPr>
              <w:spacing w:line="240" w:lineRule="auto"/>
              <w:rPr>
                <w:rFonts w:ascii="Times New Roman" w:hAnsi="Times New Roman" w:cs="Times New Roman"/>
                <w:i/>
              </w:rPr>
            </w:pPr>
          </w:p>
          <w:p w14:paraId="6AF72021" w14:textId="77777777" w:rsidR="00BE2C1D" w:rsidRPr="00BE2C1D" w:rsidRDefault="00BE2C1D" w:rsidP="00BE2C1D">
            <w:pPr>
              <w:spacing w:line="240" w:lineRule="auto"/>
              <w:rPr>
                <w:rFonts w:ascii="Times New Roman" w:hAnsi="Times New Roman" w:cs="Times New Roman"/>
                <w:i/>
              </w:rPr>
            </w:pPr>
          </w:p>
          <w:p w14:paraId="25988169" w14:textId="77777777" w:rsidR="00BE2C1D" w:rsidRPr="00BE2C1D" w:rsidRDefault="00BE2C1D" w:rsidP="00BE2C1D">
            <w:pPr>
              <w:spacing w:line="240" w:lineRule="auto"/>
              <w:rPr>
                <w:rFonts w:ascii="Times New Roman" w:hAnsi="Times New Roman" w:cs="Times New Roman"/>
                <w:i/>
              </w:rPr>
            </w:pPr>
          </w:p>
          <w:p w14:paraId="66A95084" w14:textId="77777777" w:rsidR="00BE2C1D" w:rsidRPr="00BE2C1D" w:rsidRDefault="00BE2C1D" w:rsidP="00BE2C1D">
            <w:pPr>
              <w:spacing w:line="240" w:lineRule="auto"/>
              <w:rPr>
                <w:rFonts w:ascii="Times New Roman" w:hAnsi="Times New Roman" w:cs="Times New Roman"/>
                <w:i/>
              </w:rPr>
            </w:pPr>
          </w:p>
          <w:p w14:paraId="0882BAB6" w14:textId="77777777" w:rsidR="00BE2C1D" w:rsidRPr="00BE2C1D" w:rsidRDefault="00BE2C1D" w:rsidP="00BE2C1D">
            <w:pPr>
              <w:spacing w:line="240" w:lineRule="auto"/>
              <w:rPr>
                <w:rFonts w:ascii="Times New Roman" w:hAnsi="Times New Roman" w:cs="Times New Roman"/>
                <w:i/>
              </w:rPr>
            </w:pPr>
          </w:p>
          <w:p w14:paraId="1A419B08" w14:textId="77777777" w:rsidR="00BE2C1D" w:rsidRPr="00BE2C1D" w:rsidRDefault="00BE2C1D" w:rsidP="00BE2C1D">
            <w:pPr>
              <w:spacing w:line="240" w:lineRule="auto"/>
              <w:rPr>
                <w:rFonts w:ascii="Times New Roman" w:hAnsi="Times New Roman" w:cs="Times New Roman"/>
                <w:i/>
              </w:rPr>
            </w:pPr>
          </w:p>
          <w:p w14:paraId="61E53D3F" w14:textId="77777777" w:rsidR="00BE2C1D" w:rsidRPr="00BE2C1D" w:rsidRDefault="00BE2C1D" w:rsidP="00BE2C1D">
            <w:pPr>
              <w:spacing w:line="240" w:lineRule="auto"/>
              <w:rPr>
                <w:rFonts w:ascii="Times New Roman" w:hAnsi="Times New Roman" w:cs="Times New Roman"/>
              </w:rPr>
            </w:pPr>
          </w:p>
        </w:tc>
        <w:tc>
          <w:tcPr>
            <w:tcW w:w="2864" w:type="dxa"/>
          </w:tcPr>
          <w:p w14:paraId="326B94B2" w14:textId="77777777" w:rsidR="00BE2C1D" w:rsidRPr="00BE2C1D" w:rsidRDefault="00BE2C1D" w:rsidP="00BE2C1D">
            <w:pPr>
              <w:rPr>
                <w:rFonts w:ascii="Times New Roman" w:hAnsi="Times New Roman" w:cs="Times New Roman"/>
                <w:sz w:val="20"/>
                <w:szCs w:val="20"/>
              </w:rPr>
            </w:pPr>
            <w:r w:rsidRPr="00BE2C1D">
              <w:rPr>
                <w:rFonts w:ascii="Times New Roman" w:hAnsi="Times New Roman" w:cs="Times New Roman"/>
                <w:sz w:val="20"/>
                <w:szCs w:val="20"/>
              </w:rPr>
              <w:t xml:space="preserve">Sample: 15 children with isolated growth hormone deficiency (mean 8.8 years of age) and 14 </w:t>
            </w:r>
            <w:r w:rsidRPr="00BE2C1D">
              <w:rPr>
                <w:rFonts w:ascii="Times New Roman" w:hAnsi="Times New Roman" w:cs="Times New Roman"/>
                <w:color w:val="FF0000"/>
                <w:sz w:val="20"/>
                <w:szCs w:val="20"/>
              </w:rPr>
              <w:t xml:space="preserve">controls </w:t>
            </w:r>
            <w:r w:rsidRPr="00BE2C1D">
              <w:rPr>
                <w:rFonts w:ascii="Times New Roman" w:hAnsi="Times New Roman" w:cs="Times New Roman"/>
                <w:sz w:val="20"/>
                <w:szCs w:val="20"/>
              </w:rPr>
              <w:t>with idiopathic short stature and normal growth rate (mean 8.4 years of age).</w:t>
            </w:r>
          </w:p>
          <w:p w14:paraId="64343F56" w14:textId="77777777" w:rsidR="00BE2C1D" w:rsidRPr="00BE2C1D" w:rsidRDefault="00BE2C1D" w:rsidP="00BE2C1D">
            <w:pPr>
              <w:rPr>
                <w:rFonts w:ascii="Times New Roman" w:hAnsi="Times New Roman" w:cs="Times New Roman"/>
                <w:sz w:val="20"/>
                <w:szCs w:val="20"/>
              </w:rPr>
            </w:pPr>
            <w:r w:rsidRPr="00BE2C1D">
              <w:rPr>
                <w:rFonts w:ascii="Times New Roman" w:hAnsi="Times New Roman" w:cs="Times New Roman"/>
                <w:sz w:val="20"/>
                <w:szCs w:val="20"/>
              </w:rPr>
              <w:t>Methods-Tools</w:t>
            </w:r>
          </w:p>
          <w:p w14:paraId="436EBBCE" w14:textId="77777777" w:rsidR="00BE2C1D" w:rsidRPr="00BE2C1D" w:rsidRDefault="00BE2C1D" w:rsidP="00BE2C1D">
            <w:pPr>
              <w:rPr>
                <w:rFonts w:ascii="Times New Roman" w:hAnsi="Times New Roman" w:cs="Times New Roman"/>
                <w:i/>
                <w:iCs/>
                <w:color w:val="8496B0" w:themeColor="text2" w:themeTint="99"/>
                <w:sz w:val="20"/>
                <w:szCs w:val="20"/>
              </w:rPr>
            </w:pPr>
            <w:r w:rsidRPr="00BE2C1D">
              <w:rPr>
                <w:rFonts w:ascii="Times New Roman" w:hAnsi="Times New Roman" w:cs="Times New Roman"/>
                <w:i/>
                <w:iCs/>
                <w:color w:val="8496B0" w:themeColor="text2" w:themeTint="99"/>
                <w:sz w:val="20"/>
                <w:szCs w:val="20"/>
              </w:rPr>
              <w:t>Behavioural Assessment</w:t>
            </w:r>
          </w:p>
          <w:p w14:paraId="0A27A774" w14:textId="77777777" w:rsidR="00BE2C1D" w:rsidRPr="00BE2C1D" w:rsidRDefault="00BE2C1D" w:rsidP="00BE2C1D">
            <w:pPr>
              <w:rPr>
                <w:rFonts w:ascii="Times New Roman" w:hAnsi="Times New Roman" w:cs="Times New Roman"/>
                <w:color w:val="8496B0" w:themeColor="text2" w:themeTint="99"/>
                <w:sz w:val="20"/>
                <w:szCs w:val="20"/>
              </w:rPr>
            </w:pPr>
            <w:r w:rsidRPr="00BE2C1D">
              <w:rPr>
                <w:rFonts w:ascii="Times New Roman" w:hAnsi="Times New Roman" w:cs="Times New Roman"/>
                <w:color w:val="8496B0" w:themeColor="text2" w:themeTint="99"/>
                <w:sz w:val="20"/>
                <w:szCs w:val="20"/>
              </w:rPr>
              <w:t>Achenbach child behaviour checklist (completed by parents)</w:t>
            </w:r>
          </w:p>
          <w:p w14:paraId="2E4FC9E9" w14:textId="77777777" w:rsidR="00BE2C1D" w:rsidRPr="00BE2C1D" w:rsidRDefault="00BE2C1D" w:rsidP="00BE2C1D">
            <w:pPr>
              <w:rPr>
                <w:rFonts w:ascii="Times New Roman" w:hAnsi="Times New Roman" w:cs="Times New Roman"/>
                <w:i/>
                <w:iCs/>
                <w:color w:val="525252" w:themeColor="accent3" w:themeShade="80"/>
                <w:sz w:val="20"/>
                <w:szCs w:val="20"/>
              </w:rPr>
            </w:pPr>
            <w:r w:rsidRPr="00BE2C1D">
              <w:rPr>
                <w:rFonts w:ascii="Times New Roman" w:hAnsi="Times New Roman" w:cs="Times New Roman"/>
                <w:i/>
                <w:iCs/>
                <w:color w:val="525252" w:themeColor="accent3" w:themeShade="80"/>
                <w:sz w:val="20"/>
                <w:szCs w:val="20"/>
              </w:rPr>
              <w:t>Cognitive Assessment</w:t>
            </w:r>
          </w:p>
          <w:p w14:paraId="4601AF09" w14:textId="77777777" w:rsidR="00BE2C1D" w:rsidRPr="00BE2C1D" w:rsidRDefault="00BE2C1D" w:rsidP="00BE2C1D">
            <w:pPr>
              <w:numPr>
                <w:ilvl w:val="0"/>
                <w:numId w:val="20"/>
              </w:numPr>
              <w:spacing w:after="200" w:line="276" w:lineRule="auto"/>
              <w:contextualSpacing/>
              <w:rPr>
                <w:rFonts w:ascii="Times New Roman" w:eastAsiaTheme="minorEastAsia" w:hAnsi="Times New Roman" w:cs="Times New Roman"/>
                <w:i/>
                <w:iCs/>
                <w:color w:val="525252" w:themeColor="accent3" w:themeShade="80"/>
                <w:sz w:val="20"/>
                <w:szCs w:val="20"/>
                <w:lang w:eastAsia="zh-CN"/>
              </w:rPr>
            </w:pPr>
            <w:r w:rsidRPr="00BE2C1D">
              <w:rPr>
                <w:rFonts w:ascii="Times New Roman" w:eastAsiaTheme="minorEastAsia" w:hAnsi="Times New Roman" w:cs="Times New Roman"/>
                <w:i/>
                <w:iCs/>
                <w:color w:val="525252" w:themeColor="accent3" w:themeShade="80"/>
                <w:sz w:val="20"/>
                <w:szCs w:val="20"/>
                <w:lang w:eastAsia="zh-CN"/>
              </w:rPr>
              <w:t xml:space="preserve">Neuromotor function </w:t>
            </w:r>
          </w:p>
          <w:p w14:paraId="49A4B95F" w14:textId="77777777" w:rsidR="00BE2C1D" w:rsidRPr="00BE2C1D" w:rsidRDefault="00BE2C1D" w:rsidP="00BE2C1D">
            <w:pPr>
              <w:rPr>
                <w:rFonts w:ascii="Times New Roman" w:hAnsi="Times New Roman" w:cs="Times New Roman"/>
                <w:color w:val="525252" w:themeColor="accent3" w:themeShade="80"/>
                <w:sz w:val="20"/>
                <w:szCs w:val="20"/>
              </w:rPr>
            </w:pPr>
            <w:r w:rsidRPr="00BE2C1D">
              <w:rPr>
                <w:rFonts w:ascii="Times New Roman" w:hAnsi="Times New Roman" w:cs="Times New Roman"/>
                <w:color w:val="525252" w:themeColor="accent3" w:themeShade="80"/>
                <w:sz w:val="20"/>
                <w:szCs w:val="20"/>
              </w:rPr>
              <w:t xml:space="preserve"> Movement-Assessment Battery for Children 2</w:t>
            </w:r>
            <w:r w:rsidRPr="00BE2C1D">
              <w:rPr>
                <w:rFonts w:ascii="Times New Roman" w:hAnsi="Times New Roman" w:cs="Times New Roman"/>
                <w:color w:val="525252" w:themeColor="accent3" w:themeShade="80"/>
                <w:sz w:val="20"/>
                <w:szCs w:val="20"/>
                <w:vertAlign w:val="superscript"/>
              </w:rPr>
              <w:t>nd</w:t>
            </w:r>
            <w:r w:rsidRPr="00BE2C1D">
              <w:rPr>
                <w:rFonts w:ascii="Times New Roman" w:hAnsi="Times New Roman" w:cs="Times New Roman"/>
                <w:color w:val="525252" w:themeColor="accent3" w:themeShade="80"/>
                <w:sz w:val="20"/>
                <w:szCs w:val="20"/>
              </w:rPr>
              <w:t xml:space="preserve"> edition.</w:t>
            </w:r>
          </w:p>
          <w:p w14:paraId="4F6847D4" w14:textId="77777777" w:rsidR="00BE2C1D" w:rsidRPr="00BE2C1D" w:rsidRDefault="00BE2C1D" w:rsidP="00BE2C1D">
            <w:pPr>
              <w:numPr>
                <w:ilvl w:val="0"/>
                <w:numId w:val="20"/>
              </w:numPr>
              <w:spacing w:after="200" w:line="276" w:lineRule="auto"/>
              <w:contextualSpacing/>
              <w:rPr>
                <w:rFonts w:ascii="Times New Roman" w:eastAsiaTheme="minorEastAsia" w:hAnsi="Times New Roman" w:cs="Times New Roman"/>
                <w:i/>
                <w:iCs/>
                <w:color w:val="525252" w:themeColor="accent3" w:themeShade="80"/>
                <w:lang w:eastAsia="zh-CN"/>
              </w:rPr>
            </w:pPr>
            <w:r w:rsidRPr="00BE2C1D">
              <w:rPr>
                <w:rFonts w:ascii="Times New Roman" w:eastAsiaTheme="minorEastAsia" w:hAnsi="Times New Roman" w:cs="Times New Roman"/>
                <w:i/>
                <w:iCs/>
                <w:color w:val="525252" w:themeColor="accent3" w:themeShade="80"/>
                <w:sz w:val="20"/>
                <w:szCs w:val="20"/>
                <w:lang w:eastAsia="zh-CN"/>
              </w:rPr>
              <w:t>Intellectual functioning</w:t>
            </w:r>
          </w:p>
          <w:p w14:paraId="6E987371" w14:textId="77777777" w:rsidR="00BE2C1D" w:rsidRPr="00BE2C1D" w:rsidRDefault="00BE2C1D" w:rsidP="00BE2C1D">
            <w:pPr>
              <w:rPr>
                <w:rFonts w:ascii="Times New Roman" w:hAnsi="Times New Roman" w:cs="Times New Roman"/>
                <w:color w:val="525252" w:themeColor="accent3" w:themeShade="80"/>
                <w:sz w:val="20"/>
                <w:szCs w:val="20"/>
              </w:rPr>
            </w:pPr>
            <w:r w:rsidRPr="00BE2C1D">
              <w:rPr>
                <w:rFonts w:ascii="Times New Roman" w:hAnsi="Times New Roman" w:cs="Times New Roman"/>
                <w:color w:val="525252" w:themeColor="accent3" w:themeShade="80"/>
                <w:sz w:val="20"/>
                <w:szCs w:val="20"/>
              </w:rPr>
              <w:t>Full Wechsler Intelligence Scales for Children 4</w:t>
            </w:r>
            <w:r w:rsidRPr="00BE2C1D">
              <w:rPr>
                <w:rFonts w:ascii="Times New Roman" w:hAnsi="Times New Roman" w:cs="Times New Roman"/>
                <w:color w:val="525252" w:themeColor="accent3" w:themeShade="80"/>
                <w:sz w:val="20"/>
                <w:szCs w:val="20"/>
                <w:vertAlign w:val="superscript"/>
              </w:rPr>
              <w:t>th</w:t>
            </w:r>
            <w:r w:rsidRPr="00BE2C1D">
              <w:rPr>
                <w:rFonts w:ascii="Times New Roman" w:hAnsi="Times New Roman" w:cs="Times New Roman"/>
                <w:color w:val="525252" w:themeColor="accent3" w:themeShade="80"/>
                <w:sz w:val="20"/>
                <w:szCs w:val="20"/>
              </w:rPr>
              <w:t xml:space="preserve"> Edition (WISC-IV)</w:t>
            </w:r>
          </w:p>
          <w:p w14:paraId="6991B7AD" w14:textId="77777777" w:rsidR="00BE2C1D" w:rsidRPr="00BE2C1D" w:rsidRDefault="00BE2C1D" w:rsidP="00BE2C1D">
            <w:pPr>
              <w:rPr>
                <w:rFonts w:ascii="Times New Roman" w:hAnsi="Times New Roman" w:cs="Times New Roman"/>
                <w:color w:val="525252" w:themeColor="accent3" w:themeShade="80"/>
                <w:sz w:val="20"/>
                <w:szCs w:val="20"/>
              </w:rPr>
            </w:pPr>
            <w:r w:rsidRPr="00BE2C1D">
              <w:rPr>
                <w:rFonts w:ascii="Times New Roman" w:hAnsi="Times New Roman" w:cs="Times New Roman"/>
                <w:color w:val="525252" w:themeColor="accent3" w:themeShade="80"/>
                <w:sz w:val="20"/>
                <w:szCs w:val="20"/>
              </w:rPr>
              <w:t xml:space="preserve">Full-Scale IQ, Verbal Comprehension Index, Perceptual Reasoning Index, Working Memory and Processing Speed Indices were calculated. </w:t>
            </w:r>
          </w:p>
          <w:p w14:paraId="16404AFB" w14:textId="77777777" w:rsidR="00BE2C1D" w:rsidRPr="00BE2C1D" w:rsidRDefault="00BE2C1D" w:rsidP="00BE2C1D">
            <w:pPr>
              <w:rPr>
                <w:rFonts w:ascii="Times New Roman" w:hAnsi="Times New Roman" w:cs="Times New Roman"/>
                <w:color w:val="525252" w:themeColor="accent3" w:themeShade="80"/>
                <w:sz w:val="20"/>
                <w:szCs w:val="20"/>
              </w:rPr>
            </w:pPr>
            <w:r w:rsidRPr="00BE2C1D">
              <w:rPr>
                <w:rFonts w:ascii="Times New Roman" w:hAnsi="Times New Roman" w:cs="Times New Roman"/>
                <w:color w:val="525252" w:themeColor="accent3" w:themeShade="80"/>
                <w:sz w:val="20"/>
                <w:szCs w:val="20"/>
              </w:rPr>
              <w:t>Wechsler Preschool and Primary Scale of Intelligence 3</w:t>
            </w:r>
            <w:r w:rsidRPr="00BE2C1D">
              <w:rPr>
                <w:rFonts w:ascii="Times New Roman" w:hAnsi="Times New Roman" w:cs="Times New Roman"/>
                <w:color w:val="525252" w:themeColor="accent3" w:themeShade="80"/>
                <w:sz w:val="20"/>
                <w:szCs w:val="20"/>
                <w:vertAlign w:val="superscript"/>
              </w:rPr>
              <w:t>rd</w:t>
            </w:r>
            <w:r w:rsidRPr="00BE2C1D">
              <w:rPr>
                <w:rFonts w:ascii="Times New Roman" w:hAnsi="Times New Roman" w:cs="Times New Roman"/>
                <w:color w:val="525252" w:themeColor="accent3" w:themeShade="80"/>
                <w:sz w:val="20"/>
                <w:szCs w:val="20"/>
              </w:rPr>
              <w:t xml:space="preserve"> Edition (WPPSI-III UK).</w:t>
            </w:r>
          </w:p>
          <w:p w14:paraId="3B893E93" w14:textId="77777777" w:rsidR="00BE2C1D" w:rsidRPr="00BE2C1D" w:rsidRDefault="00BE2C1D" w:rsidP="00BE2C1D">
            <w:pPr>
              <w:rPr>
                <w:rFonts w:ascii="Times New Roman" w:hAnsi="Times New Roman" w:cs="Times New Roman"/>
                <w:i/>
                <w:iCs/>
                <w:color w:val="525252" w:themeColor="accent3" w:themeShade="80"/>
                <w:sz w:val="20"/>
                <w:szCs w:val="20"/>
              </w:rPr>
            </w:pPr>
            <w:r w:rsidRPr="00BE2C1D">
              <w:rPr>
                <w:rFonts w:ascii="Times New Roman" w:hAnsi="Times New Roman" w:cs="Times New Roman"/>
                <w:i/>
                <w:iCs/>
                <w:color w:val="525252" w:themeColor="accent3" w:themeShade="80"/>
                <w:sz w:val="20"/>
                <w:szCs w:val="20"/>
              </w:rPr>
              <w:lastRenderedPageBreak/>
              <w:t>Memory, attention and executive function</w:t>
            </w:r>
          </w:p>
          <w:p w14:paraId="1B325A82" w14:textId="77777777" w:rsidR="00BE2C1D" w:rsidRPr="00BE2C1D" w:rsidRDefault="00BE2C1D" w:rsidP="00BE2C1D">
            <w:pPr>
              <w:rPr>
                <w:rFonts w:ascii="Times New Roman" w:hAnsi="Times New Roman" w:cs="Times New Roman"/>
                <w:color w:val="525252" w:themeColor="accent3" w:themeShade="80"/>
                <w:sz w:val="20"/>
                <w:szCs w:val="20"/>
              </w:rPr>
            </w:pPr>
            <w:r w:rsidRPr="00BE2C1D">
              <w:rPr>
                <w:rFonts w:ascii="Times New Roman" w:hAnsi="Times New Roman" w:cs="Times New Roman"/>
                <w:color w:val="525252" w:themeColor="accent3" w:themeShade="80"/>
                <w:sz w:val="20"/>
                <w:szCs w:val="20"/>
              </w:rPr>
              <w:t>Comprehensive Battery of tests</w:t>
            </w:r>
          </w:p>
          <w:p w14:paraId="75C6DD2D" w14:textId="77777777" w:rsidR="00BE2C1D" w:rsidRPr="00BE2C1D" w:rsidRDefault="00BE2C1D" w:rsidP="00BE2C1D">
            <w:pPr>
              <w:rPr>
                <w:rFonts w:ascii="Times New Roman" w:hAnsi="Times New Roman" w:cs="Times New Roman"/>
                <w:color w:val="525252" w:themeColor="accent3" w:themeShade="80"/>
                <w:sz w:val="20"/>
                <w:szCs w:val="20"/>
              </w:rPr>
            </w:pPr>
            <w:r w:rsidRPr="00BE2C1D">
              <w:rPr>
                <w:rFonts w:ascii="Times New Roman" w:hAnsi="Times New Roman" w:cs="Times New Roman"/>
                <w:color w:val="525252" w:themeColor="accent3" w:themeShade="80"/>
                <w:sz w:val="20"/>
                <w:szCs w:val="20"/>
              </w:rPr>
              <w:t xml:space="preserve">Memory for faces, Memory for names, Narrative Memory and List memory from the NEPSY-II (a Developmental NEuroPSYchological Assessment battery), Pattern Recognition Memorym Spatial working Memory and Paired associate learning tests from the Cambridge Neuro-psychological test automated battery (CANTAB). </w:t>
            </w:r>
          </w:p>
          <w:p w14:paraId="69201123" w14:textId="77777777" w:rsidR="00BE2C1D" w:rsidRPr="00BE2C1D" w:rsidRDefault="00BE2C1D" w:rsidP="00BE2C1D">
            <w:pPr>
              <w:rPr>
                <w:rFonts w:ascii="Times New Roman" w:hAnsi="Times New Roman" w:cs="Times New Roman"/>
                <w:sz w:val="20"/>
                <w:szCs w:val="20"/>
              </w:rPr>
            </w:pPr>
            <w:r w:rsidRPr="00BE2C1D">
              <w:rPr>
                <w:rFonts w:ascii="Times New Roman" w:hAnsi="Times New Roman" w:cs="Times New Roman"/>
                <w:color w:val="525252" w:themeColor="accent3" w:themeShade="80"/>
                <w:sz w:val="20"/>
                <w:szCs w:val="20"/>
              </w:rPr>
              <w:t xml:space="preserve">Attention and executive function: Big/little circe, Intra-dimensional extra dimensional set shift, Rapid visual information processing tests from CANTAB and the Inhibition and word generation tests from the NEPSY-II battery.  </w:t>
            </w:r>
            <w:r w:rsidRPr="00BE2C1D">
              <w:rPr>
                <w:rFonts w:ascii="Times New Roman" w:hAnsi="Times New Roman" w:cs="Times New Roman"/>
                <w:sz w:val="20"/>
                <w:szCs w:val="20"/>
              </w:rPr>
              <w:t xml:space="preserve"> </w:t>
            </w:r>
          </w:p>
        </w:tc>
        <w:tc>
          <w:tcPr>
            <w:tcW w:w="2135" w:type="dxa"/>
          </w:tcPr>
          <w:p w14:paraId="0E3E6D6B" w14:textId="77777777" w:rsidR="00BE2C1D" w:rsidRPr="00BE2C1D" w:rsidRDefault="00BE2C1D" w:rsidP="00BE2C1D">
            <w:pPr>
              <w:rPr>
                <w:rFonts w:ascii="Times New Roman" w:hAnsi="Times New Roman" w:cs="Times New Roman"/>
              </w:rPr>
            </w:pPr>
            <w:r w:rsidRPr="00BE2C1D">
              <w:rPr>
                <w:rFonts w:ascii="Times New Roman" w:hAnsi="Times New Roman" w:cs="Times New Roman"/>
              </w:rPr>
              <w:lastRenderedPageBreak/>
              <w:t xml:space="preserve">Children with isolated growth hormone deficiency had </w:t>
            </w:r>
            <w:r w:rsidRPr="00BE2C1D">
              <w:rPr>
                <w:rFonts w:ascii="Times New Roman" w:hAnsi="Times New Roman" w:cs="Times New Roman"/>
                <w:color w:val="525252" w:themeColor="accent3" w:themeShade="80"/>
              </w:rPr>
              <w:t>lower Full-Scale IQ, Verbal Comprehension Index, Processing Speed Index and Movement-Assessment Battery for Children.</w:t>
            </w:r>
            <w:r w:rsidRPr="00BE2C1D">
              <w:rPr>
                <w:rFonts w:ascii="Times New Roman" w:hAnsi="Times New Roman" w:cs="Times New Roman"/>
              </w:rPr>
              <w:t xml:space="preserve"> </w:t>
            </w:r>
          </w:p>
        </w:tc>
      </w:tr>
      <w:tr w:rsidR="00BE2C1D" w:rsidRPr="00BE2C1D" w14:paraId="3BD93BA1" w14:textId="77777777" w:rsidTr="00BE2C1D">
        <w:trPr>
          <w:trHeight w:val="13315"/>
        </w:trPr>
        <w:tc>
          <w:tcPr>
            <w:tcW w:w="1130" w:type="dxa"/>
            <w:vMerge/>
          </w:tcPr>
          <w:p w14:paraId="53590D33" w14:textId="77777777" w:rsidR="00BE2C1D" w:rsidRPr="00BE2C1D" w:rsidRDefault="00BE2C1D" w:rsidP="00BE2C1D"/>
        </w:tc>
        <w:tc>
          <w:tcPr>
            <w:tcW w:w="2244" w:type="dxa"/>
          </w:tcPr>
          <w:p w14:paraId="1A5C333F" w14:textId="77777777" w:rsidR="00BE2C1D" w:rsidRPr="00BE2C1D" w:rsidRDefault="00BE2C1D" w:rsidP="00BE2C1D">
            <w:pPr>
              <w:rPr>
                <w:rFonts w:ascii="Times New Roman" w:hAnsi="Times New Roman" w:cs="Times New Roman"/>
              </w:rPr>
            </w:pPr>
            <w:r w:rsidRPr="00BE2C1D">
              <w:rPr>
                <w:rFonts w:ascii="Times New Roman" w:hAnsi="Times New Roman" w:cs="Times New Roman"/>
              </w:rPr>
              <w:t>Voss, 2000</w:t>
            </w:r>
          </w:p>
          <w:p w14:paraId="5E26C9EF" w14:textId="77777777" w:rsidR="00BE2C1D" w:rsidRPr="00BE2C1D" w:rsidRDefault="00BE2C1D" w:rsidP="00BE2C1D">
            <w:pPr>
              <w:rPr>
                <w:rFonts w:ascii="Times New Roman" w:hAnsi="Times New Roman" w:cs="Times New Roman"/>
              </w:rPr>
            </w:pPr>
          </w:p>
          <w:p w14:paraId="111DABB2" w14:textId="77777777" w:rsidR="00BE2C1D" w:rsidRPr="00BE2C1D" w:rsidRDefault="00BE2C1D" w:rsidP="00BE2C1D">
            <w:pPr>
              <w:rPr>
                <w:rFonts w:ascii="Times New Roman" w:hAnsi="Times New Roman" w:cs="Times New Roman"/>
              </w:rPr>
            </w:pPr>
          </w:p>
          <w:p w14:paraId="3A508549" w14:textId="77777777" w:rsidR="00BE2C1D" w:rsidRPr="00BE2C1D" w:rsidRDefault="00BE2C1D" w:rsidP="00BE2C1D">
            <w:pPr>
              <w:rPr>
                <w:rFonts w:ascii="Times New Roman" w:hAnsi="Times New Roman" w:cs="Times New Roman"/>
              </w:rPr>
            </w:pPr>
          </w:p>
          <w:p w14:paraId="3E160F25" w14:textId="77777777" w:rsidR="00BE2C1D" w:rsidRPr="00BE2C1D" w:rsidRDefault="00BE2C1D" w:rsidP="00BE2C1D">
            <w:pPr>
              <w:rPr>
                <w:rFonts w:ascii="Times New Roman" w:hAnsi="Times New Roman" w:cs="Times New Roman"/>
              </w:rPr>
            </w:pPr>
          </w:p>
          <w:p w14:paraId="6F4FDF2C" w14:textId="77777777" w:rsidR="00BE2C1D" w:rsidRPr="00BE2C1D" w:rsidRDefault="00BE2C1D" w:rsidP="00BE2C1D">
            <w:pPr>
              <w:rPr>
                <w:rFonts w:ascii="Times New Roman" w:hAnsi="Times New Roman" w:cs="Times New Roman"/>
              </w:rPr>
            </w:pPr>
          </w:p>
          <w:p w14:paraId="663187EE" w14:textId="77777777" w:rsidR="00BE2C1D" w:rsidRPr="00BE2C1D" w:rsidRDefault="00BE2C1D" w:rsidP="00BE2C1D">
            <w:pPr>
              <w:rPr>
                <w:rFonts w:ascii="Times New Roman" w:hAnsi="Times New Roman" w:cs="Times New Roman"/>
              </w:rPr>
            </w:pPr>
          </w:p>
          <w:p w14:paraId="15389380" w14:textId="77777777" w:rsidR="00BE2C1D" w:rsidRPr="00BE2C1D" w:rsidRDefault="00BE2C1D" w:rsidP="00BE2C1D">
            <w:pPr>
              <w:rPr>
                <w:rFonts w:ascii="Times New Roman" w:hAnsi="Times New Roman" w:cs="Times New Roman"/>
              </w:rPr>
            </w:pPr>
          </w:p>
          <w:p w14:paraId="367F4767" w14:textId="77777777" w:rsidR="00BE2C1D" w:rsidRPr="00BE2C1D" w:rsidRDefault="00BE2C1D" w:rsidP="00BE2C1D">
            <w:pPr>
              <w:rPr>
                <w:rFonts w:ascii="Times New Roman" w:hAnsi="Times New Roman" w:cs="Times New Roman"/>
              </w:rPr>
            </w:pPr>
          </w:p>
          <w:p w14:paraId="4BE31335" w14:textId="77777777" w:rsidR="00BE2C1D" w:rsidRPr="00BE2C1D" w:rsidRDefault="00BE2C1D" w:rsidP="00BE2C1D">
            <w:pPr>
              <w:rPr>
                <w:rFonts w:ascii="Times New Roman" w:hAnsi="Times New Roman" w:cs="Times New Roman"/>
              </w:rPr>
            </w:pPr>
          </w:p>
          <w:p w14:paraId="6164BB75" w14:textId="77777777" w:rsidR="00BE2C1D" w:rsidRPr="00BE2C1D" w:rsidRDefault="00BE2C1D" w:rsidP="00BE2C1D">
            <w:pPr>
              <w:rPr>
                <w:rFonts w:ascii="Times New Roman" w:hAnsi="Times New Roman" w:cs="Times New Roman"/>
              </w:rPr>
            </w:pPr>
          </w:p>
          <w:p w14:paraId="70786439" w14:textId="77777777" w:rsidR="00BE2C1D" w:rsidRPr="00BE2C1D" w:rsidRDefault="00BE2C1D" w:rsidP="00BE2C1D">
            <w:pPr>
              <w:rPr>
                <w:rFonts w:ascii="Times New Roman" w:hAnsi="Times New Roman" w:cs="Times New Roman"/>
              </w:rPr>
            </w:pPr>
          </w:p>
          <w:p w14:paraId="55A9CE0D" w14:textId="77777777" w:rsidR="00BE2C1D" w:rsidRPr="00BE2C1D" w:rsidRDefault="00BE2C1D" w:rsidP="00BE2C1D">
            <w:pPr>
              <w:rPr>
                <w:rFonts w:ascii="Times New Roman" w:hAnsi="Times New Roman" w:cs="Times New Roman"/>
              </w:rPr>
            </w:pPr>
          </w:p>
          <w:p w14:paraId="6E529F90" w14:textId="77777777" w:rsidR="00BE2C1D" w:rsidRPr="00BE2C1D" w:rsidRDefault="00BE2C1D" w:rsidP="00BE2C1D">
            <w:pPr>
              <w:rPr>
                <w:rFonts w:ascii="Times New Roman" w:hAnsi="Times New Roman" w:cs="Times New Roman"/>
              </w:rPr>
            </w:pPr>
          </w:p>
          <w:p w14:paraId="72C04528" w14:textId="77777777" w:rsidR="00BE2C1D" w:rsidRPr="00BE2C1D" w:rsidRDefault="00BE2C1D" w:rsidP="00BE2C1D">
            <w:pPr>
              <w:rPr>
                <w:rFonts w:ascii="Times New Roman" w:hAnsi="Times New Roman" w:cs="Times New Roman"/>
              </w:rPr>
            </w:pPr>
          </w:p>
          <w:p w14:paraId="5529F475" w14:textId="77777777" w:rsidR="00BE2C1D" w:rsidRPr="00BE2C1D" w:rsidRDefault="00BE2C1D" w:rsidP="00BE2C1D">
            <w:pPr>
              <w:rPr>
                <w:rFonts w:ascii="Times New Roman" w:hAnsi="Times New Roman" w:cs="Times New Roman"/>
              </w:rPr>
            </w:pPr>
          </w:p>
          <w:p w14:paraId="4594201E" w14:textId="77777777" w:rsidR="00BE2C1D" w:rsidRPr="00BE2C1D" w:rsidRDefault="00BE2C1D" w:rsidP="00BE2C1D">
            <w:pPr>
              <w:rPr>
                <w:rFonts w:ascii="Times New Roman" w:hAnsi="Times New Roman" w:cs="Times New Roman"/>
              </w:rPr>
            </w:pPr>
          </w:p>
          <w:p w14:paraId="5EA10327" w14:textId="77777777" w:rsidR="00BE2C1D" w:rsidRPr="00BE2C1D" w:rsidRDefault="00BE2C1D" w:rsidP="00BE2C1D">
            <w:pPr>
              <w:rPr>
                <w:rFonts w:ascii="Times New Roman" w:hAnsi="Times New Roman" w:cs="Times New Roman"/>
              </w:rPr>
            </w:pPr>
          </w:p>
          <w:p w14:paraId="6202CA5B" w14:textId="77777777" w:rsidR="00BE2C1D" w:rsidRPr="00BE2C1D" w:rsidRDefault="00BE2C1D" w:rsidP="00BE2C1D">
            <w:pPr>
              <w:rPr>
                <w:rFonts w:ascii="Times New Roman" w:hAnsi="Times New Roman" w:cs="Times New Roman"/>
              </w:rPr>
            </w:pPr>
          </w:p>
          <w:p w14:paraId="2019E113" w14:textId="77777777" w:rsidR="00BE2C1D" w:rsidRPr="00BE2C1D" w:rsidRDefault="00BE2C1D" w:rsidP="00BE2C1D">
            <w:pPr>
              <w:rPr>
                <w:rFonts w:ascii="Times New Roman" w:hAnsi="Times New Roman" w:cs="Times New Roman"/>
              </w:rPr>
            </w:pPr>
          </w:p>
          <w:p w14:paraId="1BDC4B7B" w14:textId="77777777" w:rsidR="00BE2C1D" w:rsidRPr="00BE2C1D" w:rsidRDefault="00BE2C1D" w:rsidP="00BE2C1D">
            <w:pPr>
              <w:rPr>
                <w:rFonts w:ascii="Times New Roman" w:hAnsi="Times New Roman" w:cs="Times New Roman"/>
              </w:rPr>
            </w:pPr>
          </w:p>
          <w:p w14:paraId="6D485C49" w14:textId="77777777" w:rsidR="00BE2C1D" w:rsidRPr="00BE2C1D" w:rsidRDefault="00BE2C1D" w:rsidP="00BE2C1D">
            <w:pPr>
              <w:rPr>
                <w:rFonts w:ascii="Times New Roman" w:hAnsi="Times New Roman" w:cs="Times New Roman"/>
              </w:rPr>
            </w:pPr>
          </w:p>
          <w:p w14:paraId="0C095BFA" w14:textId="77777777" w:rsidR="00BE2C1D" w:rsidRPr="00BE2C1D" w:rsidRDefault="00BE2C1D" w:rsidP="00BE2C1D">
            <w:pPr>
              <w:rPr>
                <w:rFonts w:ascii="Times New Roman" w:hAnsi="Times New Roman" w:cs="Times New Roman"/>
              </w:rPr>
            </w:pPr>
          </w:p>
          <w:p w14:paraId="5E1A383F" w14:textId="77777777" w:rsidR="00BE2C1D" w:rsidRPr="00BE2C1D" w:rsidRDefault="00BE2C1D" w:rsidP="00BE2C1D">
            <w:pPr>
              <w:rPr>
                <w:rFonts w:ascii="Times New Roman" w:hAnsi="Times New Roman" w:cs="Times New Roman"/>
              </w:rPr>
            </w:pPr>
          </w:p>
          <w:p w14:paraId="2EECAC18" w14:textId="77777777" w:rsidR="00BE2C1D" w:rsidRPr="00BE2C1D" w:rsidRDefault="00BE2C1D" w:rsidP="00BE2C1D">
            <w:pPr>
              <w:rPr>
                <w:rFonts w:ascii="Times New Roman" w:hAnsi="Times New Roman" w:cs="Times New Roman"/>
              </w:rPr>
            </w:pPr>
          </w:p>
        </w:tc>
        <w:tc>
          <w:tcPr>
            <w:tcW w:w="2175" w:type="dxa"/>
          </w:tcPr>
          <w:p w14:paraId="4892DB14" w14:textId="77777777" w:rsidR="00BE2C1D" w:rsidRPr="00BE2C1D" w:rsidRDefault="00BE2C1D" w:rsidP="00BE2C1D">
            <w:pPr>
              <w:spacing w:line="240" w:lineRule="auto"/>
              <w:rPr>
                <w:rFonts w:ascii="Times New Roman" w:hAnsi="Times New Roman" w:cs="Times New Roman"/>
              </w:rPr>
            </w:pPr>
            <w:r w:rsidRPr="00BE2C1D">
              <w:rPr>
                <w:rFonts w:ascii="Times New Roman" w:hAnsi="Times New Roman" w:cs="Times New Roman"/>
              </w:rPr>
              <w:t>JPed.</w:t>
            </w:r>
          </w:p>
          <w:p w14:paraId="44EB573F" w14:textId="77777777" w:rsidR="00BE2C1D" w:rsidRPr="00BE2C1D" w:rsidRDefault="00BE2C1D" w:rsidP="00BE2C1D">
            <w:pPr>
              <w:spacing w:line="240" w:lineRule="auto"/>
              <w:rPr>
                <w:rFonts w:ascii="Times New Roman" w:hAnsi="Times New Roman" w:cs="Times New Roman"/>
                <w:i/>
              </w:rPr>
            </w:pPr>
            <w:r w:rsidRPr="00BE2C1D">
              <w:rPr>
                <w:rFonts w:ascii="Times New Roman" w:hAnsi="Times New Roman" w:cs="Times New Roman"/>
                <w:i/>
              </w:rPr>
              <w:t xml:space="preserve">Growth Hormone Therapy for the </w:t>
            </w:r>
            <w:r w:rsidRPr="00BE2C1D">
              <w:rPr>
                <w:rFonts w:ascii="Times New Roman" w:hAnsi="Times New Roman" w:cs="Times New Roman"/>
                <w:i/>
                <w:color w:val="FF0000"/>
              </w:rPr>
              <w:t>short normal child</w:t>
            </w:r>
            <w:r w:rsidRPr="00BE2C1D">
              <w:rPr>
                <w:rFonts w:ascii="Times New Roman" w:hAnsi="Times New Roman" w:cs="Times New Roman"/>
                <w:i/>
              </w:rPr>
              <w:t>: Who needs it and who wants it? The case against growth hormone therapy.</w:t>
            </w:r>
          </w:p>
          <w:p w14:paraId="137EE295" w14:textId="77777777" w:rsidR="00BE2C1D" w:rsidRPr="00BE2C1D" w:rsidRDefault="00BE2C1D" w:rsidP="00BE2C1D">
            <w:pPr>
              <w:spacing w:line="240" w:lineRule="auto"/>
              <w:rPr>
                <w:rFonts w:ascii="Times New Roman" w:hAnsi="Times New Roman" w:cs="Times New Roman"/>
              </w:rPr>
            </w:pPr>
          </w:p>
          <w:p w14:paraId="05C727AD" w14:textId="77777777" w:rsidR="00BE2C1D" w:rsidRPr="00BE2C1D" w:rsidRDefault="00BE2C1D" w:rsidP="00BE2C1D">
            <w:pPr>
              <w:spacing w:line="240" w:lineRule="auto"/>
              <w:rPr>
                <w:rFonts w:ascii="Times New Roman" w:hAnsi="Times New Roman" w:cs="Times New Roman"/>
              </w:rPr>
            </w:pPr>
          </w:p>
          <w:p w14:paraId="4449DE81" w14:textId="77777777" w:rsidR="00BE2C1D" w:rsidRPr="00BE2C1D" w:rsidRDefault="00BE2C1D" w:rsidP="00BE2C1D">
            <w:pPr>
              <w:spacing w:line="240" w:lineRule="auto"/>
              <w:rPr>
                <w:rFonts w:ascii="Times New Roman" w:hAnsi="Times New Roman" w:cs="Times New Roman"/>
              </w:rPr>
            </w:pPr>
          </w:p>
          <w:p w14:paraId="60E9DFB7" w14:textId="77777777" w:rsidR="00BE2C1D" w:rsidRPr="00BE2C1D" w:rsidRDefault="00BE2C1D" w:rsidP="00BE2C1D">
            <w:pPr>
              <w:spacing w:line="240" w:lineRule="auto"/>
              <w:rPr>
                <w:rFonts w:ascii="Times New Roman" w:hAnsi="Times New Roman" w:cs="Times New Roman"/>
              </w:rPr>
            </w:pPr>
          </w:p>
          <w:p w14:paraId="07385C0E" w14:textId="77777777" w:rsidR="00BE2C1D" w:rsidRPr="00BE2C1D" w:rsidRDefault="00BE2C1D" w:rsidP="00BE2C1D">
            <w:pPr>
              <w:spacing w:line="240" w:lineRule="auto"/>
              <w:rPr>
                <w:rFonts w:ascii="Times New Roman" w:hAnsi="Times New Roman" w:cs="Times New Roman"/>
              </w:rPr>
            </w:pPr>
          </w:p>
          <w:p w14:paraId="18304022" w14:textId="77777777" w:rsidR="00BE2C1D" w:rsidRPr="00BE2C1D" w:rsidRDefault="00BE2C1D" w:rsidP="00BE2C1D">
            <w:pPr>
              <w:spacing w:line="240" w:lineRule="auto"/>
              <w:rPr>
                <w:rFonts w:ascii="Times New Roman" w:hAnsi="Times New Roman" w:cs="Times New Roman"/>
              </w:rPr>
            </w:pPr>
          </w:p>
          <w:p w14:paraId="0E1910ED" w14:textId="77777777" w:rsidR="00BE2C1D" w:rsidRPr="00BE2C1D" w:rsidRDefault="00BE2C1D" w:rsidP="00BE2C1D">
            <w:pPr>
              <w:spacing w:line="240" w:lineRule="auto"/>
              <w:rPr>
                <w:rFonts w:ascii="Times New Roman" w:hAnsi="Times New Roman" w:cs="Times New Roman"/>
              </w:rPr>
            </w:pPr>
          </w:p>
          <w:p w14:paraId="72AB0CE4" w14:textId="77777777" w:rsidR="00BE2C1D" w:rsidRPr="00BE2C1D" w:rsidRDefault="00BE2C1D" w:rsidP="00BE2C1D">
            <w:pPr>
              <w:spacing w:line="240" w:lineRule="auto"/>
              <w:rPr>
                <w:rFonts w:ascii="Times New Roman" w:hAnsi="Times New Roman" w:cs="Times New Roman"/>
              </w:rPr>
            </w:pPr>
          </w:p>
          <w:p w14:paraId="271A7AE5" w14:textId="77777777" w:rsidR="00BE2C1D" w:rsidRPr="00BE2C1D" w:rsidRDefault="00BE2C1D" w:rsidP="00BE2C1D">
            <w:pPr>
              <w:spacing w:line="240" w:lineRule="auto"/>
              <w:rPr>
                <w:rFonts w:ascii="Times New Roman" w:hAnsi="Times New Roman" w:cs="Times New Roman"/>
              </w:rPr>
            </w:pPr>
          </w:p>
          <w:p w14:paraId="3DE9649B" w14:textId="77777777" w:rsidR="00BE2C1D" w:rsidRPr="00BE2C1D" w:rsidRDefault="00BE2C1D" w:rsidP="00BE2C1D">
            <w:pPr>
              <w:spacing w:line="240" w:lineRule="auto"/>
              <w:rPr>
                <w:rFonts w:ascii="Times New Roman" w:hAnsi="Times New Roman" w:cs="Times New Roman"/>
              </w:rPr>
            </w:pPr>
          </w:p>
          <w:p w14:paraId="3DC557BD" w14:textId="77777777" w:rsidR="00BE2C1D" w:rsidRPr="00BE2C1D" w:rsidRDefault="00BE2C1D" w:rsidP="00BE2C1D">
            <w:pPr>
              <w:spacing w:line="240" w:lineRule="auto"/>
              <w:rPr>
                <w:rFonts w:ascii="Times New Roman" w:hAnsi="Times New Roman" w:cs="Times New Roman"/>
              </w:rPr>
            </w:pPr>
          </w:p>
          <w:p w14:paraId="56C3C7CC" w14:textId="77777777" w:rsidR="00BE2C1D" w:rsidRPr="00BE2C1D" w:rsidRDefault="00BE2C1D" w:rsidP="00BE2C1D">
            <w:pPr>
              <w:spacing w:line="240" w:lineRule="auto"/>
              <w:rPr>
                <w:rFonts w:ascii="Times New Roman" w:hAnsi="Times New Roman" w:cs="Times New Roman"/>
              </w:rPr>
            </w:pPr>
          </w:p>
          <w:p w14:paraId="2FD4CAA8" w14:textId="77777777" w:rsidR="00BE2C1D" w:rsidRPr="00BE2C1D" w:rsidRDefault="00BE2C1D" w:rsidP="00BE2C1D">
            <w:pPr>
              <w:spacing w:line="240" w:lineRule="auto"/>
              <w:rPr>
                <w:rFonts w:ascii="Times New Roman" w:hAnsi="Times New Roman" w:cs="Times New Roman"/>
              </w:rPr>
            </w:pPr>
          </w:p>
          <w:p w14:paraId="116F57F1" w14:textId="77777777" w:rsidR="00BE2C1D" w:rsidRPr="00BE2C1D" w:rsidRDefault="00BE2C1D" w:rsidP="00BE2C1D">
            <w:pPr>
              <w:spacing w:line="240" w:lineRule="auto"/>
              <w:rPr>
                <w:rFonts w:ascii="Times New Roman" w:hAnsi="Times New Roman" w:cs="Times New Roman"/>
              </w:rPr>
            </w:pPr>
          </w:p>
          <w:p w14:paraId="778D61E8" w14:textId="77777777" w:rsidR="00BE2C1D" w:rsidRPr="00BE2C1D" w:rsidRDefault="00BE2C1D" w:rsidP="00BE2C1D">
            <w:pPr>
              <w:spacing w:line="240" w:lineRule="auto"/>
              <w:rPr>
                <w:rFonts w:ascii="Times New Roman" w:hAnsi="Times New Roman" w:cs="Times New Roman"/>
              </w:rPr>
            </w:pPr>
          </w:p>
          <w:p w14:paraId="05F20BAD" w14:textId="77777777" w:rsidR="00BE2C1D" w:rsidRPr="00BE2C1D" w:rsidRDefault="00BE2C1D" w:rsidP="00BE2C1D">
            <w:pPr>
              <w:spacing w:line="240" w:lineRule="auto"/>
              <w:rPr>
                <w:rFonts w:ascii="Times New Roman" w:hAnsi="Times New Roman" w:cs="Times New Roman"/>
              </w:rPr>
            </w:pPr>
          </w:p>
          <w:p w14:paraId="31B6B235" w14:textId="77777777" w:rsidR="00BE2C1D" w:rsidRPr="00BE2C1D" w:rsidRDefault="00BE2C1D" w:rsidP="00BE2C1D">
            <w:pPr>
              <w:spacing w:line="240" w:lineRule="auto"/>
              <w:rPr>
                <w:rFonts w:ascii="Times New Roman" w:hAnsi="Times New Roman" w:cs="Times New Roman"/>
              </w:rPr>
            </w:pPr>
          </w:p>
          <w:p w14:paraId="48DF643C" w14:textId="77777777" w:rsidR="00BE2C1D" w:rsidRPr="00BE2C1D" w:rsidRDefault="00BE2C1D" w:rsidP="00BE2C1D">
            <w:pPr>
              <w:spacing w:line="240" w:lineRule="auto"/>
              <w:rPr>
                <w:rFonts w:ascii="Times New Roman" w:hAnsi="Times New Roman" w:cs="Times New Roman"/>
              </w:rPr>
            </w:pPr>
          </w:p>
          <w:p w14:paraId="3D15287D" w14:textId="77777777" w:rsidR="00BE2C1D" w:rsidRPr="00BE2C1D" w:rsidRDefault="00BE2C1D" w:rsidP="00BE2C1D">
            <w:pPr>
              <w:spacing w:line="240" w:lineRule="auto"/>
              <w:rPr>
                <w:rFonts w:ascii="Times New Roman" w:hAnsi="Times New Roman" w:cs="Times New Roman"/>
              </w:rPr>
            </w:pPr>
          </w:p>
          <w:p w14:paraId="6FBF2351" w14:textId="77777777" w:rsidR="00BE2C1D" w:rsidRPr="00BE2C1D" w:rsidRDefault="00BE2C1D" w:rsidP="00BE2C1D">
            <w:pPr>
              <w:spacing w:line="240" w:lineRule="auto"/>
              <w:rPr>
                <w:rFonts w:ascii="Times New Roman" w:hAnsi="Times New Roman" w:cs="Times New Roman"/>
              </w:rPr>
            </w:pPr>
          </w:p>
          <w:p w14:paraId="12BAC773" w14:textId="77777777" w:rsidR="00BE2C1D" w:rsidRPr="00BE2C1D" w:rsidRDefault="00BE2C1D" w:rsidP="00BE2C1D">
            <w:pPr>
              <w:spacing w:line="240" w:lineRule="auto"/>
              <w:rPr>
                <w:rFonts w:ascii="Times New Roman" w:hAnsi="Times New Roman" w:cs="Times New Roman"/>
              </w:rPr>
            </w:pPr>
          </w:p>
        </w:tc>
        <w:tc>
          <w:tcPr>
            <w:tcW w:w="2864" w:type="dxa"/>
          </w:tcPr>
          <w:p w14:paraId="22824558" w14:textId="77777777" w:rsidR="00BE2C1D" w:rsidRPr="00BE2C1D" w:rsidRDefault="00BE2C1D" w:rsidP="00BE2C1D">
            <w:pPr>
              <w:rPr>
                <w:rFonts w:ascii="Times New Roman" w:hAnsi="Times New Roman" w:cs="Times New Roman"/>
              </w:rPr>
            </w:pPr>
            <w:r w:rsidRPr="00BE2C1D">
              <w:rPr>
                <w:rFonts w:ascii="Times New Roman" w:hAnsi="Times New Roman" w:cs="Times New Roman"/>
              </w:rPr>
              <w:t>Argument-based</w:t>
            </w:r>
          </w:p>
        </w:tc>
        <w:tc>
          <w:tcPr>
            <w:tcW w:w="2135" w:type="dxa"/>
          </w:tcPr>
          <w:p w14:paraId="7AAB0E24" w14:textId="77777777" w:rsidR="00BE2C1D" w:rsidRPr="00BE2C1D" w:rsidRDefault="00BE2C1D" w:rsidP="00BE2C1D">
            <w:pPr>
              <w:rPr>
                <w:rFonts w:ascii="Times New Roman" w:hAnsi="Times New Roman" w:cs="Times New Roman"/>
                <w:i/>
              </w:rPr>
            </w:pPr>
            <w:r w:rsidRPr="00BE2C1D">
              <w:rPr>
                <w:rFonts w:ascii="Times New Roman" w:hAnsi="Times New Roman" w:cs="Times New Roman"/>
                <w:i/>
              </w:rPr>
              <w:t>Auxological argument:</w:t>
            </w:r>
          </w:p>
          <w:p w14:paraId="0F4A7EBB" w14:textId="77777777" w:rsidR="00BE2C1D" w:rsidRPr="00BE2C1D" w:rsidRDefault="00BE2C1D" w:rsidP="00BE2C1D">
            <w:pPr>
              <w:rPr>
                <w:rFonts w:ascii="Times New Roman" w:hAnsi="Times New Roman" w:cs="Times New Roman"/>
              </w:rPr>
            </w:pPr>
            <w:r w:rsidRPr="00BE2C1D">
              <w:rPr>
                <w:rFonts w:ascii="Times New Roman" w:hAnsi="Times New Roman" w:cs="Times New Roman"/>
              </w:rPr>
              <w:t>How is human growth “insufficiency” defined?</w:t>
            </w:r>
          </w:p>
          <w:p w14:paraId="37EC84F4" w14:textId="77777777" w:rsidR="00BE2C1D" w:rsidRPr="00BE2C1D" w:rsidRDefault="00BE2C1D" w:rsidP="00BE2C1D">
            <w:pPr>
              <w:rPr>
                <w:rFonts w:ascii="Times New Roman" w:hAnsi="Times New Roman" w:cs="Times New Roman"/>
              </w:rPr>
            </w:pPr>
            <w:r w:rsidRPr="00BE2C1D">
              <w:rPr>
                <w:rFonts w:ascii="Times New Roman" w:hAnsi="Times New Roman" w:cs="Times New Roman"/>
              </w:rPr>
              <w:t>How is poor rate of growth/height velocity defined?</w:t>
            </w:r>
          </w:p>
          <w:p w14:paraId="07B56740" w14:textId="77777777" w:rsidR="00BE2C1D" w:rsidRPr="00BE2C1D" w:rsidRDefault="00BE2C1D" w:rsidP="00BE2C1D">
            <w:pPr>
              <w:rPr>
                <w:rFonts w:ascii="Times New Roman" w:hAnsi="Times New Roman" w:cs="Times New Roman"/>
                <w:i/>
              </w:rPr>
            </w:pPr>
            <w:r w:rsidRPr="00BE2C1D">
              <w:rPr>
                <w:rFonts w:ascii="Times New Roman" w:hAnsi="Times New Roman" w:cs="Times New Roman"/>
                <w:i/>
              </w:rPr>
              <w:t>Psychologic argument:</w:t>
            </w:r>
          </w:p>
          <w:p w14:paraId="5546B739" w14:textId="77777777" w:rsidR="00BE2C1D" w:rsidRPr="00BE2C1D" w:rsidRDefault="00BE2C1D" w:rsidP="00BE2C1D">
            <w:pPr>
              <w:rPr>
                <w:rFonts w:ascii="Times New Roman" w:hAnsi="Times New Roman" w:cs="Times New Roman"/>
              </w:rPr>
            </w:pPr>
            <w:r w:rsidRPr="00BE2C1D">
              <w:rPr>
                <w:rFonts w:ascii="Times New Roman" w:hAnsi="Times New Roman" w:cs="Times New Roman"/>
              </w:rPr>
              <w:t>Does short stature really lead to difficulties in psychosocial and cognitive functioning?</w:t>
            </w:r>
          </w:p>
          <w:p w14:paraId="14EFEFA9" w14:textId="77777777" w:rsidR="00BE2C1D" w:rsidRPr="00BE2C1D" w:rsidRDefault="00BE2C1D" w:rsidP="00BE2C1D">
            <w:pPr>
              <w:rPr>
                <w:rFonts w:ascii="Times New Roman" w:hAnsi="Times New Roman" w:cs="Times New Roman"/>
                <w:i/>
              </w:rPr>
            </w:pPr>
            <w:r w:rsidRPr="00BE2C1D">
              <w:rPr>
                <w:rFonts w:ascii="Times New Roman" w:hAnsi="Times New Roman" w:cs="Times New Roman"/>
                <w:i/>
              </w:rPr>
              <w:t>Parental Pressures:</w:t>
            </w:r>
          </w:p>
          <w:p w14:paraId="53C9D3BA" w14:textId="77777777" w:rsidR="00BE2C1D" w:rsidRPr="00BE2C1D" w:rsidRDefault="00BE2C1D" w:rsidP="00BE2C1D">
            <w:pPr>
              <w:rPr>
                <w:rFonts w:ascii="Times New Roman" w:hAnsi="Times New Roman" w:cs="Times New Roman"/>
              </w:rPr>
            </w:pPr>
            <w:r w:rsidRPr="00BE2C1D">
              <w:rPr>
                <w:rFonts w:ascii="Times New Roman" w:hAnsi="Times New Roman" w:cs="Times New Roman"/>
              </w:rPr>
              <w:t>Parents’ expectations and their role in HG treatment decision.</w:t>
            </w:r>
          </w:p>
          <w:p w14:paraId="00CC5C4B" w14:textId="77777777" w:rsidR="00BE2C1D" w:rsidRPr="00BE2C1D" w:rsidRDefault="00BE2C1D" w:rsidP="00BE2C1D">
            <w:pPr>
              <w:rPr>
                <w:rFonts w:ascii="Times New Roman" w:hAnsi="Times New Roman" w:cs="Times New Roman"/>
              </w:rPr>
            </w:pPr>
            <w:r w:rsidRPr="00BE2C1D">
              <w:rPr>
                <w:rFonts w:ascii="Times New Roman" w:hAnsi="Times New Roman" w:cs="Times New Roman"/>
              </w:rPr>
              <w:t>Do children provide consent/assent on HG treatment?</w:t>
            </w:r>
          </w:p>
          <w:p w14:paraId="3AFD54EE" w14:textId="77777777" w:rsidR="00BE2C1D" w:rsidRPr="00BE2C1D" w:rsidRDefault="00BE2C1D" w:rsidP="00BE2C1D">
            <w:pPr>
              <w:rPr>
                <w:rFonts w:ascii="Times New Roman" w:hAnsi="Times New Roman" w:cs="Times New Roman"/>
              </w:rPr>
            </w:pPr>
            <w:r w:rsidRPr="00BE2C1D">
              <w:rPr>
                <w:rFonts w:ascii="Times New Roman" w:hAnsi="Times New Roman" w:cs="Times New Roman"/>
              </w:rPr>
              <w:t>Implicit means of disapproval of short height from parents and doctors</w:t>
            </w:r>
          </w:p>
          <w:p w14:paraId="23B00455" w14:textId="77777777" w:rsidR="00BE2C1D" w:rsidRPr="00BE2C1D" w:rsidRDefault="00BE2C1D" w:rsidP="00BE2C1D">
            <w:pPr>
              <w:rPr>
                <w:rFonts w:ascii="Times New Roman" w:hAnsi="Times New Roman" w:cs="Times New Roman"/>
                <w:i/>
              </w:rPr>
            </w:pPr>
            <w:r w:rsidRPr="00BE2C1D">
              <w:rPr>
                <w:rFonts w:ascii="Times New Roman" w:hAnsi="Times New Roman" w:cs="Times New Roman"/>
                <w:i/>
              </w:rPr>
              <w:t>Commercial Pressures:</w:t>
            </w:r>
          </w:p>
          <w:p w14:paraId="32A2F5F7" w14:textId="77777777" w:rsidR="00BE2C1D" w:rsidRPr="00BE2C1D" w:rsidRDefault="00BE2C1D" w:rsidP="00BE2C1D">
            <w:pPr>
              <w:rPr>
                <w:rFonts w:ascii="Times New Roman" w:hAnsi="Times New Roman" w:cs="Times New Roman"/>
              </w:rPr>
            </w:pPr>
            <w:r w:rsidRPr="00BE2C1D">
              <w:rPr>
                <w:rFonts w:ascii="Times New Roman" w:hAnsi="Times New Roman" w:cs="Times New Roman"/>
              </w:rPr>
              <w:t>Pharmaceutical companies and funded research</w:t>
            </w:r>
          </w:p>
          <w:p w14:paraId="30C2CA57" w14:textId="77777777" w:rsidR="00BE2C1D" w:rsidRPr="00BE2C1D" w:rsidRDefault="00BE2C1D" w:rsidP="00BE2C1D">
            <w:pPr>
              <w:rPr>
                <w:rFonts w:ascii="Times New Roman" w:hAnsi="Times New Roman" w:cs="Times New Roman"/>
              </w:rPr>
            </w:pPr>
            <w:r w:rsidRPr="00BE2C1D">
              <w:rPr>
                <w:rFonts w:ascii="Times New Roman" w:hAnsi="Times New Roman" w:cs="Times New Roman"/>
              </w:rPr>
              <w:t>Routine screening of short stature and its repercussions</w:t>
            </w:r>
          </w:p>
        </w:tc>
      </w:tr>
      <w:tr w:rsidR="00BE2C1D" w:rsidRPr="00BE2C1D" w14:paraId="03459F98" w14:textId="77777777" w:rsidTr="00BE2C1D">
        <w:trPr>
          <w:trHeight w:val="20561"/>
        </w:trPr>
        <w:tc>
          <w:tcPr>
            <w:tcW w:w="1130" w:type="dxa"/>
            <w:vMerge/>
          </w:tcPr>
          <w:p w14:paraId="17D16908" w14:textId="77777777" w:rsidR="00BE2C1D" w:rsidRPr="00BE2C1D" w:rsidRDefault="00BE2C1D" w:rsidP="00BE2C1D"/>
        </w:tc>
        <w:tc>
          <w:tcPr>
            <w:tcW w:w="2244" w:type="dxa"/>
          </w:tcPr>
          <w:p w14:paraId="57B70DB4" w14:textId="77777777" w:rsidR="00BE2C1D" w:rsidRPr="00BE2C1D" w:rsidRDefault="00BE2C1D" w:rsidP="00BE2C1D">
            <w:pPr>
              <w:rPr>
                <w:rFonts w:ascii="Times New Roman" w:hAnsi="Times New Roman" w:cs="Times New Roman"/>
              </w:rPr>
            </w:pPr>
            <w:r w:rsidRPr="00BE2C1D">
              <w:rPr>
                <w:rFonts w:ascii="Times New Roman" w:hAnsi="Times New Roman" w:cs="Times New Roman"/>
              </w:rPr>
              <w:t xml:space="preserve">Steinhausen, Dorr, Kannenberg&amp;Malin, 2000 (supported by </w:t>
            </w:r>
            <w:r w:rsidRPr="00BE2C1D">
              <w:rPr>
                <w:rFonts w:ascii="Times New Roman" w:hAnsi="Times New Roman" w:cs="Times New Roman"/>
                <w:b/>
                <w:u w:val="single"/>
              </w:rPr>
              <w:t>Pharmacia and Upjohn company</w:t>
            </w:r>
            <w:r w:rsidRPr="00BE2C1D">
              <w:rPr>
                <w:rFonts w:ascii="Times New Roman" w:hAnsi="Times New Roman" w:cs="Times New Roman"/>
              </w:rPr>
              <w:t xml:space="preserve"> -Kabi International Growth study)</w:t>
            </w:r>
          </w:p>
          <w:p w14:paraId="24959C44" w14:textId="77777777" w:rsidR="00BE2C1D" w:rsidRPr="00BE2C1D" w:rsidRDefault="00BE2C1D" w:rsidP="00BE2C1D">
            <w:pPr>
              <w:rPr>
                <w:rFonts w:ascii="Times New Roman" w:hAnsi="Times New Roman" w:cs="Times New Roman"/>
              </w:rPr>
            </w:pPr>
          </w:p>
          <w:p w14:paraId="1A98A96F" w14:textId="77777777" w:rsidR="00BE2C1D" w:rsidRPr="00BE2C1D" w:rsidRDefault="00BE2C1D" w:rsidP="00BE2C1D">
            <w:pPr>
              <w:rPr>
                <w:rFonts w:ascii="Times New Roman" w:hAnsi="Times New Roman" w:cs="Times New Roman"/>
              </w:rPr>
            </w:pPr>
          </w:p>
          <w:p w14:paraId="6DA8BACC" w14:textId="77777777" w:rsidR="00BE2C1D" w:rsidRPr="00BE2C1D" w:rsidRDefault="00BE2C1D" w:rsidP="00BE2C1D">
            <w:pPr>
              <w:rPr>
                <w:rFonts w:ascii="Times New Roman" w:hAnsi="Times New Roman" w:cs="Times New Roman"/>
              </w:rPr>
            </w:pPr>
          </w:p>
          <w:p w14:paraId="7D131C24" w14:textId="77777777" w:rsidR="00BE2C1D" w:rsidRPr="00BE2C1D" w:rsidRDefault="00BE2C1D" w:rsidP="00BE2C1D">
            <w:pPr>
              <w:rPr>
                <w:rFonts w:ascii="Times New Roman" w:hAnsi="Times New Roman" w:cs="Times New Roman"/>
              </w:rPr>
            </w:pPr>
          </w:p>
          <w:p w14:paraId="612B90FB" w14:textId="77777777" w:rsidR="00BE2C1D" w:rsidRPr="00BE2C1D" w:rsidRDefault="00BE2C1D" w:rsidP="00BE2C1D">
            <w:pPr>
              <w:rPr>
                <w:rFonts w:ascii="Times New Roman" w:hAnsi="Times New Roman" w:cs="Times New Roman"/>
              </w:rPr>
            </w:pPr>
          </w:p>
          <w:p w14:paraId="5F65C96B" w14:textId="77777777" w:rsidR="00BE2C1D" w:rsidRPr="00BE2C1D" w:rsidRDefault="00BE2C1D" w:rsidP="00BE2C1D">
            <w:pPr>
              <w:rPr>
                <w:rFonts w:ascii="Times New Roman" w:hAnsi="Times New Roman" w:cs="Times New Roman"/>
              </w:rPr>
            </w:pPr>
          </w:p>
          <w:p w14:paraId="5EECFEB6" w14:textId="77777777" w:rsidR="00BE2C1D" w:rsidRPr="00BE2C1D" w:rsidRDefault="00BE2C1D" w:rsidP="00BE2C1D">
            <w:pPr>
              <w:rPr>
                <w:rFonts w:ascii="Times New Roman" w:hAnsi="Times New Roman" w:cs="Times New Roman"/>
              </w:rPr>
            </w:pPr>
          </w:p>
          <w:p w14:paraId="44F47B16" w14:textId="77777777" w:rsidR="00BE2C1D" w:rsidRPr="00BE2C1D" w:rsidRDefault="00BE2C1D" w:rsidP="00BE2C1D">
            <w:pPr>
              <w:rPr>
                <w:rFonts w:ascii="Times New Roman" w:hAnsi="Times New Roman" w:cs="Times New Roman"/>
              </w:rPr>
            </w:pPr>
          </w:p>
          <w:p w14:paraId="7222D534" w14:textId="77777777" w:rsidR="00BE2C1D" w:rsidRPr="00BE2C1D" w:rsidRDefault="00BE2C1D" w:rsidP="00BE2C1D">
            <w:pPr>
              <w:rPr>
                <w:rFonts w:ascii="Times New Roman" w:hAnsi="Times New Roman" w:cs="Times New Roman"/>
              </w:rPr>
            </w:pPr>
          </w:p>
          <w:p w14:paraId="3D5A2068" w14:textId="77777777" w:rsidR="00BE2C1D" w:rsidRPr="00BE2C1D" w:rsidRDefault="00BE2C1D" w:rsidP="00BE2C1D">
            <w:pPr>
              <w:rPr>
                <w:rFonts w:ascii="Times New Roman" w:hAnsi="Times New Roman" w:cs="Times New Roman"/>
              </w:rPr>
            </w:pPr>
          </w:p>
          <w:p w14:paraId="4599FAA4" w14:textId="77777777" w:rsidR="00BE2C1D" w:rsidRPr="00BE2C1D" w:rsidRDefault="00BE2C1D" w:rsidP="00BE2C1D">
            <w:pPr>
              <w:rPr>
                <w:rFonts w:ascii="Times New Roman" w:hAnsi="Times New Roman" w:cs="Times New Roman"/>
              </w:rPr>
            </w:pPr>
          </w:p>
          <w:p w14:paraId="3F313CA5" w14:textId="77777777" w:rsidR="00BE2C1D" w:rsidRPr="00BE2C1D" w:rsidRDefault="00BE2C1D" w:rsidP="00BE2C1D">
            <w:pPr>
              <w:rPr>
                <w:rFonts w:ascii="Times New Roman" w:hAnsi="Times New Roman" w:cs="Times New Roman"/>
              </w:rPr>
            </w:pPr>
          </w:p>
          <w:p w14:paraId="5EF06254" w14:textId="77777777" w:rsidR="00BE2C1D" w:rsidRPr="00BE2C1D" w:rsidRDefault="00BE2C1D" w:rsidP="00BE2C1D">
            <w:pPr>
              <w:rPr>
                <w:rFonts w:ascii="Times New Roman" w:hAnsi="Times New Roman" w:cs="Times New Roman"/>
              </w:rPr>
            </w:pPr>
          </w:p>
          <w:p w14:paraId="46F908EE" w14:textId="77777777" w:rsidR="00BE2C1D" w:rsidRPr="00BE2C1D" w:rsidRDefault="00BE2C1D" w:rsidP="00BE2C1D">
            <w:pPr>
              <w:rPr>
                <w:rFonts w:ascii="Times New Roman" w:hAnsi="Times New Roman" w:cs="Times New Roman"/>
              </w:rPr>
            </w:pPr>
          </w:p>
          <w:p w14:paraId="5AD87930" w14:textId="77777777" w:rsidR="00BE2C1D" w:rsidRPr="00BE2C1D" w:rsidRDefault="00BE2C1D" w:rsidP="00BE2C1D">
            <w:pPr>
              <w:rPr>
                <w:rFonts w:ascii="Times New Roman" w:hAnsi="Times New Roman" w:cs="Times New Roman"/>
              </w:rPr>
            </w:pPr>
          </w:p>
          <w:p w14:paraId="3DAE0167" w14:textId="77777777" w:rsidR="00BE2C1D" w:rsidRPr="00BE2C1D" w:rsidRDefault="00BE2C1D" w:rsidP="00BE2C1D">
            <w:pPr>
              <w:rPr>
                <w:rFonts w:ascii="Times New Roman" w:hAnsi="Times New Roman" w:cs="Times New Roman"/>
              </w:rPr>
            </w:pPr>
          </w:p>
          <w:p w14:paraId="57789386" w14:textId="77777777" w:rsidR="00BE2C1D" w:rsidRPr="00BE2C1D" w:rsidRDefault="00BE2C1D" w:rsidP="00BE2C1D">
            <w:pPr>
              <w:rPr>
                <w:rFonts w:ascii="Times New Roman" w:hAnsi="Times New Roman" w:cs="Times New Roman"/>
              </w:rPr>
            </w:pPr>
          </w:p>
          <w:p w14:paraId="47C063FB" w14:textId="77777777" w:rsidR="00BE2C1D" w:rsidRPr="00BE2C1D" w:rsidRDefault="00BE2C1D" w:rsidP="00BE2C1D">
            <w:pPr>
              <w:rPr>
                <w:rFonts w:ascii="Times New Roman" w:hAnsi="Times New Roman" w:cs="Times New Roman"/>
              </w:rPr>
            </w:pPr>
          </w:p>
          <w:p w14:paraId="3AC86807" w14:textId="77777777" w:rsidR="00BE2C1D" w:rsidRPr="00BE2C1D" w:rsidRDefault="00BE2C1D" w:rsidP="00BE2C1D">
            <w:pPr>
              <w:rPr>
                <w:rFonts w:ascii="Times New Roman" w:hAnsi="Times New Roman" w:cs="Times New Roman"/>
              </w:rPr>
            </w:pPr>
            <w:r w:rsidRPr="00BE2C1D">
              <w:rPr>
                <w:rFonts w:ascii="Times New Roman" w:hAnsi="Times New Roman" w:cs="Times New Roman"/>
                <w:noProof/>
                <w:lang w:eastAsia="en-GB"/>
              </w:rPr>
              <mc:AlternateContent>
                <mc:Choice Requires="wps">
                  <w:drawing>
                    <wp:anchor distT="0" distB="0" distL="114300" distR="114300" simplePos="0" relativeHeight="251717632" behindDoc="0" locked="0" layoutInCell="1" allowOverlap="1" wp14:anchorId="137C9184" wp14:editId="2CE735EB">
                      <wp:simplePos x="0" y="0"/>
                      <wp:positionH relativeFrom="column">
                        <wp:posOffset>-64770</wp:posOffset>
                      </wp:positionH>
                      <wp:positionV relativeFrom="paragraph">
                        <wp:posOffset>20320</wp:posOffset>
                      </wp:positionV>
                      <wp:extent cx="6038850" cy="0"/>
                      <wp:effectExtent l="5080" t="9525" r="13970" b="9525"/>
                      <wp:wrapNone/>
                      <wp:docPr id="29" name="Straight Arrow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388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FB9909" id="Straight Arrow Connector 29" o:spid="_x0000_s1026" type="#_x0000_t32" style="position:absolute;margin-left:-5.1pt;margin-top:1.6pt;width:475.5pt;height:0;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MlF0gEAAI0DAAAOAAAAZHJzL2Uyb0RvYy54bWysU01v2zAMvQ/YfxB0X5xkSJEacYohXXfp&#10;tgDpfgAjy7YwWRQoJXb+/Sjlo912G+aDIIrkI98jvXoYeyuOmoJBV8nZZCqFdgpr49pK/nh5+rCU&#10;IkRwNVh0upInHeTD+v271eBLPccOba1JMIgL5eAr2cXoy6IIqtM9hAl67djZIPUQ2aS2qAkGRu9t&#10;MZ9O74oBqfaESofAr49np1xn/KbRKn5vmqCjsJXk3mI+KZ/7dBbrFZQtge+MurQB/9BFD8Zx0RvU&#10;I0QQBzJ/QfVGEQZs4kRhX2DTGKUzB2Yzm/7BZteB15kLixP8Tabw/2DVt+OWhKkrOb+XwkHPM9pF&#10;AtN2UXwiwkFs0DnWEUlwCOs1+FBy2sZtKTFWo9v5Z1Q/g3C46cC1Ovf9cvKMNUsZxW8pyQieq+6H&#10;r1hzDBwiZvHGhvoEybKIMc/odJuRHqNQ/Hg3/bhcLniU6uoroLwmegrxi8ZepEslw4XIjcEsl4Hj&#10;c4ipLSivCamqwydjbV4I68RQyfvFfJETAlpTJ2cKC9TuN5bEEdJK5S9zZM/bMMKDqzNYp6H+fLlH&#10;MPZ85+LWXaRJapx13WN92tJVMp557vKyn2mp3to5+/UvWv8CAAD//wMAUEsDBBQABgAIAAAAIQBd&#10;YjU23AAAAAcBAAAPAAAAZHJzL2Rvd25yZXYueG1sTI/NTsMwEITvSLyDtUi9oNZO+BENcaqqEgeO&#10;tJW4uvGSpI3XUew0oU/PwoWeVqMZzX6TrybXijP2ofGkIVkoEEiltw1VGva7t/kLiBANWdN6Qg3f&#10;GGBV3N7kJrN+pA88b2MluIRCZjTUMXaZlKGs0Zmw8B0Se1++dyay7CtpezNyuWtlqtSzdKYh/lCb&#10;Djc1lqft4DRgGJ4StV66av9+Ge8/08tx7HZaz+6m9SuIiFP8D8MvPqNDwUwHP5ANotUwT1TKUQ0P&#10;fNhfPiqecvjTssjlNX/xAwAA//8DAFBLAQItABQABgAIAAAAIQC2gziS/gAAAOEBAAATAAAAAAAA&#10;AAAAAAAAAAAAAABbQ29udGVudF9UeXBlc10ueG1sUEsBAi0AFAAGAAgAAAAhADj9If/WAAAAlAEA&#10;AAsAAAAAAAAAAAAAAAAALwEAAF9yZWxzLy5yZWxzUEsBAi0AFAAGAAgAAAAhAJW0yUXSAQAAjQMA&#10;AA4AAAAAAAAAAAAAAAAALgIAAGRycy9lMm9Eb2MueG1sUEsBAi0AFAAGAAgAAAAhAF1iNTbcAAAA&#10;BwEAAA8AAAAAAAAAAAAAAAAALAQAAGRycy9kb3ducmV2LnhtbFBLBQYAAAAABAAEAPMAAAA1BQAA&#10;AAA=&#10;"/>
                  </w:pict>
                </mc:Fallback>
              </mc:AlternateContent>
            </w:r>
            <w:r w:rsidRPr="00BE2C1D">
              <w:rPr>
                <w:rFonts w:ascii="Times New Roman" w:hAnsi="Times New Roman" w:cs="Times New Roman"/>
              </w:rPr>
              <w:t xml:space="preserve">Wake, Coghlan &amp;Hesketh, 2000 (supported by the financial grant provided by the </w:t>
            </w:r>
            <w:r w:rsidRPr="00BE2C1D">
              <w:rPr>
                <w:rFonts w:ascii="Times New Roman" w:hAnsi="Times New Roman" w:cs="Times New Roman"/>
                <w:b/>
                <w:u w:val="single"/>
              </w:rPr>
              <w:t>Victorian Department of Human Services Division of Public Health</w:t>
            </w:r>
            <w:r w:rsidRPr="00BE2C1D">
              <w:rPr>
                <w:rFonts w:ascii="Times New Roman" w:hAnsi="Times New Roman" w:cs="Times New Roman"/>
              </w:rPr>
              <w:t>)</w:t>
            </w:r>
          </w:p>
        </w:tc>
        <w:tc>
          <w:tcPr>
            <w:tcW w:w="2175" w:type="dxa"/>
          </w:tcPr>
          <w:p w14:paraId="354BB833" w14:textId="77777777" w:rsidR="00BE2C1D" w:rsidRPr="00BE2C1D" w:rsidRDefault="00BE2C1D" w:rsidP="00BE2C1D">
            <w:pPr>
              <w:spacing w:line="240" w:lineRule="auto"/>
              <w:rPr>
                <w:rFonts w:ascii="Times New Roman" w:hAnsi="Times New Roman" w:cs="Times New Roman"/>
              </w:rPr>
            </w:pPr>
            <w:r w:rsidRPr="00BE2C1D">
              <w:rPr>
                <w:rFonts w:ascii="Times New Roman" w:hAnsi="Times New Roman" w:cs="Times New Roman"/>
              </w:rPr>
              <w:t>JDBP</w:t>
            </w:r>
          </w:p>
          <w:p w14:paraId="34E64655" w14:textId="77777777" w:rsidR="00BE2C1D" w:rsidRPr="00BE2C1D" w:rsidRDefault="00BE2C1D" w:rsidP="00BE2C1D">
            <w:pPr>
              <w:spacing w:line="240" w:lineRule="auto"/>
              <w:rPr>
                <w:rFonts w:ascii="Times New Roman" w:hAnsi="Times New Roman" w:cs="Times New Roman"/>
                <w:i/>
              </w:rPr>
            </w:pPr>
            <w:r w:rsidRPr="00BE2C1D">
              <w:rPr>
                <w:rFonts w:ascii="Times New Roman" w:hAnsi="Times New Roman" w:cs="Times New Roman"/>
                <w:i/>
              </w:rPr>
              <w:t xml:space="preserve">The </w:t>
            </w:r>
            <w:r w:rsidRPr="00BE2C1D">
              <w:rPr>
                <w:rFonts w:ascii="Times New Roman" w:hAnsi="Times New Roman" w:cs="Times New Roman"/>
                <w:i/>
                <w:color w:val="FF0000"/>
              </w:rPr>
              <w:t>Behavior</w:t>
            </w:r>
            <w:r w:rsidRPr="00BE2C1D">
              <w:rPr>
                <w:rFonts w:ascii="Times New Roman" w:hAnsi="Times New Roman" w:cs="Times New Roman"/>
                <w:i/>
              </w:rPr>
              <w:t xml:space="preserve"> profile of Children and Adolescents with Short Stature.</w:t>
            </w:r>
          </w:p>
          <w:p w14:paraId="01250180" w14:textId="77777777" w:rsidR="00BE2C1D" w:rsidRPr="00BE2C1D" w:rsidRDefault="00BE2C1D" w:rsidP="00BE2C1D">
            <w:pPr>
              <w:spacing w:line="240" w:lineRule="auto"/>
              <w:rPr>
                <w:rFonts w:ascii="Times New Roman" w:hAnsi="Times New Roman" w:cs="Times New Roman"/>
                <w:i/>
              </w:rPr>
            </w:pPr>
          </w:p>
          <w:p w14:paraId="03B73E15" w14:textId="77777777" w:rsidR="00BE2C1D" w:rsidRPr="00BE2C1D" w:rsidRDefault="00BE2C1D" w:rsidP="00BE2C1D">
            <w:pPr>
              <w:spacing w:line="240" w:lineRule="auto"/>
              <w:rPr>
                <w:rFonts w:ascii="Times New Roman" w:hAnsi="Times New Roman" w:cs="Times New Roman"/>
                <w:i/>
              </w:rPr>
            </w:pPr>
          </w:p>
          <w:p w14:paraId="27D5500C" w14:textId="77777777" w:rsidR="00BE2C1D" w:rsidRPr="00BE2C1D" w:rsidRDefault="00BE2C1D" w:rsidP="00BE2C1D">
            <w:pPr>
              <w:spacing w:line="240" w:lineRule="auto"/>
              <w:rPr>
                <w:rFonts w:ascii="Times New Roman" w:hAnsi="Times New Roman" w:cs="Times New Roman"/>
                <w:i/>
              </w:rPr>
            </w:pPr>
          </w:p>
          <w:p w14:paraId="3D6CA5F9" w14:textId="77777777" w:rsidR="00BE2C1D" w:rsidRPr="00BE2C1D" w:rsidRDefault="00BE2C1D" w:rsidP="00BE2C1D">
            <w:pPr>
              <w:spacing w:line="240" w:lineRule="auto"/>
              <w:rPr>
                <w:rFonts w:ascii="Times New Roman" w:hAnsi="Times New Roman" w:cs="Times New Roman"/>
                <w:i/>
              </w:rPr>
            </w:pPr>
          </w:p>
          <w:p w14:paraId="0C281232" w14:textId="77777777" w:rsidR="00BE2C1D" w:rsidRPr="00BE2C1D" w:rsidRDefault="00BE2C1D" w:rsidP="00BE2C1D">
            <w:pPr>
              <w:spacing w:line="240" w:lineRule="auto"/>
              <w:rPr>
                <w:rFonts w:ascii="Times New Roman" w:hAnsi="Times New Roman" w:cs="Times New Roman"/>
                <w:i/>
              </w:rPr>
            </w:pPr>
          </w:p>
          <w:p w14:paraId="784EC3F4" w14:textId="77777777" w:rsidR="00BE2C1D" w:rsidRPr="00BE2C1D" w:rsidRDefault="00BE2C1D" w:rsidP="00BE2C1D">
            <w:pPr>
              <w:spacing w:line="240" w:lineRule="auto"/>
              <w:rPr>
                <w:rFonts w:ascii="Times New Roman" w:hAnsi="Times New Roman" w:cs="Times New Roman"/>
                <w:i/>
              </w:rPr>
            </w:pPr>
          </w:p>
          <w:p w14:paraId="00C065E6" w14:textId="77777777" w:rsidR="00BE2C1D" w:rsidRPr="00BE2C1D" w:rsidRDefault="00BE2C1D" w:rsidP="00BE2C1D">
            <w:pPr>
              <w:spacing w:line="240" w:lineRule="auto"/>
              <w:rPr>
                <w:rFonts w:ascii="Times New Roman" w:hAnsi="Times New Roman" w:cs="Times New Roman"/>
                <w:i/>
              </w:rPr>
            </w:pPr>
          </w:p>
          <w:p w14:paraId="7011DE93" w14:textId="77777777" w:rsidR="00BE2C1D" w:rsidRPr="00BE2C1D" w:rsidRDefault="00BE2C1D" w:rsidP="00BE2C1D">
            <w:pPr>
              <w:spacing w:line="240" w:lineRule="auto"/>
              <w:rPr>
                <w:rFonts w:ascii="Times New Roman" w:hAnsi="Times New Roman" w:cs="Times New Roman"/>
                <w:i/>
              </w:rPr>
            </w:pPr>
          </w:p>
          <w:p w14:paraId="7894AC2E" w14:textId="77777777" w:rsidR="00BE2C1D" w:rsidRPr="00BE2C1D" w:rsidRDefault="00BE2C1D" w:rsidP="00BE2C1D">
            <w:pPr>
              <w:spacing w:line="240" w:lineRule="auto"/>
              <w:rPr>
                <w:rFonts w:ascii="Times New Roman" w:hAnsi="Times New Roman" w:cs="Times New Roman"/>
                <w:i/>
              </w:rPr>
            </w:pPr>
          </w:p>
          <w:p w14:paraId="7A9E52F9" w14:textId="77777777" w:rsidR="00BE2C1D" w:rsidRPr="00BE2C1D" w:rsidRDefault="00BE2C1D" w:rsidP="00BE2C1D">
            <w:pPr>
              <w:spacing w:line="240" w:lineRule="auto"/>
              <w:rPr>
                <w:rFonts w:ascii="Times New Roman" w:hAnsi="Times New Roman" w:cs="Times New Roman"/>
              </w:rPr>
            </w:pPr>
          </w:p>
          <w:p w14:paraId="26E21AD0" w14:textId="77777777" w:rsidR="00BE2C1D" w:rsidRPr="00BE2C1D" w:rsidRDefault="00BE2C1D" w:rsidP="00BE2C1D">
            <w:pPr>
              <w:spacing w:line="240" w:lineRule="auto"/>
              <w:rPr>
                <w:rFonts w:ascii="Times New Roman" w:hAnsi="Times New Roman" w:cs="Times New Roman"/>
              </w:rPr>
            </w:pPr>
          </w:p>
          <w:p w14:paraId="4B2B56E2" w14:textId="77777777" w:rsidR="00BE2C1D" w:rsidRPr="00BE2C1D" w:rsidRDefault="00BE2C1D" w:rsidP="00BE2C1D">
            <w:pPr>
              <w:spacing w:line="240" w:lineRule="auto"/>
              <w:rPr>
                <w:rFonts w:ascii="Times New Roman" w:hAnsi="Times New Roman" w:cs="Times New Roman"/>
              </w:rPr>
            </w:pPr>
          </w:p>
          <w:p w14:paraId="58B0F437" w14:textId="77777777" w:rsidR="00BE2C1D" w:rsidRPr="00BE2C1D" w:rsidRDefault="00BE2C1D" w:rsidP="00BE2C1D">
            <w:pPr>
              <w:spacing w:line="240" w:lineRule="auto"/>
              <w:rPr>
                <w:rFonts w:ascii="Times New Roman" w:hAnsi="Times New Roman" w:cs="Times New Roman"/>
              </w:rPr>
            </w:pPr>
          </w:p>
          <w:p w14:paraId="1795D333" w14:textId="77777777" w:rsidR="00BE2C1D" w:rsidRPr="00BE2C1D" w:rsidRDefault="00BE2C1D" w:rsidP="00BE2C1D">
            <w:pPr>
              <w:spacing w:line="240" w:lineRule="auto"/>
              <w:rPr>
                <w:rFonts w:ascii="Times New Roman" w:hAnsi="Times New Roman" w:cs="Times New Roman"/>
              </w:rPr>
            </w:pPr>
          </w:p>
          <w:p w14:paraId="69D4109C" w14:textId="77777777" w:rsidR="00BE2C1D" w:rsidRPr="00BE2C1D" w:rsidRDefault="00BE2C1D" w:rsidP="00BE2C1D">
            <w:pPr>
              <w:spacing w:line="240" w:lineRule="auto"/>
              <w:rPr>
                <w:rFonts w:ascii="Times New Roman" w:hAnsi="Times New Roman" w:cs="Times New Roman"/>
              </w:rPr>
            </w:pPr>
          </w:p>
          <w:p w14:paraId="078E1CA6" w14:textId="77777777" w:rsidR="00BE2C1D" w:rsidRPr="00BE2C1D" w:rsidRDefault="00BE2C1D" w:rsidP="00BE2C1D">
            <w:pPr>
              <w:spacing w:line="240" w:lineRule="auto"/>
              <w:rPr>
                <w:rFonts w:ascii="Times New Roman" w:hAnsi="Times New Roman" w:cs="Times New Roman"/>
              </w:rPr>
            </w:pPr>
          </w:p>
          <w:p w14:paraId="71EDB5F6" w14:textId="77777777" w:rsidR="00BE2C1D" w:rsidRPr="00BE2C1D" w:rsidRDefault="00BE2C1D" w:rsidP="00BE2C1D">
            <w:pPr>
              <w:spacing w:line="240" w:lineRule="auto"/>
              <w:rPr>
                <w:rFonts w:ascii="Times New Roman" w:hAnsi="Times New Roman" w:cs="Times New Roman"/>
              </w:rPr>
            </w:pPr>
          </w:p>
          <w:p w14:paraId="476A9E45" w14:textId="77777777" w:rsidR="00BE2C1D" w:rsidRPr="00BE2C1D" w:rsidRDefault="00BE2C1D" w:rsidP="00BE2C1D">
            <w:pPr>
              <w:spacing w:line="240" w:lineRule="auto"/>
              <w:rPr>
                <w:rFonts w:ascii="Times New Roman" w:hAnsi="Times New Roman" w:cs="Times New Roman"/>
              </w:rPr>
            </w:pPr>
          </w:p>
          <w:p w14:paraId="6046994D" w14:textId="77777777" w:rsidR="00BE2C1D" w:rsidRPr="00BE2C1D" w:rsidRDefault="00BE2C1D" w:rsidP="00BE2C1D">
            <w:pPr>
              <w:spacing w:line="240" w:lineRule="auto"/>
              <w:rPr>
                <w:rFonts w:ascii="Times New Roman" w:hAnsi="Times New Roman" w:cs="Times New Roman"/>
              </w:rPr>
            </w:pPr>
          </w:p>
          <w:p w14:paraId="0F740FD1" w14:textId="77777777" w:rsidR="00BE2C1D" w:rsidRPr="00BE2C1D" w:rsidRDefault="00BE2C1D" w:rsidP="00BE2C1D">
            <w:pPr>
              <w:spacing w:line="240" w:lineRule="auto"/>
              <w:rPr>
                <w:rFonts w:ascii="Times New Roman" w:hAnsi="Times New Roman" w:cs="Times New Roman"/>
              </w:rPr>
            </w:pPr>
          </w:p>
          <w:p w14:paraId="728F8D87" w14:textId="77777777" w:rsidR="00BE2C1D" w:rsidRPr="00BE2C1D" w:rsidRDefault="00BE2C1D" w:rsidP="00BE2C1D">
            <w:pPr>
              <w:spacing w:line="240" w:lineRule="auto"/>
              <w:rPr>
                <w:rFonts w:ascii="Times New Roman" w:hAnsi="Times New Roman" w:cs="Times New Roman"/>
              </w:rPr>
            </w:pPr>
          </w:p>
          <w:p w14:paraId="083574A0" w14:textId="77777777" w:rsidR="00BE2C1D" w:rsidRPr="00BE2C1D" w:rsidRDefault="00BE2C1D" w:rsidP="00BE2C1D">
            <w:pPr>
              <w:spacing w:line="240" w:lineRule="auto"/>
              <w:rPr>
                <w:rFonts w:ascii="Times New Roman" w:hAnsi="Times New Roman" w:cs="Times New Roman"/>
              </w:rPr>
            </w:pPr>
            <w:r w:rsidRPr="00BE2C1D">
              <w:rPr>
                <w:rFonts w:ascii="Times New Roman" w:hAnsi="Times New Roman" w:cs="Times New Roman"/>
              </w:rPr>
              <w:t>Arc.Dis.Ch.</w:t>
            </w:r>
          </w:p>
          <w:p w14:paraId="05C7C5EA" w14:textId="77777777" w:rsidR="00BE2C1D" w:rsidRPr="00BE2C1D" w:rsidRDefault="00BE2C1D" w:rsidP="00BE2C1D">
            <w:pPr>
              <w:spacing w:line="240" w:lineRule="auto"/>
              <w:rPr>
                <w:rFonts w:ascii="Times New Roman" w:hAnsi="Times New Roman" w:cs="Times New Roman"/>
                <w:i/>
              </w:rPr>
            </w:pPr>
            <w:r w:rsidRPr="00BE2C1D">
              <w:rPr>
                <w:rFonts w:ascii="Times New Roman" w:hAnsi="Times New Roman" w:cs="Times New Roman"/>
                <w:i/>
              </w:rPr>
              <w:t xml:space="preserve">Does height influence </w:t>
            </w:r>
            <w:r w:rsidRPr="00BE2C1D">
              <w:rPr>
                <w:rFonts w:ascii="Times New Roman" w:hAnsi="Times New Roman" w:cs="Times New Roman"/>
                <w:i/>
                <w:color w:val="FF0000"/>
              </w:rPr>
              <w:t>progression</w:t>
            </w:r>
            <w:r w:rsidRPr="00BE2C1D">
              <w:rPr>
                <w:rFonts w:ascii="Times New Roman" w:hAnsi="Times New Roman" w:cs="Times New Roman"/>
                <w:i/>
              </w:rPr>
              <w:t xml:space="preserve"> through </w:t>
            </w:r>
            <w:r w:rsidRPr="00BE2C1D">
              <w:rPr>
                <w:rFonts w:ascii="Times New Roman" w:hAnsi="Times New Roman" w:cs="Times New Roman"/>
                <w:i/>
                <w:color w:val="FF0000"/>
              </w:rPr>
              <w:t>primary school grades</w:t>
            </w:r>
            <w:r w:rsidRPr="00BE2C1D">
              <w:rPr>
                <w:rFonts w:ascii="Times New Roman" w:hAnsi="Times New Roman" w:cs="Times New Roman"/>
                <w:i/>
              </w:rPr>
              <w:t>?</w:t>
            </w:r>
          </w:p>
          <w:p w14:paraId="5C0066CA" w14:textId="77777777" w:rsidR="00BE2C1D" w:rsidRPr="00BE2C1D" w:rsidRDefault="00BE2C1D" w:rsidP="00BE2C1D">
            <w:pPr>
              <w:spacing w:line="240" w:lineRule="auto"/>
              <w:rPr>
                <w:rFonts w:ascii="Times New Roman" w:hAnsi="Times New Roman" w:cs="Times New Roman"/>
                <w:i/>
              </w:rPr>
            </w:pPr>
          </w:p>
          <w:p w14:paraId="167449D9" w14:textId="77777777" w:rsidR="00BE2C1D" w:rsidRPr="00BE2C1D" w:rsidRDefault="00BE2C1D" w:rsidP="00BE2C1D">
            <w:pPr>
              <w:spacing w:line="240" w:lineRule="auto"/>
              <w:rPr>
                <w:rFonts w:ascii="Times New Roman" w:hAnsi="Times New Roman" w:cs="Times New Roman"/>
              </w:rPr>
            </w:pPr>
          </w:p>
          <w:p w14:paraId="0641C3FB" w14:textId="77777777" w:rsidR="00BE2C1D" w:rsidRPr="00BE2C1D" w:rsidRDefault="00BE2C1D" w:rsidP="00BE2C1D">
            <w:pPr>
              <w:spacing w:line="240" w:lineRule="auto"/>
              <w:rPr>
                <w:rFonts w:ascii="Times New Roman" w:hAnsi="Times New Roman" w:cs="Times New Roman"/>
              </w:rPr>
            </w:pPr>
          </w:p>
          <w:p w14:paraId="240825DD" w14:textId="77777777" w:rsidR="00BE2C1D" w:rsidRPr="00BE2C1D" w:rsidRDefault="00BE2C1D" w:rsidP="00BE2C1D">
            <w:pPr>
              <w:spacing w:line="240" w:lineRule="auto"/>
              <w:rPr>
                <w:rFonts w:ascii="Times New Roman" w:hAnsi="Times New Roman" w:cs="Times New Roman"/>
              </w:rPr>
            </w:pPr>
          </w:p>
          <w:p w14:paraId="67A1532B" w14:textId="77777777" w:rsidR="00BE2C1D" w:rsidRPr="00BE2C1D" w:rsidRDefault="00BE2C1D" w:rsidP="00BE2C1D">
            <w:pPr>
              <w:spacing w:line="240" w:lineRule="auto"/>
              <w:rPr>
                <w:rFonts w:ascii="Times New Roman" w:hAnsi="Times New Roman" w:cs="Times New Roman"/>
              </w:rPr>
            </w:pPr>
          </w:p>
          <w:p w14:paraId="33008831" w14:textId="77777777" w:rsidR="00BE2C1D" w:rsidRPr="00BE2C1D" w:rsidRDefault="00BE2C1D" w:rsidP="00BE2C1D">
            <w:pPr>
              <w:spacing w:line="240" w:lineRule="auto"/>
              <w:rPr>
                <w:rFonts w:ascii="Times New Roman" w:hAnsi="Times New Roman" w:cs="Times New Roman"/>
              </w:rPr>
            </w:pPr>
          </w:p>
          <w:p w14:paraId="36758509" w14:textId="77777777" w:rsidR="00BE2C1D" w:rsidRPr="00BE2C1D" w:rsidRDefault="00BE2C1D" w:rsidP="00BE2C1D">
            <w:pPr>
              <w:spacing w:line="240" w:lineRule="auto"/>
              <w:rPr>
                <w:rFonts w:ascii="Times New Roman" w:hAnsi="Times New Roman" w:cs="Times New Roman"/>
                <w:i/>
              </w:rPr>
            </w:pPr>
          </w:p>
        </w:tc>
        <w:tc>
          <w:tcPr>
            <w:tcW w:w="2864" w:type="dxa"/>
          </w:tcPr>
          <w:p w14:paraId="557D7DD0" w14:textId="77777777" w:rsidR="00BE2C1D" w:rsidRPr="00BE2C1D" w:rsidRDefault="00BE2C1D" w:rsidP="00BE2C1D">
            <w:pPr>
              <w:rPr>
                <w:rFonts w:ascii="Times New Roman" w:hAnsi="Times New Roman" w:cs="Times New Roman"/>
                <w:sz w:val="20"/>
                <w:szCs w:val="20"/>
              </w:rPr>
            </w:pPr>
            <w:r w:rsidRPr="00BE2C1D">
              <w:rPr>
                <w:rFonts w:ascii="Times New Roman" w:hAnsi="Times New Roman" w:cs="Times New Roman"/>
                <w:sz w:val="20"/>
                <w:szCs w:val="20"/>
              </w:rPr>
              <w:lastRenderedPageBreak/>
              <w:t xml:space="preserve">Sample: 311 parents and 166 children and adolescents aged 11 years and older. Participants were recruited for a multicenter growth hormone treatment study in various German university pediatric clinics. </w:t>
            </w:r>
            <w:r w:rsidRPr="00BE2C1D">
              <w:rPr>
                <w:rFonts w:ascii="Times New Roman" w:hAnsi="Times New Roman" w:cs="Times New Roman"/>
                <w:color w:val="FF0000"/>
                <w:sz w:val="20"/>
                <w:szCs w:val="20"/>
              </w:rPr>
              <w:t xml:space="preserve">Patients </w:t>
            </w:r>
            <w:r w:rsidRPr="00BE2C1D">
              <w:rPr>
                <w:rFonts w:ascii="Times New Roman" w:hAnsi="Times New Roman" w:cs="Times New Roman"/>
                <w:sz w:val="20"/>
                <w:szCs w:val="20"/>
              </w:rPr>
              <w:t xml:space="preserve">were grouped by doctors into four diagnostic categories related to these causes of short stature: 1. Idiopathic growth hormone deficiency or neurosecretory dysfunction (121 patients): 79 boys and 42 girls) 2. Turner Syndrome (45 patients: 45 girls) 3. Organic growth hormone deficiency caused by brain tumors (23 patients: 14 boys and 9 girls) 4. other etiologies (48 patients: 26 boys and 22 girls) 5. Healthy children and adolescents with normal variant short stature (74 patients: 50 boys and 24 girls)     </w:t>
            </w:r>
          </w:p>
          <w:p w14:paraId="4A5082B5" w14:textId="77777777" w:rsidR="00BE2C1D" w:rsidRPr="00BE2C1D" w:rsidRDefault="00BE2C1D" w:rsidP="00BE2C1D">
            <w:pPr>
              <w:rPr>
                <w:rFonts w:ascii="Times New Roman" w:hAnsi="Times New Roman" w:cs="Times New Roman"/>
                <w:sz w:val="20"/>
                <w:szCs w:val="20"/>
              </w:rPr>
            </w:pPr>
            <w:r w:rsidRPr="00BE2C1D">
              <w:rPr>
                <w:rFonts w:ascii="Times New Roman" w:hAnsi="Times New Roman" w:cs="Times New Roman"/>
                <w:sz w:val="20"/>
                <w:szCs w:val="20"/>
              </w:rPr>
              <w:t>Methods-Tools</w:t>
            </w:r>
          </w:p>
          <w:p w14:paraId="0DB3340C" w14:textId="77777777" w:rsidR="00BE2C1D" w:rsidRPr="00BE2C1D" w:rsidRDefault="00BE2C1D" w:rsidP="00BE2C1D">
            <w:pPr>
              <w:rPr>
                <w:rFonts w:ascii="Times New Roman" w:hAnsi="Times New Roman" w:cs="Times New Roman"/>
                <w:i/>
                <w:color w:val="8496B0" w:themeColor="text2" w:themeTint="99"/>
                <w:sz w:val="20"/>
                <w:szCs w:val="20"/>
              </w:rPr>
            </w:pPr>
            <w:r w:rsidRPr="00BE2C1D">
              <w:rPr>
                <w:rFonts w:ascii="Times New Roman" w:hAnsi="Times New Roman" w:cs="Times New Roman"/>
                <w:i/>
                <w:color w:val="8496B0" w:themeColor="text2" w:themeTint="99"/>
                <w:sz w:val="20"/>
                <w:szCs w:val="20"/>
              </w:rPr>
              <w:t>Behaviour (Withdrawn, Somatic Complaints, Anxious/Depressed, Social Problems, Delinquent behavior, and Aggressive behaviour.</w:t>
            </w:r>
          </w:p>
          <w:p w14:paraId="2EE05F1E" w14:textId="77777777" w:rsidR="00BE2C1D" w:rsidRPr="00BE2C1D" w:rsidRDefault="00BE2C1D" w:rsidP="00BE2C1D">
            <w:pPr>
              <w:rPr>
                <w:rFonts w:ascii="Times New Roman" w:hAnsi="Times New Roman" w:cs="Times New Roman"/>
                <w:color w:val="8496B0" w:themeColor="text2" w:themeTint="99"/>
                <w:sz w:val="20"/>
                <w:szCs w:val="20"/>
              </w:rPr>
            </w:pPr>
            <w:r w:rsidRPr="00BE2C1D">
              <w:rPr>
                <w:rFonts w:ascii="Times New Roman" w:hAnsi="Times New Roman" w:cs="Times New Roman"/>
                <w:color w:val="8496B0" w:themeColor="text2" w:themeTint="99"/>
                <w:sz w:val="20"/>
                <w:szCs w:val="20"/>
              </w:rPr>
              <w:t>Child Behavior Checklist (CBCL)-completed by the mothers.</w:t>
            </w:r>
          </w:p>
          <w:p w14:paraId="70ADC28F" w14:textId="77777777" w:rsidR="00BE2C1D" w:rsidRPr="00BE2C1D" w:rsidRDefault="00BE2C1D" w:rsidP="00BE2C1D">
            <w:pPr>
              <w:rPr>
                <w:rFonts w:ascii="Times New Roman" w:hAnsi="Times New Roman" w:cs="Times New Roman"/>
                <w:i/>
                <w:color w:val="8496B0" w:themeColor="text2" w:themeTint="99"/>
                <w:sz w:val="20"/>
                <w:szCs w:val="20"/>
              </w:rPr>
            </w:pPr>
            <w:r w:rsidRPr="00BE2C1D">
              <w:rPr>
                <w:rFonts w:ascii="Times New Roman" w:hAnsi="Times New Roman" w:cs="Times New Roman"/>
                <w:i/>
                <w:color w:val="8496B0" w:themeColor="text2" w:themeTint="99"/>
                <w:sz w:val="20"/>
                <w:szCs w:val="20"/>
              </w:rPr>
              <w:t>Youth Self-Report-completed by the children/adolescents</w:t>
            </w:r>
          </w:p>
          <w:p w14:paraId="550DDEC9" w14:textId="77777777" w:rsidR="00BE2C1D" w:rsidRPr="00BE2C1D" w:rsidRDefault="00BE2C1D" w:rsidP="00BE2C1D">
            <w:pPr>
              <w:rPr>
                <w:rFonts w:ascii="Times New Roman" w:hAnsi="Times New Roman" w:cs="Times New Roman"/>
                <w:sz w:val="20"/>
                <w:szCs w:val="20"/>
              </w:rPr>
            </w:pPr>
            <w:r w:rsidRPr="00BE2C1D">
              <w:rPr>
                <w:rFonts w:ascii="Times New Roman" w:hAnsi="Times New Roman" w:cs="Times New Roman"/>
                <w:sz w:val="20"/>
                <w:szCs w:val="20"/>
              </w:rPr>
              <w:t xml:space="preserve">Social competence was excluded because of limited transcultural suitability. </w:t>
            </w:r>
          </w:p>
          <w:p w14:paraId="1028A229" w14:textId="77777777" w:rsidR="00BE2C1D" w:rsidRPr="00BE2C1D" w:rsidRDefault="00BE2C1D" w:rsidP="00BE2C1D">
            <w:pPr>
              <w:rPr>
                <w:rFonts w:ascii="Times New Roman" w:hAnsi="Times New Roman" w:cs="Times New Roman"/>
                <w:sz w:val="20"/>
                <w:szCs w:val="20"/>
              </w:rPr>
            </w:pPr>
            <w:r w:rsidRPr="00BE2C1D">
              <w:rPr>
                <w:rFonts w:ascii="Times New Roman" w:hAnsi="Times New Roman" w:cs="Times New Roman"/>
                <w:sz w:val="20"/>
                <w:szCs w:val="20"/>
              </w:rPr>
              <w:t>Cross sectional study</w:t>
            </w:r>
          </w:p>
          <w:p w14:paraId="01E1A9E8" w14:textId="77777777" w:rsidR="00BE2C1D" w:rsidRPr="00BE2C1D" w:rsidRDefault="00BE2C1D" w:rsidP="00BE2C1D">
            <w:pPr>
              <w:rPr>
                <w:rFonts w:ascii="Times New Roman" w:hAnsi="Times New Roman" w:cs="Times New Roman"/>
                <w:sz w:val="20"/>
                <w:szCs w:val="20"/>
              </w:rPr>
            </w:pPr>
            <w:r w:rsidRPr="00BE2C1D">
              <w:rPr>
                <w:rFonts w:ascii="Times New Roman" w:hAnsi="Times New Roman" w:cs="Times New Roman"/>
                <w:sz w:val="20"/>
                <w:szCs w:val="20"/>
              </w:rPr>
              <w:t>Sample: 24 primary schools, 2848 children aged 5-12 years (1439 boys and 1409 girls).</w:t>
            </w:r>
          </w:p>
          <w:p w14:paraId="493FE6CC" w14:textId="77777777" w:rsidR="00BE2C1D" w:rsidRPr="00BE2C1D" w:rsidRDefault="00BE2C1D" w:rsidP="00BE2C1D">
            <w:pPr>
              <w:rPr>
                <w:rFonts w:ascii="Times New Roman" w:hAnsi="Times New Roman" w:cs="Times New Roman"/>
                <w:sz w:val="20"/>
                <w:szCs w:val="20"/>
              </w:rPr>
            </w:pPr>
            <w:r w:rsidRPr="00BE2C1D">
              <w:rPr>
                <w:rFonts w:ascii="Times New Roman" w:hAnsi="Times New Roman" w:cs="Times New Roman"/>
                <w:sz w:val="20"/>
                <w:szCs w:val="20"/>
              </w:rPr>
              <w:t>Methods-Tools</w:t>
            </w:r>
          </w:p>
          <w:p w14:paraId="3385FED2" w14:textId="77777777" w:rsidR="00BE2C1D" w:rsidRPr="00BE2C1D" w:rsidRDefault="00BE2C1D" w:rsidP="00BE2C1D">
            <w:pPr>
              <w:rPr>
                <w:rFonts w:ascii="Times New Roman" w:hAnsi="Times New Roman" w:cs="Times New Roman"/>
                <w:i/>
                <w:sz w:val="20"/>
                <w:szCs w:val="20"/>
              </w:rPr>
            </w:pPr>
            <w:r w:rsidRPr="00BE2C1D">
              <w:rPr>
                <w:rFonts w:ascii="Times New Roman" w:hAnsi="Times New Roman" w:cs="Times New Roman"/>
                <w:i/>
                <w:sz w:val="20"/>
                <w:szCs w:val="20"/>
              </w:rPr>
              <w:t xml:space="preserve">Height </w:t>
            </w:r>
          </w:p>
          <w:p w14:paraId="368D9F8C" w14:textId="77777777" w:rsidR="00BE2C1D" w:rsidRPr="00BE2C1D" w:rsidRDefault="00BE2C1D" w:rsidP="00BE2C1D">
            <w:pPr>
              <w:rPr>
                <w:rFonts w:ascii="Times New Roman" w:hAnsi="Times New Roman" w:cs="Times New Roman"/>
                <w:sz w:val="20"/>
                <w:szCs w:val="20"/>
              </w:rPr>
            </w:pPr>
            <w:r w:rsidRPr="00BE2C1D">
              <w:rPr>
                <w:rFonts w:ascii="Times New Roman" w:hAnsi="Times New Roman" w:cs="Times New Roman"/>
                <w:sz w:val="20"/>
                <w:szCs w:val="20"/>
              </w:rPr>
              <w:t>Freestanding Invicta portable stadiometer</w:t>
            </w:r>
          </w:p>
          <w:p w14:paraId="722E8EDB" w14:textId="77777777" w:rsidR="00BE2C1D" w:rsidRPr="00BE2C1D" w:rsidRDefault="00BE2C1D" w:rsidP="00BE2C1D">
            <w:pPr>
              <w:rPr>
                <w:rFonts w:ascii="Times New Roman" w:hAnsi="Times New Roman" w:cs="Times New Roman"/>
                <w:i/>
                <w:sz w:val="20"/>
                <w:szCs w:val="20"/>
              </w:rPr>
            </w:pPr>
            <w:r w:rsidRPr="00BE2C1D">
              <w:rPr>
                <w:rFonts w:ascii="Times New Roman" w:hAnsi="Times New Roman" w:cs="Times New Roman"/>
                <w:i/>
                <w:sz w:val="20"/>
                <w:szCs w:val="20"/>
              </w:rPr>
              <w:t>Sociodemographic information</w:t>
            </w:r>
          </w:p>
          <w:p w14:paraId="7F2B4EF5" w14:textId="77777777" w:rsidR="00BE2C1D" w:rsidRPr="00BE2C1D" w:rsidRDefault="00BE2C1D" w:rsidP="00BE2C1D">
            <w:pPr>
              <w:rPr>
                <w:rFonts w:ascii="Times New Roman" w:hAnsi="Times New Roman" w:cs="Times New Roman"/>
                <w:sz w:val="20"/>
                <w:szCs w:val="20"/>
              </w:rPr>
            </w:pPr>
            <w:r w:rsidRPr="00BE2C1D">
              <w:rPr>
                <w:rFonts w:ascii="Times New Roman" w:hAnsi="Times New Roman" w:cs="Times New Roman"/>
                <w:sz w:val="20"/>
                <w:szCs w:val="20"/>
              </w:rPr>
              <w:lastRenderedPageBreak/>
              <w:t>Questionnaire (completed by parents)</w:t>
            </w:r>
          </w:p>
          <w:p w14:paraId="3B810052" w14:textId="77777777" w:rsidR="00BE2C1D" w:rsidRPr="00BE2C1D" w:rsidRDefault="00BE2C1D" w:rsidP="00BE2C1D">
            <w:pPr>
              <w:rPr>
                <w:rFonts w:ascii="Times New Roman" w:hAnsi="Times New Roman" w:cs="Times New Roman"/>
                <w:i/>
                <w:sz w:val="20"/>
                <w:szCs w:val="20"/>
              </w:rPr>
            </w:pPr>
          </w:p>
          <w:p w14:paraId="5EF6123E" w14:textId="77777777" w:rsidR="00BE2C1D" w:rsidRPr="00BE2C1D" w:rsidRDefault="00BE2C1D" w:rsidP="00BE2C1D">
            <w:pPr>
              <w:rPr>
                <w:rFonts w:ascii="Times New Roman" w:hAnsi="Times New Roman" w:cs="Times New Roman"/>
              </w:rPr>
            </w:pPr>
          </w:p>
          <w:p w14:paraId="2126C72A" w14:textId="77777777" w:rsidR="00BE2C1D" w:rsidRPr="00BE2C1D" w:rsidRDefault="00BE2C1D" w:rsidP="00BE2C1D">
            <w:pPr>
              <w:rPr>
                <w:rFonts w:ascii="Times New Roman" w:hAnsi="Times New Roman" w:cs="Times New Roman"/>
              </w:rPr>
            </w:pPr>
          </w:p>
          <w:p w14:paraId="67B36CA6" w14:textId="77777777" w:rsidR="00BE2C1D" w:rsidRPr="00BE2C1D" w:rsidRDefault="00BE2C1D" w:rsidP="00BE2C1D">
            <w:pPr>
              <w:rPr>
                <w:rFonts w:ascii="Times New Roman" w:hAnsi="Times New Roman" w:cs="Times New Roman"/>
              </w:rPr>
            </w:pPr>
          </w:p>
          <w:p w14:paraId="695C06B3" w14:textId="77777777" w:rsidR="00BE2C1D" w:rsidRPr="00BE2C1D" w:rsidRDefault="00BE2C1D" w:rsidP="00BE2C1D">
            <w:pPr>
              <w:rPr>
                <w:rFonts w:ascii="Times New Roman" w:hAnsi="Times New Roman" w:cs="Times New Roman"/>
              </w:rPr>
            </w:pPr>
          </w:p>
        </w:tc>
        <w:tc>
          <w:tcPr>
            <w:tcW w:w="2135" w:type="dxa"/>
          </w:tcPr>
          <w:p w14:paraId="0A79FE89" w14:textId="77777777" w:rsidR="00BE2C1D" w:rsidRPr="00BE2C1D" w:rsidRDefault="00BE2C1D" w:rsidP="00BE2C1D">
            <w:pPr>
              <w:rPr>
                <w:rFonts w:ascii="Times New Roman" w:hAnsi="Times New Roman" w:cs="Times New Roman"/>
              </w:rPr>
            </w:pPr>
            <w:r w:rsidRPr="00BE2C1D">
              <w:rPr>
                <w:rFonts w:ascii="Times New Roman" w:hAnsi="Times New Roman" w:cs="Times New Roman"/>
              </w:rPr>
              <w:lastRenderedPageBreak/>
              <w:t xml:space="preserve">The short stature in children and adolescents is associated with an increased number of emotional and </w:t>
            </w:r>
            <w:r w:rsidRPr="00BE2C1D">
              <w:rPr>
                <w:rFonts w:ascii="Times New Roman" w:hAnsi="Times New Roman" w:cs="Times New Roman"/>
                <w:color w:val="8496B0" w:themeColor="text2" w:themeTint="99"/>
              </w:rPr>
              <w:t>behavioural problems.</w:t>
            </w:r>
          </w:p>
          <w:p w14:paraId="05268AC4" w14:textId="77777777" w:rsidR="00BE2C1D" w:rsidRPr="00BE2C1D" w:rsidRDefault="00BE2C1D" w:rsidP="00BE2C1D">
            <w:pPr>
              <w:rPr>
                <w:rFonts w:ascii="Times New Roman" w:hAnsi="Times New Roman" w:cs="Times New Roman"/>
              </w:rPr>
            </w:pPr>
            <w:r w:rsidRPr="00BE2C1D">
              <w:rPr>
                <w:rFonts w:ascii="Times New Roman" w:hAnsi="Times New Roman" w:cs="Times New Roman"/>
              </w:rPr>
              <w:t xml:space="preserve">The status of being short and not the specific diagnosis is probably </w:t>
            </w:r>
            <w:r w:rsidRPr="00BE2C1D">
              <w:rPr>
                <w:rFonts w:ascii="Times New Roman" w:hAnsi="Times New Roman" w:cs="Times New Roman"/>
                <w:color w:val="8496B0" w:themeColor="text2" w:themeTint="99"/>
              </w:rPr>
              <w:t>an essential determinant of behavioural adaptation.</w:t>
            </w:r>
            <w:r w:rsidRPr="00BE2C1D">
              <w:rPr>
                <w:rFonts w:ascii="Times New Roman" w:hAnsi="Times New Roman" w:cs="Times New Roman"/>
              </w:rPr>
              <w:t xml:space="preserve"> </w:t>
            </w:r>
          </w:p>
          <w:p w14:paraId="32A62F23" w14:textId="77777777" w:rsidR="00BE2C1D" w:rsidRPr="00BE2C1D" w:rsidRDefault="00BE2C1D" w:rsidP="00BE2C1D">
            <w:pPr>
              <w:rPr>
                <w:rFonts w:ascii="Times New Roman" w:hAnsi="Times New Roman" w:cs="Times New Roman"/>
              </w:rPr>
            </w:pPr>
            <w:r w:rsidRPr="00BE2C1D">
              <w:rPr>
                <w:rFonts w:ascii="Times New Roman" w:hAnsi="Times New Roman" w:cs="Times New Roman"/>
              </w:rPr>
              <w:t>The impact of being short was not mitigated by age, gender, socioeconomic status, the severity of short stature as indicated by height standard deviation scores, or the severity of growth hormone deficiency.</w:t>
            </w:r>
          </w:p>
          <w:p w14:paraId="2C6B1274" w14:textId="77777777" w:rsidR="00BE2C1D" w:rsidRPr="00BE2C1D" w:rsidRDefault="00BE2C1D" w:rsidP="00BE2C1D">
            <w:pPr>
              <w:rPr>
                <w:rFonts w:ascii="Times New Roman" w:hAnsi="Times New Roman" w:cs="Times New Roman"/>
              </w:rPr>
            </w:pPr>
          </w:p>
          <w:p w14:paraId="22AFC396" w14:textId="77777777" w:rsidR="00BE2C1D" w:rsidRPr="00BE2C1D" w:rsidRDefault="00BE2C1D" w:rsidP="00BE2C1D">
            <w:pPr>
              <w:rPr>
                <w:rFonts w:ascii="Times New Roman" w:hAnsi="Times New Roman" w:cs="Times New Roman"/>
              </w:rPr>
            </w:pPr>
          </w:p>
          <w:p w14:paraId="4BEF03FE" w14:textId="77777777" w:rsidR="00BE2C1D" w:rsidRPr="00BE2C1D" w:rsidRDefault="00BE2C1D" w:rsidP="00BE2C1D">
            <w:pPr>
              <w:rPr>
                <w:rFonts w:ascii="Times New Roman" w:hAnsi="Times New Roman" w:cs="Times New Roman"/>
              </w:rPr>
            </w:pPr>
          </w:p>
          <w:p w14:paraId="2B791173" w14:textId="77777777" w:rsidR="00BE2C1D" w:rsidRPr="00BE2C1D" w:rsidRDefault="00BE2C1D" w:rsidP="00BE2C1D">
            <w:pPr>
              <w:rPr>
                <w:rFonts w:ascii="Times New Roman" w:hAnsi="Times New Roman" w:cs="Times New Roman"/>
              </w:rPr>
            </w:pPr>
          </w:p>
          <w:p w14:paraId="5E9F2B03" w14:textId="77777777" w:rsidR="00BE2C1D" w:rsidRPr="00BE2C1D" w:rsidRDefault="00BE2C1D" w:rsidP="00BE2C1D">
            <w:pPr>
              <w:rPr>
                <w:rFonts w:ascii="Times New Roman" w:hAnsi="Times New Roman" w:cs="Times New Roman"/>
              </w:rPr>
            </w:pPr>
          </w:p>
          <w:p w14:paraId="1B4201CF" w14:textId="77777777" w:rsidR="00BE2C1D" w:rsidRPr="00BE2C1D" w:rsidRDefault="00BE2C1D" w:rsidP="00BE2C1D">
            <w:pPr>
              <w:rPr>
                <w:rFonts w:ascii="Times New Roman" w:hAnsi="Times New Roman" w:cs="Times New Roman"/>
              </w:rPr>
            </w:pPr>
          </w:p>
          <w:p w14:paraId="4E4C355E" w14:textId="77777777" w:rsidR="00BE2C1D" w:rsidRPr="00BE2C1D" w:rsidRDefault="00BE2C1D" w:rsidP="00BE2C1D">
            <w:pPr>
              <w:rPr>
                <w:rFonts w:ascii="Times New Roman" w:hAnsi="Times New Roman" w:cs="Times New Roman"/>
              </w:rPr>
            </w:pPr>
            <w:r w:rsidRPr="00BE2C1D">
              <w:rPr>
                <w:rFonts w:ascii="Times New Roman" w:hAnsi="Times New Roman" w:cs="Times New Roman"/>
              </w:rPr>
              <w:t>A total of 133 children (88 boys and 45 girls) repeated a grade in primary school.</w:t>
            </w:r>
          </w:p>
          <w:p w14:paraId="5CA848D0" w14:textId="77777777" w:rsidR="00BE2C1D" w:rsidRPr="00BE2C1D" w:rsidRDefault="00BE2C1D" w:rsidP="00BE2C1D">
            <w:pPr>
              <w:rPr>
                <w:rFonts w:ascii="Times New Roman" w:hAnsi="Times New Roman" w:cs="Times New Roman"/>
              </w:rPr>
            </w:pPr>
            <w:r w:rsidRPr="00BE2C1D">
              <w:rPr>
                <w:rFonts w:ascii="Times New Roman" w:hAnsi="Times New Roman" w:cs="Times New Roman"/>
              </w:rPr>
              <w:t>Older boys within grades, notably those who have repeated a grade, are shorter than their peers.</w:t>
            </w:r>
          </w:p>
          <w:p w14:paraId="3EFE4275" w14:textId="77777777" w:rsidR="00BE2C1D" w:rsidRPr="00BE2C1D" w:rsidRDefault="00BE2C1D" w:rsidP="00BE2C1D">
            <w:pPr>
              <w:rPr>
                <w:rFonts w:ascii="Times New Roman" w:hAnsi="Times New Roman" w:cs="Times New Roman"/>
              </w:rPr>
            </w:pPr>
            <w:r w:rsidRPr="00BE2C1D">
              <w:rPr>
                <w:rFonts w:ascii="Times New Roman" w:hAnsi="Times New Roman" w:cs="Times New Roman"/>
              </w:rPr>
              <w:lastRenderedPageBreak/>
              <w:t xml:space="preserve">Decisions to retain pupils, particularly boys who are </w:t>
            </w:r>
          </w:p>
          <w:p w14:paraId="3B4855C0" w14:textId="77777777" w:rsidR="00BE2C1D" w:rsidRPr="00BE2C1D" w:rsidRDefault="00BE2C1D" w:rsidP="00BE2C1D">
            <w:pPr>
              <w:rPr>
                <w:rFonts w:ascii="Times New Roman" w:hAnsi="Times New Roman" w:cs="Times New Roman"/>
              </w:rPr>
            </w:pPr>
          </w:p>
          <w:p w14:paraId="610E7905" w14:textId="77777777" w:rsidR="00BE2C1D" w:rsidRPr="00BE2C1D" w:rsidRDefault="00BE2C1D" w:rsidP="00BE2C1D">
            <w:pPr>
              <w:rPr>
                <w:rFonts w:ascii="Times New Roman" w:hAnsi="Times New Roman" w:cs="Times New Roman"/>
              </w:rPr>
            </w:pPr>
            <w:r w:rsidRPr="00BE2C1D">
              <w:rPr>
                <w:rFonts w:ascii="Times New Roman" w:hAnsi="Times New Roman" w:cs="Times New Roman"/>
              </w:rPr>
              <w:t xml:space="preserve"> </w:t>
            </w:r>
          </w:p>
        </w:tc>
      </w:tr>
    </w:tbl>
    <w:p w14:paraId="2108377A" w14:textId="77777777" w:rsidR="00BE2C1D" w:rsidRPr="00BE2C1D" w:rsidRDefault="00BE2C1D" w:rsidP="00BE2C1D"/>
    <w:p w14:paraId="53451212" w14:textId="77777777" w:rsidR="00BE2C1D" w:rsidRPr="00BE2C1D" w:rsidRDefault="00BE2C1D" w:rsidP="00BE2C1D"/>
    <w:tbl>
      <w:tblPr>
        <w:tblpPr w:leftFromText="180" w:rightFromText="180" w:vertAnchor="page" w:horzAnchor="margin" w:tblpX="378" w:tblpY="1306"/>
        <w:tblW w:w="9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92"/>
        <w:gridCol w:w="2298"/>
        <w:gridCol w:w="2880"/>
        <w:gridCol w:w="2070"/>
      </w:tblGrid>
      <w:tr w:rsidR="00BE2C1D" w:rsidRPr="00BE2C1D" w14:paraId="723456AA" w14:textId="77777777" w:rsidTr="00BE2C1D">
        <w:trPr>
          <w:trHeight w:val="1520"/>
        </w:trPr>
        <w:tc>
          <w:tcPr>
            <w:tcW w:w="2292" w:type="dxa"/>
          </w:tcPr>
          <w:p w14:paraId="1BD329B6" w14:textId="77777777" w:rsidR="00BE2C1D" w:rsidRPr="00BE2C1D" w:rsidRDefault="00BE2C1D" w:rsidP="00BE2C1D"/>
          <w:p w14:paraId="0EF3F78C" w14:textId="77777777" w:rsidR="00BE2C1D" w:rsidRPr="00BE2C1D" w:rsidRDefault="00BE2C1D" w:rsidP="00BE2C1D"/>
        </w:tc>
        <w:tc>
          <w:tcPr>
            <w:tcW w:w="2298" w:type="dxa"/>
          </w:tcPr>
          <w:p w14:paraId="406C73D3" w14:textId="77777777" w:rsidR="00BE2C1D" w:rsidRPr="00BE2C1D" w:rsidRDefault="00BE2C1D" w:rsidP="00BE2C1D"/>
        </w:tc>
        <w:tc>
          <w:tcPr>
            <w:tcW w:w="2880" w:type="dxa"/>
          </w:tcPr>
          <w:p w14:paraId="1BA447D0" w14:textId="77777777" w:rsidR="00BE2C1D" w:rsidRPr="00BE2C1D" w:rsidRDefault="00BE2C1D" w:rsidP="00BE2C1D"/>
        </w:tc>
        <w:tc>
          <w:tcPr>
            <w:tcW w:w="2070" w:type="dxa"/>
          </w:tcPr>
          <w:p w14:paraId="0863A818" w14:textId="77777777" w:rsidR="00BE2C1D" w:rsidRPr="00BE2C1D" w:rsidRDefault="00BE2C1D" w:rsidP="00BE2C1D">
            <w:r w:rsidRPr="00BE2C1D">
              <w:rPr>
                <w:rFonts w:ascii="Times New Roman" w:hAnsi="Times New Roman" w:cs="Times New Roman"/>
              </w:rPr>
              <w:t>experiencing school difficulties, may be influenced by their height.</w:t>
            </w:r>
          </w:p>
        </w:tc>
      </w:tr>
      <w:tr w:rsidR="00BE2C1D" w:rsidRPr="00BE2C1D" w14:paraId="19BA4817" w14:textId="77777777" w:rsidTr="00BE2C1D">
        <w:trPr>
          <w:trHeight w:val="3140"/>
        </w:trPr>
        <w:tc>
          <w:tcPr>
            <w:tcW w:w="2292" w:type="dxa"/>
          </w:tcPr>
          <w:p w14:paraId="5CEDAF91" w14:textId="77777777" w:rsidR="00BE2C1D" w:rsidRPr="00BE2C1D" w:rsidRDefault="00BE2C1D" w:rsidP="00BE2C1D">
            <w:pPr>
              <w:rPr>
                <w:rFonts w:ascii="Times New Roman" w:hAnsi="Times New Roman" w:cs="Times New Roman"/>
              </w:rPr>
            </w:pPr>
            <w:r w:rsidRPr="00BE2C1D">
              <w:rPr>
                <w:rFonts w:ascii="Times New Roman" w:hAnsi="Times New Roman" w:cs="Times New Roman"/>
              </w:rPr>
              <w:t xml:space="preserve">Lee, Appugliese, Coleman, Kaciroti, Corwyn, Bradley, Sandberg &amp; Lumeng, 2009 (Dr Lee was supported by </w:t>
            </w:r>
            <w:r w:rsidRPr="00BE2C1D">
              <w:rPr>
                <w:rFonts w:ascii="Times New Roman" w:hAnsi="Times New Roman" w:cs="Times New Roman"/>
                <w:b/>
                <w:u w:val="single"/>
              </w:rPr>
              <w:t xml:space="preserve">National Institute of Diabetes and Digestive and Kidney Diseases </w:t>
            </w:r>
            <w:r w:rsidRPr="00BE2C1D">
              <w:rPr>
                <w:rFonts w:ascii="Times New Roman" w:hAnsi="Times New Roman" w:cs="Times New Roman"/>
              </w:rPr>
              <w:t xml:space="preserve">grant and the </w:t>
            </w:r>
            <w:r w:rsidRPr="00BE2C1D">
              <w:rPr>
                <w:rFonts w:ascii="Times New Roman" w:hAnsi="Times New Roman" w:cs="Times New Roman"/>
                <w:b/>
                <w:u w:val="single"/>
              </w:rPr>
              <w:t xml:space="preserve">Clinical Sciences Scholars Program </w:t>
            </w:r>
            <w:r w:rsidRPr="00BE2C1D">
              <w:rPr>
                <w:rFonts w:ascii="Times New Roman" w:hAnsi="Times New Roman" w:cs="Times New Roman"/>
              </w:rPr>
              <w:t xml:space="preserve">at the University of Michigan. This project was supported by </w:t>
            </w:r>
            <w:r w:rsidRPr="00BE2C1D">
              <w:rPr>
                <w:rFonts w:ascii="Times New Roman" w:hAnsi="Times New Roman" w:cs="Times New Roman"/>
                <w:b/>
                <w:u w:val="single"/>
              </w:rPr>
              <w:t>American Heart Association Midwest Affiliate</w:t>
            </w:r>
            <w:r w:rsidRPr="00BE2C1D">
              <w:rPr>
                <w:rFonts w:ascii="Times New Roman" w:hAnsi="Times New Roman" w:cs="Times New Roman"/>
              </w:rPr>
              <w:t xml:space="preserve"> grant-in-aid to Dr Lumeng). </w:t>
            </w:r>
          </w:p>
        </w:tc>
        <w:tc>
          <w:tcPr>
            <w:tcW w:w="2298" w:type="dxa"/>
          </w:tcPr>
          <w:p w14:paraId="2575389A" w14:textId="77777777" w:rsidR="00BE2C1D" w:rsidRPr="00BE2C1D" w:rsidRDefault="00BE2C1D" w:rsidP="00BE2C1D">
            <w:pPr>
              <w:rPr>
                <w:rFonts w:ascii="Times New Roman" w:hAnsi="Times New Roman" w:cs="Times New Roman"/>
              </w:rPr>
            </w:pPr>
            <w:r w:rsidRPr="00BE2C1D">
              <w:rPr>
                <w:rFonts w:ascii="Times New Roman" w:hAnsi="Times New Roman" w:cs="Times New Roman"/>
              </w:rPr>
              <w:t>Ped.</w:t>
            </w:r>
          </w:p>
          <w:p w14:paraId="1D092724" w14:textId="77777777" w:rsidR="00BE2C1D" w:rsidRPr="00BE2C1D" w:rsidRDefault="00BE2C1D" w:rsidP="00BE2C1D">
            <w:pPr>
              <w:rPr>
                <w:rFonts w:ascii="Times New Roman" w:hAnsi="Times New Roman" w:cs="Times New Roman"/>
                <w:i/>
              </w:rPr>
            </w:pPr>
            <w:r w:rsidRPr="00BE2C1D">
              <w:rPr>
                <w:rFonts w:ascii="Times New Roman" w:hAnsi="Times New Roman" w:cs="Times New Roman"/>
                <w:i/>
              </w:rPr>
              <w:t xml:space="preserve">Short Stature in a Population-Based Cohort: </w:t>
            </w:r>
            <w:r w:rsidRPr="00BE2C1D">
              <w:rPr>
                <w:rFonts w:ascii="Times New Roman" w:hAnsi="Times New Roman" w:cs="Times New Roman"/>
                <w:i/>
                <w:color w:val="FF0000"/>
                <w:u w:val="single"/>
              </w:rPr>
              <w:t>Social, Emotional</w:t>
            </w:r>
            <w:r w:rsidRPr="00BE2C1D">
              <w:rPr>
                <w:rFonts w:ascii="Times New Roman" w:hAnsi="Times New Roman" w:cs="Times New Roman"/>
                <w:i/>
              </w:rPr>
              <w:t xml:space="preserve">, and </w:t>
            </w:r>
            <w:r w:rsidRPr="00BE2C1D">
              <w:rPr>
                <w:rFonts w:ascii="Times New Roman" w:hAnsi="Times New Roman" w:cs="Times New Roman"/>
                <w:i/>
                <w:color w:val="FF0000"/>
                <w:u w:val="single"/>
              </w:rPr>
              <w:t>Behavioral Functioning</w:t>
            </w:r>
          </w:p>
          <w:p w14:paraId="032F5697" w14:textId="77777777" w:rsidR="00BE2C1D" w:rsidRPr="00BE2C1D" w:rsidRDefault="00BE2C1D" w:rsidP="00BE2C1D"/>
        </w:tc>
        <w:tc>
          <w:tcPr>
            <w:tcW w:w="2880" w:type="dxa"/>
          </w:tcPr>
          <w:p w14:paraId="4A198F69" w14:textId="77777777" w:rsidR="00BE2C1D" w:rsidRPr="00BE2C1D" w:rsidRDefault="00BE2C1D" w:rsidP="00BE2C1D">
            <w:pPr>
              <w:rPr>
                <w:rFonts w:ascii="Times New Roman" w:hAnsi="Times New Roman" w:cs="Times New Roman"/>
                <w:sz w:val="20"/>
                <w:szCs w:val="20"/>
              </w:rPr>
            </w:pPr>
            <w:r w:rsidRPr="00BE2C1D">
              <w:rPr>
                <w:rFonts w:ascii="Times New Roman" w:hAnsi="Times New Roman" w:cs="Times New Roman"/>
                <w:sz w:val="20"/>
                <w:szCs w:val="20"/>
              </w:rPr>
              <w:t>Sample: 712 children with short stature in the sixth grade (47.1% boys and 52.9% girls) from the National Institute of Child Health and Human Development Study of Early Child Care and Youth Development.</w:t>
            </w:r>
          </w:p>
          <w:p w14:paraId="519F7D99" w14:textId="77777777" w:rsidR="00BE2C1D" w:rsidRPr="00BE2C1D" w:rsidRDefault="00BE2C1D" w:rsidP="00BE2C1D">
            <w:pPr>
              <w:rPr>
                <w:rFonts w:ascii="Times New Roman" w:hAnsi="Times New Roman" w:cs="Times New Roman"/>
                <w:sz w:val="20"/>
                <w:szCs w:val="20"/>
              </w:rPr>
            </w:pPr>
            <w:r w:rsidRPr="00BE2C1D">
              <w:rPr>
                <w:rFonts w:ascii="Times New Roman" w:hAnsi="Times New Roman" w:cs="Times New Roman"/>
                <w:sz w:val="20"/>
                <w:szCs w:val="20"/>
              </w:rPr>
              <w:t>Methods-Tools</w:t>
            </w:r>
          </w:p>
          <w:p w14:paraId="6EA227E0" w14:textId="77777777" w:rsidR="00BE2C1D" w:rsidRPr="00BE2C1D" w:rsidRDefault="00BE2C1D" w:rsidP="00BE2C1D">
            <w:pPr>
              <w:rPr>
                <w:rFonts w:ascii="Times New Roman" w:hAnsi="Times New Roman" w:cs="Times New Roman"/>
                <w:i/>
                <w:color w:val="8496B0" w:themeColor="text2" w:themeTint="99"/>
                <w:sz w:val="20"/>
                <w:szCs w:val="20"/>
              </w:rPr>
            </w:pPr>
            <w:r w:rsidRPr="00BE2C1D">
              <w:rPr>
                <w:rFonts w:ascii="Times New Roman" w:hAnsi="Times New Roman" w:cs="Times New Roman"/>
                <w:i/>
                <w:color w:val="8496B0" w:themeColor="text2" w:themeTint="99"/>
                <w:sz w:val="20"/>
                <w:szCs w:val="20"/>
              </w:rPr>
              <w:t>Behavioral Problems</w:t>
            </w:r>
          </w:p>
          <w:p w14:paraId="5DE0BFA6" w14:textId="77777777" w:rsidR="00BE2C1D" w:rsidRPr="00BE2C1D" w:rsidRDefault="00BE2C1D" w:rsidP="00BE2C1D">
            <w:pPr>
              <w:rPr>
                <w:rFonts w:ascii="Times New Roman" w:hAnsi="Times New Roman" w:cs="Times New Roman"/>
                <w:color w:val="8496B0" w:themeColor="text2" w:themeTint="99"/>
                <w:sz w:val="20"/>
                <w:szCs w:val="20"/>
              </w:rPr>
            </w:pPr>
            <w:r w:rsidRPr="00BE2C1D">
              <w:rPr>
                <w:rFonts w:ascii="Times New Roman" w:hAnsi="Times New Roman" w:cs="Times New Roman"/>
                <w:color w:val="8496B0" w:themeColor="text2" w:themeTint="99"/>
                <w:sz w:val="20"/>
                <w:szCs w:val="20"/>
              </w:rPr>
              <w:t>Achenbach Teacher’s Report Form (TRF)-completed by teachers</w:t>
            </w:r>
          </w:p>
          <w:p w14:paraId="12252623" w14:textId="77777777" w:rsidR="00BE2C1D" w:rsidRPr="00BE2C1D" w:rsidRDefault="00BE2C1D" w:rsidP="00BE2C1D">
            <w:pPr>
              <w:rPr>
                <w:rFonts w:ascii="Times New Roman" w:hAnsi="Times New Roman" w:cs="Times New Roman"/>
                <w:i/>
                <w:color w:val="808080" w:themeColor="background1" w:themeShade="80"/>
                <w:sz w:val="20"/>
                <w:szCs w:val="20"/>
              </w:rPr>
            </w:pPr>
            <w:r w:rsidRPr="00BE2C1D">
              <w:rPr>
                <w:rFonts w:ascii="Times New Roman" w:hAnsi="Times New Roman" w:cs="Times New Roman"/>
                <w:i/>
                <w:color w:val="808080" w:themeColor="background1" w:themeShade="80"/>
                <w:sz w:val="20"/>
                <w:szCs w:val="20"/>
              </w:rPr>
              <w:t xml:space="preserve">Childhood Depressive Symptoms </w:t>
            </w:r>
          </w:p>
          <w:p w14:paraId="3634D698" w14:textId="77777777" w:rsidR="00BE2C1D" w:rsidRPr="00BE2C1D" w:rsidRDefault="00BE2C1D" w:rsidP="00BE2C1D">
            <w:pPr>
              <w:rPr>
                <w:rFonts w:ascii="Times New Roman" w:hAnsi="Times New Roman" w:cs="Times New Roman"/>
                <w:color w:val="808080" w:themeColor="background1" w:themeShade="80"/>
                <w:sz w:val="20"/>
                <w:szCs w:val="20"/>
              </w:rPr>
            </w:pPr>
            <w:r w:rsidRPr="00BE2C1D">
              <w:rPr>
                <w:rFonts w:ascii="Times New Roman" w:hAnsi="Times New Roman" w:cs="Times New Roman"/>
                <w:color w:val="808080" w:themeColor="background1" w:themeShade="80"/>
                <w:sz w:val="20"/>
                <w:szCs w:val="20"/>
              </w:rPr>
              <w:t>Children’s Depression Inventory (Short Form)</w:t>
            </w:r>
          </w:p>
          <w:p w14:paraId="241962CE" w14:textId="77777777" w:rsidR="00BE2C1D" w:rsidRPr="00BE2C1D" w:rsidRDefault="00BE2C1D" w:rsidP="00BE2C1D">
            <w:pPr>
              <w:rPr>
                <w:rFonts w:ascii="Times New Roman" w:hAnsi="Times New Roman" w:cs="Times New Roman"/>
                <w:i/>
                <w:color w:val="BF8F00" w:themeColor="accent4" w:themeShade="BF"/>
                <w:sz w:val="20"/>
                <w:szCs w:val="20"/>
              </w:rPr>
            </w:pPr>
            <w:r w:rsidRPr="00BE2C1D">
              <w:rPr>
                <w:rFonts w:ascii="Times New Roman" w:hAnsi="Times New Roman" w:cs="Times New Roman"/>
                <w:i/>
                <w:color w:val="BF8F00" w:themeColor="accent4" w:themeShade="BF"/>
                <w:sz w:val="20"/>
                <w:szCs w:val="20"/>
              </w:rPr>
              <w:t>Optimism (children’s self-concept on the basis of stature)</w:t>
            </w:r>
          </w:p>
          <w:p w14:paraId="7CF04DA7" w14:textId="77777777" w:rsidR="00BE2C1D" w:rsidRPr="00BE2C1D" w:rsidRDefault="00BE2C1D" w:rsidP="00BE2C1D">
            <w:pPr>
              <w:rPr>
                <w:rFonts w:ascii="Times New Roman" w:hAnsi="Times New Roman" w:cs="Times New Roman"/>
                <w:color w:val="BF8F00" w:themeColor="accent4" w:themeShade="BF"/>
                <w:sz w:val="20"/>
                <w:szCs w:val="20"/>
              </w:rPr>
            </w:pPr>
            <w:r w:rsidRPr="00BE2C1D">
              <w:rPr>
                <w:rFonts w:ascii="Times New Roman" w:hAnsi="Times New Roman" w:cs="Times New Roman"/>
                <w:color w:val="BF8F00" w:themeColor="accent4" w:themeShade="BF"/>
                <w:sz w:val="20"/>
                <w:szCs w:val="20"/>
              </w:rPr>
              <w:t>Life Orientation Test-Revised</w:t>
            </w:r>
          </w:p>
          <w:p w14:paraId="29DFF130" w14:textId="77777777" w:rsidR="00BE2C1D" w:rsidRPr="00BE2C1D" w:rsidRDefault="00BE2C1D" w:rsidP="00BE2C1D">
            <w:pPr>
              <w:rPr>
                <w:rFonts w:ascii="Times New Roman" w:hAnsi="Times New Roman" w:cs="Times New Roman"/>
                <w:i/>
                <w:color w:val="538135" w:themeColor="accent6" w:themeShade="BF"/>
                <w:sz w:val="20"/>
                <w:szCs w:val="20"/>
              </w:rPr>
            </w:pPr>
            <w:r w:rsidRPr="00BE2C1D">
              <w:rPr>
                <w:rFonts w:ascii="Times New Roman" w:hAnsi="Times New Roman" w:cs="Times New Roman"/>
                <w:i/>
                <w:color w:val="538135" w:themeColor="accent6" w:themeShade="BF"/>
                <w:sz w:val="20"/>
                <w:szCs w:val="20"/>
              </w:rPr>
              <w:t>Peer Relations</w:t>
            </w:r>
          </w:p>
          <w:p w14:paraId="0F34791C" w14:textId="77777777" w:rsidR="00BE2C1D" w:rsidRPr="00BE2C1D" w:rsidRDefault="00BE2C1D" w:rsidP="00BE2C1D">
            <w:pPr>
              <w:rPr>
                <w:rFonts w:ascii="Times New Roman" w:hAnsi="Times New Roman" w:cs="Times New Roman"/>
                <w:color w:val="538135" w:themeColor="accent6" w:themeShade="BF"/>
                <w:sz w:val="20"/>
                <w:szCs w:val="20"/>
              </w:rPr>
            </w:pPr>
            <w:r w:rsidRPr="00BE2C1D">
              <w:rPr>
                <w:rFonts w:ascii="Times New Roman" w:hAnsi="Times New Roman" w:cs="Times New Roman"/>
                <w:color w:val="538135" w:themeColor="accent6" w:themeShade="BF"/>
                <w:sz w:val="20"/>
                <w:szCs w:val="20"/>
              </w:rPr>
              <w:t>Child Behavior with Peers questionnaire (asocial with peers, excluded by peers and peer victimization scales)-completed by teachers</w:t>
            </w:r>
          </w:p>
          <w:p w14:paraId="6B16E343" w14:textId="77777777" w:rsidR="00BE2C1D" w:rsidRPr="00BE2C1D" w:rsidRDefault="00BE2C1D" w:rsidP="00BE2C1D">
            <w:pPr>
              <w:rPr>
                <w:rFonts w:ascii="Times New Roman" w:hAnsi="Times New Roman" w:cs="Times New Roman"/>
                <w:i/>
                <w:color w:val="538135" w:themeColor="accent6" w:themeShade="BF"/>
                <w:sz w:val="20"/>
                <w:szCs w:val="20"/>
              </w:rPr>
            </w:pPr>
            <w:r w:rsidRPr="00BE2C1D">
              <w:rPr>
                <w:rFonts w:ascii="Times New Roman" w:hAnsi="Times New Roman" w:cs="Times New Roman"/>
                <w:i/>
                <w:color w:val="538135" w:themeColor="accent6" w:themeShade="BF"/>
                <w:sz w:val="20"/>
                <w:szCs w:val="20"/>
              </w:rPr>
              <w:t>Peer victimization-social support from peers</w:t>
            </w:r>
          </w:p>
          <w:p w14:paraId="6819751A" w14:textId="77777777" w:rsidR="00BE2C1D" w:rsidRPr="00BE2C1D" w:rsidRDefault="00BE2C1D" w:rsidP="00BE2C1D">
            <w:pPr>
              <w:rPr>
                <w:rFonts w:ascii="Times New Roman" w:hAnsi="Times New Roman" w:cs="Times New Roman"/>
                <w:color w:val="538135" w:themeColor="accent6" w:themeShade="BF"/>
                <w:sz w:val="20"/>
                <w:szCs w:val="20"/>
              </w:rPr>
            </w:pPr>
            <w:r w:rsidRPr="00BE2C1D">
              <w:rPr>
                <w:rFonts w:ascii="Times New Roman" w:hAnsi="Times New Roman" w:cs="Times New Roman"/>
                <w:color w:val="538135" w:themeColor="accent6" w:themeShade="BF"/>
                <w:sz w:val="20"/>
                <w:szCs w:val="20"/>
              </w:rPr>
              <w:t>Peer Victimization, Social Support and Bullying Questionnaire-completed by children)</w:t>
            </w:r>
          </w:p>
          <w:p w14:paraId="33AE58B6" w14:textId="77777777" w:rsidR="00BE2C1D" w:rsidRPr="00BE2C1D" w:rsidRDefault="00BE2C1D" w:rsidP="00BE2C1D">
            <w:pPr>
              <w:rPr>
                <w:rFonts w:ascii="Times New Roman" w:hAnsi="Times New Roman" w:cs="Times New Roman"/>
                <w:i/>
                <w:color w:val="538135" w:themeColor="accent6" w:themeShade="BF"/>
                <w:sz w:val="20"/>
                <w:szCs w:val="20"/>
              </w:rPr>
            </w:pPr>
            <w:r w:rsidRPr="00BE2C1D">
              <w:rPr>
                <w:rFonts w:ascii="Times New Roman" w:hAnsi="Times New Roman" w:cs="Times New Roman"/>
                <w:i/>
                <w:color w:val="538135" w:themeColor="accent6" w:themeShade="BF"/>
                <w:sz w:val="20"/>
                <w:szCs w:val="20"/>
              </w:rPr>
              <w:t>Popularity</w:t>
            </w:r>
          </w:p>
          <w:p w14:paraId="428E1808" w14:textId="77777777" w:rsidR="00BE2C1D" w:rsidRPr="00BE2C1D" w:rsidRDefault="00BE2C1D" w:rsidP="00BE2C1D">
            <w:pPr>
              <w:rPr>
                <w:rFonts w:ascii="Times New Roman" w:hAnsi="Times New Roman" w:cs="Times New Roman"/>
                <w:sz w:val="20"/>
                <w:szCs w:val="20"/>
              </w:rPr>
            </w:pPr>
            <w:r w:rsidRPr="00BE2C1D">
              <w:rPr>
                <w:rFonts w:ascii="Times New Roman" w:hAnsi="Times New Roman" w:cs="Times New Roman"/>
                <w:color w:val="538135" w:themeColor="accent6" w:themeShade="BF"/>
                <w:sz w:val="20"/>
                <w:szCs w:val="20"/>
              </w:rPr>
              <w:t>Relationships with Peers scale (completed by teachers)</w:t>
            </w:r>
            <w:r w:rsidRPr="00BE2C1D">
              <w:rPr>
                <w:rFonts w:ascii="Times New Roman" w:hAnsi="Times New Roman" w:cs="Times New Roman"/>
                <w:sz w:val="20"/>
                <w:szCs w:val="20"/>
              </w:rPr>
              <w:t xml:space="preserve"> </w:t>
            </w:r>
          </w:p>
        </w:tc>
        <w:tc>
          <w:tcPr>
            <w:tcW w:w="2070" w:type="dxa"/>
          </w:tcPr>
          <w:p w14:paraId="603CC38B" w14:textId="77777777" w:rsidR="00BE2C1D" w:rsidRPr="00BE2C1D" w:rsidRDefault="00BE2C1D" w:rsidP="00BE2C1D">
            <w:pPr>
              <w:rPr>
                <w:rFonts w:ascii="Times New Roman" w:hAnsi="Times New Roman" w:cs="Times New Roman"/>
              </w:rPr>
            </w:pPr>
            <w:r w:rsidRPr="00BE2C1D">
              <w:rPr>
                <w:rFonts w:ascii="Times New Roman" w:hAnsi="Times New Roman" w:cs="Times New Roman"/>
              </w:rPr>
              <w:t>There were no significant differences in</w:t>
            </w:r>
            <w:r w:rsidRPr="00BE2C1D">
              <w:rPr>
                <w:rFonts w:ascii="Times New Roman" w:hAnsi="Times New Roman" w:cs="Times New Roman"/>
                <w:color w:val="538135" w:themeColor="accent6" w:themeShade="BF"/>
              </w:rPr>
              <w:t xml:space="preserve"> social,</w:t>
            </w:r>
            <w:r w:rsidRPr="00BE2C1D">
              <w:rPr>
                <w:rFonts w:ascii="Times New Roman" w:hAnsi="Times New Roman" w:cs="Times New Roman"/>
              </w:rPr>
              <w:t xml:space="preserve"> emotional and </w:t>
            </w:r>
            <w:r w:rsidRPr="00BE2C1D">
              <w:rPr>
                <w:rFonts w:ascii="Times New Roman" w:hAnsi="Times New Roman" w:cs="Times New Roman"/>
                <w:color w:val="8496B0" w:themeColor="text2" w:themeTint="99"/>
              </w:rPr>
              <w:t>behavioural functioning</w:t>
            </w:r>
            <w:r w:rsidRPr="00BE2C1D">
              <w:rPr>
                <w:rFonts w:ascii="Times New Roman" w:hAnsi="Times New Roman" w:cs="Times New Roman"/>
              </w:rPr>
              <w:t xml:space="preserve"> between short children and the control group.</w:t>
            </w:r>
          </w:p>
          <w:p w14:paraId="1626A721" w14:textId="77777777" w:rsidR="00BE2C1D" w:rsidRPr="00BE2C1D" w:rsidRDefault="00BE2C1D" w:rsidP="00BE2C1D">
            <w:pPr>
              <w:rPr>
                <w:rFonts w:ascii="Times New Roman" w:hAnsi="Times New Roman" w:cs="Times New Roman"/>
              </w:rPr>
            </w:pPr>
            <w:r w:rsidRPr="00BE2C1D">
              <w:rPr>
                <w:rFonts w:ascii="Times New Roman" w:hAnsi="Times New Roman" w:cs="Times New Roman"/>
              </w:rPr>
              <w:t>Short children reported marginally higher levels of self-perceived peer victimization compared with their nonshort peers.</w:t>
            </w:r>
          </w:p>
          <w:p w14:paraId="63E66B96" w14:textId="77777777" w:rsidR="00BE2C1D" w:rsidRPr="00BE2C1D" w:rsidRDefault="00BE2C1D" w:rsidP="00BE2C1D">
            <w:pPr>
              <w:rPr>
                <w:rFonts w:ascii="Times New Roman" w:hAnsi="Times New Roman" w:cs="Times New Roman"/>
              </w:rPr>
            </w:pPr>
          </w:p>
        </w:tc>
      </w:tr>
    </w:tbl>
    <w:p w14:paraId="1A6C51BB" w14:textId="77777777" w:rsidR="00BE2C1D" w:rsidRPr="00BE2C1D" w:rsidRDefault="00BE2C1D" w:rsidP="00BE2C1D"/>
    <w:p w14:paraId="48882F53" w14:textId="77777777" w:rsidR="00BE2C1D" w:rsidRPr="00BE2C1D" w:rsidRDefault="00BE2C1D" w:rsidP="00BE2C1D"/>
    <w:p w14:paraId="2B8C6C6E" w14:textId="77777777" w:rsidR="00BE2C1D" w:rsidRPr="00BE2C1D" w:rsidRDefault="00BE2C1D" w:rsidP="00BE2C1D">
      <w:pPr>
        <w:rPr>
          <w:rFonts w:ascii="Times New Roman" w:hAnsi="Times New Roman" w:cs="Times New Roman"/>
        </w:rPr>
      </w:pPr>
      <w:r w:rsidRPr="00BE2C1D">
        <w:rPr>
          <w:rFonts w:ascii="Times New Roman" w:hAnsi="Times New Roman" w:cs="Times New Roman"/>
        </w:rPr>
        <w:t xml:space="preserve">                                                                                                     </w:t>
      </w:r>
    </w:p>
    <w:p w14:paraId="4528734E" w14:textId="77777777" w:rsidR="00BE2C1D" w:rsidRPr="00BE2C1D" w:rsidRDefault="00BE2C1D" w:rsidP="00BE2C1D">
      <w:pPr>
        <w:keepNext/>
        <w:keepLines/>
        <w:spacing w:before="40" w:after="0"/>
        <w:outlineLvl w:val="1"/>
        <w:rPr>
          <w:rFonts w:asciiTheme="majorHAnsi" w:eastAsiaTheme="majorEastAsia" w:hAnsiTheme="majorHAnsi" w:cstheme="majorBidi"/>
          <w:color w:val="2F5496" w:themeColor="accent1" w:themeShade="BF"/>
          <w:sz w:val="26"/>
          <w:szCs w:val="26"/>
        </w:rPr>
      </w:pPr>
      <w:bookmarkStart w:id="203" w:name="_Toc39585302"/>
      <w:r w:rsidRPr="00BE2C1D">
        <w:rPr>
          <w:rFonts w:asciiTheme="majorHAnsi" w:eastAsiaTheme="majorEastAsia" w:hAnsiTheme="majorHAnsi" w:cstheme="majorBidi"/>
          <w:color w:val="2F5496" w:themeColor="accent1" w:themeShade="BF"/>
          <w:sz w:val="26"/>
          <w:szCs w:val="26"/>
        </w:rPr>
        <w:lastRenderedPageBreak/>
        <w:t>Appendix 2: Heightism in Language</w:t>
      </w:r>
      <w:bookmarkEnd w:id="203"/>
      <w:r w:rsidRPr="00BE2C1D">
        <w:rPr>
          <w:rFonts w:asciiTheme="majorHAnsi" w:eastAsiaTheme="majorEastAsia" w:hAnsiTheme="majorHAnsi" w:cstheme="majorBidi"/>
          <w:color w:val="2F5496" w:themeColor="accent1" w:themeShade="BF"/>
          <w:sz w:val="26"/>
          <w:szCs w:val="26"/>
        </w:rPr>
        <w:t xml:space="preserve">  </w:t>
      </w:r>
    </w:p>
    <w:p w14:paraId="3BDC4BC8" w14:textId="77777777" w:rsidR="00BE2C1D" w:rsidRPr="00BE2C1D" w:rsidRDefault="00BE2C1D" w:rsidP="00BE2C1D">
      <w:pPr>
        <w:jc w:val="both"/>
        <w:rPr>
          <w:rFonts w:ascii="Times New Roman" w:hAnsi="Times New Roman" w:cs="Times New Roman"/>
          <w:b/>
          <w:sz w:val="24"/>
          <w:szCs w:val="24"/>
          <w:u w:val="single"/>
          <w:lang w:val="en-US"/>
        </w:rPr>
      </w:pPr>
    </w:p>
    <w:tbl>
      <w:tblPr>
        <w:tblStyle w:val="TableGrid"/>
        <w:tblW w:w="0" w:type="auto"/>
        <w:tblLook w:val="04A0" w:firstRow="1" w:lastRow="0" w:firstColumn="1" w:lastColumn="0" w:noHBand="0" w:noVBand="1"/>
      </w:tblPr>
      <w:tblGrid>
        <w:gridCol w:w="4499"/>
        <w:gridCol w:w="4483"/>
      </w:tblGrid>
      <w:tr w:rsidR="00BE2C1D" w:rsidRPr="00BE2C1D" w14:paraId="37866AE1" w14:textId="77777777" w:rsidTr="00BE2C1D">
        <w:trPr>
          <w:trHeight w:val="732"/>
        </w:trPr>
        <w:tc>
          <w:tcPr>
            <w:tcW w:w="4499" w:type="dxa"/>
          </w:tcPr>
          <w:p w14:paraId="0D540656" w14:textId="77777777" w:rsidR="00BE2C1D" w:rsidRPr="00BE2C1D" w:rsidRDefault="00BE2C1D" w:rsidP="00BE2C1D">
            <w:pPr>
              <w:spacing w:line="360" w:lineRule="auto"/>
              <w:jc w:val="center"/>
              <w:rPr>
                <w:rFonts w:ascii="Times New Roman" w:hAnsi="Times New Roman" w:cs="Times New Roman"/>
              </w:rPr>
            </w:pPr>
            <w:r w:rsidRPr="00BE2C1D">
              <w:rPr>
                <w:rFonts w:ascii="Times New Roman" w:hAnsi="Times New Roman" w:cs="Times New Roman"/>
              </w:rPr>
              <w:t>Expressions with negative connotation</w:t>
            </w:r>
          </w:p>
        </w:tc>
        <w:tc>
          <w:tcPr>
            <w:tcW w:w="4483" w:type="dxa"/>
          </w:tcPr>
          <w:p w14:paraId="6B83BA13" w14:textId="77777777" w:rsidR="00BE2C1D" w:rsidRPr="00BE2C1D" w:rsidRDefault="00BE2C1D" w:rsidP="00BE2C1D">
            <w:pPr>
              <w:spacing w:line="360" w:lineRule="auto"/>
              <w:jc w:val="center"/>
              <w:rPr>
                <w:rFonts w:ascii="Times New Roman" w:hAnsi="Times New Roman" w:cs="Times New Roman"/>
              </w:rPr>
            </w:pPr>
            <w:r w:rsidRPr="00BE2C1D">
              <w:rPr>
                <w:rFonts w:ascii="Times New Roman" w:hAnsi="Times New Roman" w:cs="Times New Roman"/>
              </w:rPr>
              <w:t>Expressions with positive connotation</w:t>
            </w:r>
          </w:p>
        </w:tc>
      </w:tr>
      <w:tr w:rsidR="00BE2C1D" w:rsidRPr="00BE2C1D" w14:paraId="70D67A84" w14:textId="77777777" w:rsidTr="00BE2C1D">
        <w:trPr>
          <w:trHeight w:val="765"/>
        </w:trPr>
        <w:tc>
          <w:tcPr>
            <w:tcW w:w="4499" w:type="dxa"/>
          </w:tcPr>
          <w:p w14:paraId="3ABF1CDE" w14:textId="77777777" w:rsidR="00BE2C1D" w:rsidRPr="00BE2C1D" w:rsidRDefault="00BE2C1D" w:rsidP="00BE2C1D">
            <w:pPr>
              <w:spacing w:line="360" w:lineRule="auto"/>
              <w:jc w:val="center"/>
              <w:rPr>
                <w:rFonts w:ascii="Times New Roman" w:hAnsi="Times New Roman" w:cs="Times New Roman"/>
              </w:rPr>
            </w:pPr>
            <w:r w:rsidRPr="00BE2C1D">
              <w:rPr>
                <w:rFonts w:ascii="Times New Roman" w:hAnsi="Times New Roman" w:cs="Times New Roman"/>
              </w:rPr>
              <w:t xml:space="preserve">Look </w:t>
            </w:r>
            <w:r w:rsidRPr="00BE2C1D">
              <w:rPr>
                <w:rFonts w:ascii="Times New Roman" w:hAnsi="Times New Roman" w:cs="Times New Roman"/>
                <w:b/>
              </w:rPr>
              <w:t>down</w:t>
            </w:r>
            <w:r w:rsidRPr="00BE2C1D">
              <w:rPr>
                <w:rFonts w:ascii="Times New Roman" w:hAnsi="Times New Roman" w:cs="Times New Roman"/>
              </w:rPr>
              <w:t xml:space="preserve"> on</w:t>
            </w:r>
          </w:p>
        </w:tc>
        <w:tc>
          <w:tcPr>
            <w:tcW w:w="4483" w:type="dxa"/>
          </w:tcPr>
          <w:p w14:paraId="50C35666" w14:textId="77777777" w:rsidR="00BE2C1D" w:rsidRPr="00BE2C1D" w:rsidRDefault="00BE2C1D" w:rsidP="00BE2C1D">
            <w:pPr>
              <w:spacing w:line="360" w:lineRule="auto"/>
              <w:jc w:val="center"/>
              <w:rPr>
                <w:rFonts w:ascii="Times New Roman" w:hAnsi="Times New Roman" w:cs="Times New Roman"/>
              </w:rPr>
            </w:pPr>
            <w:r w:rsidRPr="00BE2C1D">
              <w:rPr>
                <w:rFonts w:ascii="Times New Roman" w:hAnsi="Times New Roman" w:cs="Times New Roman"/>
              </w:rPr>
              <w:t xml:space="preserve">Look </w:t>
            </w:r>
            <w:r w:rsidRPr="00BE2C1D">
              <w:rPr>
                <w:rFonts w:ascii="Times New Roman" w:hAnsi="Times New Roman" w:cs="Times New Roman"/>
                <w:b/>
              </w:rPr>
              <w:t xml:space="preserve">up </w:t>
            </w:r>
            <w:r w:rsidRPr="00BE2C1D">
              <w:rPr>
                <w:rFonts w:ascii="Times New Roman" w:hAnsi="Times New Roman" w:cs="Times New Roman"/>
              </w:rPr>
              <w:t>to</w:t>
            </w:r>
          </w:p>
        </w:tc>
      </w:tr>
      <w:tr w:rsidR="00BE2C1D" w:rsidRPr="00BE2C1D" w14:paraId="06C22D7F" w14:textId="77777777" w:rsidTr="00BE2C1D">
        <w:trPr>
          <w:trHeight w:val="732"/>
        </w:trPr>
        <w:tc>
          <w:tcPr>
            <w:tcW w:w="4499" w:type="dxa"/>
          </w:tcPr>
          <w:p w14:paraId="6F2716A2" w14:textId="77777777" w:rsidR="00BE2C1D" w:rsidRPr="00BE2C1D" w:rsidRDefault="00BE2C1D" w:rsidP="00BE2C1D">
            <w:pPr>
              <w:spacing w:line="360" w:lineRule="auto"/>
              <w:jc w:val="center"/>
              <w:rPr>
                <w:rFonts w:ascii="Times New Roman" w:hAnsi="Times New Roman" w:cs="Times New Roman"/>
              </w:rPr>
            </w:pPr>
            <w:r w:rsidRPr="00BE2C1D">
              <w:rPr>
                <w:rFonts w:ascii="Times New Roman" w:hAnsi="Times New Roman" w:cs="Times New Roman"/>
                <w:b/>
              </w:rPr>
              <w:t xml:space="preserve">Short </w:t>
            </w:r>
            <w:r w:rsidRPr="00BE2C1D">
              <w:rPr>
                <w:rFonts w:ascii="Times New Roman" w:hAnsi="Times New Roman" w:cs="Times New Roman"/>
              </w:rPr>
              <w:t>shrift</w:t>
            </w:r>
          </w:p>
        </w:tc>
        <w:tc>
          <w:tcPr>
            <w:tcW w:w="4483" w:type="dxa"/>
          </w:tcPr>
          <w:p w14:paraId="499C2848" w14:textId="77777777" w:rsidR="00BE2C1D" w:rsidRPr="00BE2C1D" w:rsidRDefault="00BE2C1D" w:rsidP="00BE2C1D">
            <w:pPr>
              <w:spacing w:line="360" w:lineRule="auto"/>
              <w:jc w:val="center"/>
              <w:rPr>
                <w:rFonts w:ascii="Times New Roman" w:hAnsi="Times New Roman" w:cs="Times New Roman"/>
              </w:rPr>
            </w:pPr>
            <w:r w:rsidRPr="00BE2C1D">
              <w:rPr>
                <w:rFonts w:ascii="Times New Roman" w:hAnsi="Times New Roman" w:cs="Times New Roman"/>
                <w:b/>
              </w:rPr>
              <w:t xml:space="preserve">Big </w:t>
            </w:r>
            <w:r w:rsidRPr="00BE2C1D">
              <w:rPr>
                <w:rFonts w:ascii="Times New Roman" w:hAnsi="Times New Roman" w:cs="Times New Roman"/>
              </w:rPr>
              <w:t>man on campus</w:t>
            </w:r>
          </w:p>
        </w:tc>
      </w:tr>
      <w:tr w:rsidR="00BE2C1D" w:rsidRPr="00BE2C1D" w14:paraId="237A93A3" w14:textId="77777777" w:rsidTr="00BE2C1D">
        <w:trPr>
          <w:trHeight w:val="732"/>
        </w:trPr>
        <w:tc>
          <w:tcPr>
            <w:tcW w:w="4499" w:type="dxa"/>
          </w:tcPr>
          <w:p w14:paraId="625824B8" w14:textId="77777777" w:rsidR="00BE2C1D" w:rsidRPr="00BE2C1D" w:rsidRDefault="00BE2C1D" w:rsidP="00BE2C1D">
            <w:pPr>
              <w:spacing w:line="360" w:lineRule="auto"/>
              <w:jc w:val="center"/>
              <w:rPr>
                <w:rFonts w:ascii="Times New Roman" w:hAnsi="Times New Roman" w:cs="Times New Roman"/>
              </w:rPr>
            </w:pPr>
            <w:r w:rsidRPr="00BE2C1D">
              <w:rPr>
                <w:rFonts w:ascii="Times New Roman" w:hAnsi="Times New Roman" w:cs="Times New Roman"/>
              </w:rPr>
              <w:t xml:space="preserve">Coming up </w:t>
            </w:r>
            <w:r w:rsidRPr="00BE2C1D">
              <w:rPr>
                <w:rFonts w:ascii="Times New Roman" w:hAnsi="Times New Roman" w:cs="Times New Roman"/>
                <w:b/>
              </w:rPr>
              <w:t>short</w:t>
            </w:r>
          </w:p>
        </w:tc>
        <w:tc>
          <w:tcPr>
            <w:tcW w:w="4483" w:type="dxa"/>
          </w:tcPr>
          <w:p w14:paraId="6A85A0E6" w14:textId="77777777" w:rsidR="00BE2C1D" w:rsidRPr="00BE2C1D" w:rsidRDefault="00BE2C1D" w:rsidP="00BE2C1D">
            <w:pPr>
              <w:spacing w:line="360" w:lineRule="auto"/>
              <w:jc w:val="center"/>
              <w:rPr>
                <w:rFonts w:ascii="Times New Roman" w:hAnsi="Times New Roman" w:cs="Times New Roman"/>
              </w:rPr>
            </w:pPr>
            <w:r w:rsidRPr="00BE2C1D">
              <w:rPr>
                <w:rFonts w:ascii="Times New Roman" w:hAnsi="Times New Roman" w:cs="Times New Roman"/>
              </w:rPr>
              <w:t xml:space="preserve">Head and shoulders </w:t>
            </w:r>
            <w:r w:rsidRPr="00BE2C1D">
              <w:rPr>
                <w:rFonts w:ascii="Times New Roman" w:hAnsi="Times New Roman" w:cs="Times New Roman"/>
                <w:b/>
              </w:rPr>
              <w:t>above</w:t>
            </w:r>
            <w:r w:rsidRPr="00BE2C1D">
              <w:rPr>
                <w:rFonts w:ascii="Times New Roman" w:hAnsi="Times New Roman" w:cs="Times New Roman"/>
              </w:rPr>
              <w:t xml:space="preserve"> the rest</w:t>
            </w:r>
          </w:p>
        </w:tc>
      </w:tr>
      <w:tr w:rsidR="00BE2C1D" w:rsidRPr="00BE2C1D" w14:paraId="45A2873D" w14:textId="77777777" w:rsidTr="00BE2C1D">
        <w:trPr>
          <w:trHeight w:val="732"/>
        </w:trPr>
        <w:tc>
          <w:tcPr>
            <w:tcW w:w="4499" w:type="dxa"/>
          </w:tcPr>
          <w:p w14:paraId="307EA643" w14:textId="77777777" w:rsidR="00BE2C1D" w:rsidRPr="00BE2C1D" w:rsidRDefault="00BE2C1D" w:rsidP="00BE2C1D">
            <w:pPr>
              <w:spacing w:line="360" w:lineRule="auto"/>
              <w:jc w:val="center"/>
              <w:rPr>
                <w:rFonts w:ascii="Times New Roman" w:hAnsi="Times New Roman" w:cs="Times New Roman"/>
              </w:rPr>
            </w:pPr>
            <w:r w:rsidRPr="00BE2C1D">
              <w:rPr>
                <w:rFonts w:ascii="Times New Roman" w:hAnsi="Times New Roman" w:cs="Times New Roman"/>
              </w:rPr>
              <w:t xml:space="preserve">Get the </w:t>
            </w:r>
            <w:r w:rsidRPr="00BE2C1D">
              <w:rPr>
                <w:rFonts w:ascii="Times New Roman" w:hAnsi="Times New Roman" w:cs="Times New Roman"/>
                <w:b/>
              </w:rPr>
              <w:t>short</w:t>
            </w:r>
            <w:r w:rsidRPr="00BE2C1D">
              <w:rPr>
                <w:rFonts w:ascii="Times New Roman" w:hAnsi="Times New Roman" w:cs="Times New Roman"/>
              </w:rPr>
              <w:t xml:space="preserve"> end of the stick</w:t>
            </w:r>
          </w:p>
        </w:tc>
        <w:tc>
          <w:tcPr>
            <w:tcW w:w="4483" w:type="dxa"/>
          </w:tcPr>
          <w:p w14:paraId="05BD2E36" w14:textId="77777777" w:rsidR="00BE2C1D" w:rsidRPr="00BE2C1D" w:rsidRDefault="00BE2C1D" w:rsidP="00BE2C1D">
            <w:pPr>
              <w:spacing w:line="360" w:lineRule="auto"/>
              <w:jc w:val="center"/>
              <w:rPr>
                <w:rFonts w:ascii="Times New Roman" w:hAnsi="Times New Roman" w:cs="Times New Roman"/>
              </w:rPr>
            </w:pPr>
            <w:r w:rsidRPr="00BE2C1D">
              <w:rPr>
                <w:rFonts w:ascii="Times New Roman" w:hAnsi="Times New Roman" w:cs="Times New Roman"/>
              </w:rPr>
              <w:t xml:space="preserve">Stand </w:t>
            </w:r>
            <w:r w:rsidRPr="00BE2C1D">
              <w:rPr>
                <w:rFonts w:ascii="Times New Roman" w:hAnsi="Times New Roman" w:cs="Times New Roman"/>
                <w:b/>
              </w:rPr>
              <w:t>tall</w:t>
            </w:r>
          </w:p>
        </w:tc>
      </w:tr>
      <w:tr w:rsidR="00BE2C1D" w:rsidRPr="00BE2C1D" w14:paraId="3C6E31B2" w14:textId="77777777" w:rsidTr="00BE2C1D">
        <w:trPr>
          <w:trHeight w:val="765"/>
        </w:trPr>
        <w:tc>
          <w:tcPr>
            <w:tcW w:w="4499" w:type="dxa"/>
          </w:tcPr>
          <w:p w14:paraId="072AFCCA" w14:textId="77777777" w:rsidR="00BE2C1D" w:rsidRPr="00BE2C1D" w:rsidRDefault="00BE2C1D" w:rsidP="00BE2C1D">
            <w:pPr>
              <w:spacing w:line="360" w:lineRule="auto"/>
              <w:jc w:val="center"/>
              <w:rPr>
                <w:rFonts w:ascii="Times New Roman" w:hAnsi="Times New Roman" w:cs="Times New Roman"/>
              </w:rPr>
            </w:pPr>
            <w:r w:rsidRPr="00BE2C1D">
              <w:rPr>
                <w:rFonts w:ascii="Times New Roman" w:hAnsi="Times New Roman" w:cs="Times New Roman"/>
              </w:rPr>
              <w:t xml:space="preserve">Caught </w:t>
            </w:r>
            <w:r w:rsidRPr="00BE2C1D">
              <w:rPr>
                <w:rFonts w:ascii="Times New Roman" w:hAnsi="Times New Roman" w:cs="Times New Roman"/>
                <w:b/>
              </w:rPr>
              <w:t>short</w:t>
            </w:r>
          </w:p>
        </w:tc>
        <w:tc>
          <w:tcPr>
            <w:tcW w:w="4483" w:type="dxa"/>
          </w:tcPr>
          <w:p w14:paraId="17308BC1" w14:textId="77777777" w:rsidR="00BE2C1D" w:rsidRPr="00BE2C1D" w:rsidRDefault="00BE2C1D" w:rsidP="00BE2C1D">
            <w:pPr>
              <w:spacing w:line="360" w:lineRule="auto"/>
              <w:jc w:val="center"/>
              <w:rPr>
                <w:rFonts w:ascii="Times New Roman" w:hAnsi="Times New Roman" w:cs="Times New Roman"/>
              </w:rPr>
            </w:pPr>
            <w:r w:rsidRPr="00BE2C1D">
              <w:rPr>
                <w:rFonts w:ascii="Times New Roman" w:hAnsi="Times New Roman" w:cs="Times New Roman"/>
              </w:rPr>
              <w:t xml:space="preserve">Be the </w:t>
            </w:r>
            <w:r w:rsidRPr="00BE2C1D">
              <w:rPr>
                <w:rFonts w:ascii="Times New Roman" w:hAnsi="Times New Roman" w:cs="Times New Roman"/>
                <w:b/>
              </w:rPr>
              <w:t>bigger</w:t>
            </w:r>
            <w:r w:rsidRPr="00BE2C1D">
              <w:rPr>
                <w:rFonts w:ascii="Times New Roman" w:hAnsi="Times New Roman" w:cs="Times New Roman"/>
              </w:rPr>
              <w:t xml:space="preserve"> person</w:t>
            </w:r>
          </w:p>
        </w:tc>
      </w:tr>
      <w:tr w:rsidR="00BE2C1D" w:rsidRPr="00BE2C1D" w14:paraId="1FB2B042" w14:textId="77777777" w:rsidTr="00BE2C1D">
        <w:trPr>
          <w:trHeight w:val="732"/>
        </w:trPr>
        <w:tc>
          <w:tcPr>
            <w:tcW w:w="4499" w:type="dxa"/>
          </w:tcPr>
          <w:p w14:paraId="6A75578C" w14:textId="77777777" w:rsidR="00BE2C1D" w:rsidRPr="00BE2C1D" w:rsidRDefault="00BE2C1D" w:rsidP="00BE2C1D">
            <w:pPr>
              <w:spacing w:line="360" w:lineRule="auto"/>
              <w:jc w:val="center"/>
              <w:rPr>
                <w:rFonts w:ascii="Times New Roman" w:hAnsi="Times New Roman" w:cs="Times New Roman"/>
              </w:rPr>
            </w:pPr>
            <w:r w:rsidRPr="00BE2C1D">
              <w:rPr>
                <w:rFonts w:ascii="Times New Roman" w:hAnsi="Times New Roman" w:cs="Times New Roman"/>
              </w:rPr>
              <w:t xml:space="preserve">Draw the </w:t>
            </w:r>
            <w:r w:rsidRPr="00BE2C1D">
              <w:rPr>
                <w:rFonts w:ascii="Times New Roman" w:hAnsi="Times New Roman" w:cs="Times New Roman"/>
                <w:b/>
              </w:rPr>
              <w:t>short</w:t>
            </w:r>
            <w:r w:rsidRPr="00BE2C1D">
              <w:rPr>
                <w:rFonts w:ascii="Times New Roman" w:hAnsi="Times New Roman" w:cs="Times New Roman"/>
              </w:rPr>
              <w:t xml:space="preserve"> straw</w:t>
            </w:r>
          </w:p>
        </w:tc>
        <w:tc>
          <w:tcPr>
            <w:tcW w:w="4483" w:type="dxa"/>
          </w:tcPr>
          <w:p w14:paraId="32AC868D" w14:textId="77777777" w:rsidR="00BE2C1D" w:rsidRPr="00BE2C1D" w:rsidRDefault="00BE2C1D" w:rsidP="00BE2C1D">
            <w:pPr>
              <w:spacing w:line="360" w:lineRule="auto"/>
              <w:jc w:val="center"/>
              <w:rPr>
                <w:rFonts w:ascii="Times New Roman" w:hAnsi="Times New Roman" w:cs="Times New Roman"/>
              </w:rPr>
            </w:pPr>
            <w:r w:rsidRPr="00BE2C1D">
              <w:rPr>
                <w:rFonts w:ascii="Times New Roman" w:hAnsi="Times New Roman" w:cs="Times New Roman"/>
              </w:rPr>
              <w:t>Make it</w:t>
            </w:r>
            <w:r w:rsidRPr="00BE2C1D">
              <w:rPr>
                <w:rFonts w:ascii="Times New Roman" w:hAnsi="Times New Roman" w:cs="Times New Roman"/>
                <w:b/>
              </w:rPr>
              <w:t xml:space="preserve"> big</w:t>
            </w:r>
          </w:p>
        </w:tc>
      </w:tr>
      <w:tr w:rsidR="00BE2C1D" w:rsidRPr="00BE2C1D" w14:paraId="5D8D1C60" w14:textId="77777777" w:rsidTr="00BE2C1D">
        <w:trPr>
          <w:trHeight w:val="732"/>
        </w:trPr>
        <w:tc>
          <w:tcPr>
            <w:tcW w:w="4499" w:type="dxa"/>
          </w:tcPr>
          <w:p w14:paraId="25209012" w14:textId="77777777" w:rsidR="00BE2C1D" w:rsidRPr="00BE2C1D" w:rsidRDefault="00BE2C1D" w:rsidP="00BE2C1D">
            <w:pPr>
              <w:spacing w:line="360" w:lineRule="auto"/>
              <w:jc w:val="center"/>
              <w:rPr>
                <w:rFonts w:ascii="Times New Roman" w:hAnsi="Times New Roman" w:cs="Times New Roman"/>
              </w:rPr>
            </w:pPr>
            <w:r w:rsidRPr="00BE2C1D">
              <w:rPr>
                <w:rFonts w:ascii="Times New Roman" w:hAnsi="Times New Roman" w:cs="Times New Roman"/>
                <w:b/>
              </w:rPr>
              <w:t>Short</w:t>
            </w:r>
            <w:r w:rsidRPr="00BE2C1D">
              <w:rPr>
                <w:rFonts w:ascii="Times New Roman" w:hAnsi="Times New Roman" w:cs="Times New Roman"/>
              </w:rPr>
              <w:t xml:space="preserve"> change</w:t>
            </w:r>
          </w:p>
        </w:tc>
        <w:tc>
          <w:tcPr>
            <w:tcW w:w="4483" w:type="dxa"/>
          </w:tcPr>
          <w:p w14:paraId="6D43CFF0" w14:textId="77777777" w:rsidR="00BE2C1D" w:rsidRPr="00BE2C1D" w:rsidRDefault="00BE2C1D" w:rsidP="00BE2C1D">
            <w:pPr>
              <w:spacing w:line="360" w:lineRule="auto"/>
              <w:jc w:val="center"/>
              <w:rPr>
                <w:rFonts w:ascii="Times New Roman" w:hAnsi="Times New Roman" w:cs="Times New Roman"/>
                <w:b/>
              </w:rPr>
            </w:pPr>
            <w:r w:rsidRPr="00BE2C1D">
              <w:rPr>
                <w:rFonts w:ascii="Times New Roman" w:hAnsi="Times New Roman" w:cs="Times New Roman"/>
              </w:rPr>
              <w:t xml:space="preserve">Stand on the shoulders of </w:t>
            </w:r>
            <w:r w:rsidRPr="00BE2C1D">
              <w:rPr>
                <w:rFonts w:ascii="Times New Roman" w:hAnsi="Times New Roman" w:cs="Times New Roman"/>
                <w:b/>
              </w:rPr>
              <w:t>giants</w:t>
            </w:r>
          </w:p>
        </w:tc>
      </w:tr>
      <w:tr w:rsidR="00BE2C1D" w:rsidRPr="00BE2C1D" w14:paraId="2ABA99A3" w14:textId="77777777" w:rsidTr="00BE2C1D">
        <w:trPr>
          <w:trHeight w:val="732"/>
        </w:trPr>
        <w:tc>
          <w:tcPr>
            <w:tcW w:w="4499" w:type="dxa"/>
          </w:tcPr>
          <w:p w14:paraId="09868830" w14:textId="77777777" w:rsidR="00BE2C1D" w:rsidRPr="00BE2C1D" w:rsidRDefault="00BE2C1D" w:rsidP="00BE2C1D">
            <w:pPr>
              <w:spacing w:line="360" w:lineRule="auto"/>
              <w:jc w:val="center"/>
              <w:rPr>
                <w:rFonts w:ascii="Times New Roman" w:hAnsi="Times New Roman" w:cs="Times New Roman"/>
              </w:rPr>
            </w:pPr>
            <w:r w:rsidRPr="00BE2C1D">
              <w:rPr>
                <w:rFonts w:ascii="Times New Roman" w:hAnsi="Times New Roman" w:cs="Times New Roman"/>
              </w:rPr>
              <w:t xml:space="preserve">Feel </w:t>
            </w:r>
            <w:r w:rsidRPr="00BE2C1D">
              <w:rPr>
                <w:rFonts w:ascii="Times New Roman" w:hAnsi="Times New Roman" w:cs="Times New Roman"/>
                <w:b/>
              </w:rPr>
              <w:t>small</w:t>
            </w:r>
          </w:p>
        </w:tc>
        <w:tc>
          <w:tcPr>
            <w:tcW w:w="4483" w:type="dxa"/>
          </w:tcPr>
          <w:p w14:paraId="09234FD7" w14:textId="77777777" w:rsidR="00BE2C1D" w:rsidRPr="00BE2C1D" w:rsidRDefault="00BE2C1D" w:rsidP="00BE2C1D">
            <w:pPr>
              <w:spacing w:line="360" w:lineRule="auto"/>
              <w:jc w:val="center"/>
              <w:rPr>
                <w:rFonts w:ascii="Times New Roman" w:hAnsi="Times New Roman" w:cs="Times New Roman"/>
              </w:rPr>
            </w:pPr>
          </w:p>
        </w:tc>
      </w:tr>
      <w:tr w:rsidR="00BE2C1D" w:rsidRPr="00BE2C1D" w14:paraId="4ED90F21" w14:textId="77777777" w:rsidTr="00BE2C1D">
        <w:trPr>
          <w:trHeight w:val="765"/>
        </w:trPr>
        <w:tc>
          <w:tcPr>
            <w:tcW w:w="4499" w:type="dxa"/>
          </w:tcPr>
          <w:p w14:paraId="53A4D456" w14:textId="77777777" w:rsidR="00BE2C1D" w:rsidRPr="00BE2C1D" w:rsidRDefault="00BE2C1D" w:rsidP="00BE2C1D">
            <w:pPr>
              <w:spacing w:line="360" w:lineRule="auto"/>
              <w:jc w:val="center"/>
              <w:rPr>
                <w:rFonts w:ascii="Times New Roman" w:hAnsi="Times New Roman" w:cs="Times New Roman"/>
              </w:rPr>
            </w:pPr>
            <w:r w:rsidRPr="00BE2C1D">
              <w:rPr>
                <w:rFonts w:ascii="Times New Roman" w:hAnsi="Times New Roman" w:cs="Times New Roman"/>
                <w:b/>
              </w:rPr>
              <w:t>Short</w:t>
            </w:r>
            <w:r w:rsidRPr="00BE2C1D">
              <w:rPr>
                <w:rFonts w:ascii="Times New Roman" w:hAnsi="Times New Roman" w:cs="Times New Roman"/>
              </w:rPr>
              <w:t>sighted</w:t>
            </w:r>
          </w:p>
        </w:tc>
        <w:tc>
          <w:tcPr>
            <w:tcW w:w="4483" w:type="dxa"/>
          </w:tcPr>
          <w:p w14:paraId="7572C413" w14:textId="77777777" w:rsidR="00BE2C1D" w:rsidRPr="00BE2C1D" w:rsidRDefault="00BE2C1D" w:rsidP="00BE2C1D">
            <w:pPr>
              <w:spacing w:line="360" w:lineRule="auto"/>
              <w:jc w:val="center"/>
              <w:rPr>
                <w:rFonts w:ascii="Times New Roman" w:hAnsi="Times New Roman" w:cs="Times New Roman"/>
              </w:rPr>
            </w:pPr>
          </w:p>
        </w:tc>
      </w:tr>
      <w:tr w:rsidR="00BE2C1D" w:rsidRPr="00BE2C1D" w14:paraId="3981DE89" w14:textId="77777777" w:rsidTr="00BE2C1D">
        <w:trPr>
          <w:trHeight w:val="732"/>
        </w:trPr>
        <w:tc>
          <w:tcPr>
            <w:tcW w:w="4499" w:type="dxa"/>
          </w:tcPr>
          <w:p w14:paraId="78263323" w14:textId="77777777" w:rsidR="00BE2C1D" w:rsidRPr="00BE2C1D" w:rsidRDefault="00BE2C1D" w:rsidP="00BE2C1D">
            <w:pPr>
              <w:spacing w:line="360" w:lineRule="auto"/>
              <w:jc w:val="center"/>
              <w:rPr>
                <w:rFonts w:ascii="Times New Roman" w:hAnsi="Times New Roman" w:cs="Times New Roman"/>
              </w:rPr>
            </w:pPr>
            <w:r w:rsidRPr="00BE2C1D">
              <w:rPr>
                <w:rFonts w:ascii="Times New Roman" w:hAnsi="Times New Roman" w:cs="Times New Roman"/>
                <w:b/>
              </w:rPr>
              <w:t>Short</w:t>
            </w:r>
            <w:r w:rsidRPr="00BE2C1D">
              <w:rPr>
                <w:rFonts w:ascii="Times New Roman" w:hAnsi="Times New Roman" w:cs="Times New Roman"/>
              </w:rPr>
              <w:t>changed</w:t>
            </w:r>
          </w:p>
        </w:tc>
        <w:tc>
          <w:tcPr>
            <w:tcW w:w="4483" w:type="dxa"/>
          </w:tcPr>
          <w:p w14:paraId="6C84B0DC" w14:textId="77777777" w:rsidR="00BE2C1D" w:rsidRPr="00BE2C1D" w:rsidRDefault="00BE2C1D" w:rsidP="00BE2C1D">
            <w:pPr>
              <w:spacing w:line="360" w:lineRule="auto"/>
              <w:jc w:val="center"/>
              <w:rPr>
                <w:rFonts w:ascii="Times New Roman" w:hAnsi="Times New Roman" w:cs="Times New Roman"/>
              </w:rPr>
            </w:pPr>
          </w:p>
        </w:tc>
      </w:tr>
      <w:tr w:rsidR="00BE2C1D" w:rsidRPr="00BE2C1D" w14:paraId="0D8E142A" w14:textId="77777777" w:rsidTr="00BE2C1D">
        <w:trPr>
          <w:trHeight w:val="732"/>
        </w:trPr>
        <w:tc>
          <w:tcPr>
            <w:tcW w:w="4499" w:type="dxa"/>
          </w:tcPr>
          <w:p w14:paraId="4642F5ED" w14:textId="77777777" w:rsidR="00BE2C1D" w:rsidRPr="00BE2C1D" w:rsidRDefault="00BE2C1D" w:rsidP="00BE2C1D">
            <w:pPr>
              <w:spacing w:line="360" w:lineRule="auto"/>
              <w:jc w:val="center"/>
              <w:rPr>
                <w:rFonts w:ascii="Times New Roman" w:hAnsi="Times New Roman" w:cs="Times New Roman"/>
              </w:rPr>
            </w:pPr>
            <w:r w:rsidRPr="00BE2C1D">
              <w:rPr>
                <w:rFonts w:ascii="Times New Roman" w:hAnsi="Times New Roman" w:cs="Times New Roman"/>
              </w:rPr>
              <w:t>Sell yourself short</w:t>
            </w:r>
          </w:p>
        </w:tc>
        <w:tc>
          <w:tcPr>
            <w:tcW w:w="4483" w:type="dxa"/>
          </w:tcPr>
          <w:p w14:paraId="11E15BDE" w14:textId="77777777" w:rsidR="00BE2C1D" w:rsidRPr="00BE2C1D" w:rsidRDefault="00BE2C1D" w:rsidP="00BE2C1D">
            <w:pPr>
              <w:spacing w:line="360" w:lineRule="auto"/>
              <w:jc w:val="center"/>
              <w:rPr>
                <w:rFonts w:ascii="Times New Roman" w:hAnsi="Times New Roman" w:cs="Times New Roman"/>
              </w:rPr>
            </w:pPr>
          </w:p>
        </w:tc>
      </w:tr>
    </w:tbl>
    <w:p w14:paraId="1EA851CC" w14:textId="77777777" w:rsidR="00BE2C1D" w:rsidRPr="00BE2C1D" w:rsidRDefault="00BE2C1D" w:rsidP="00BE2C1D">
      <w:r w:rsidRPr="00BE2C1D">
        <w:t>Adapted from: Rosenberg, 2009; Adelson, 2005a</w:t>
      </w:r>
    </w:p>
    <w:p w14:paraId="3A56BDFA" w14:textId="77777777" w:rsidR="00BE2C1D" w:rsidRPr="00BE2C1D" w:rsidRDefault="00BE2C1D" w:rsidP="00BE2C1D">
      <w:pPr>
        <w:keepNext/>
        <w:keepLines/>
        <w:spacing w:before="40" w:after="0"/>
        <w:outlineLvl w:val="1"/>
        <w:rPr>
          <w:rFonts w:asciiTheme="majorHAnsi" w:eastAsiaTheme="majorEastAsia" w:hAnsiTheme="majorHAnsi" w:cstheme="majorBidi"/>
          <w:color w:val="2F5496" w:themeColor="accent1" w:themeShade="BF"/>
          <w:sz w:val="26"/>
          <w:szCs w:val="26"/>
        </w:rPr>
      </w:pPr>
      <w:bookmarkStart w:id="204" w:name="_Toc39585303"/>
      <w:r w:rsidRPr="00BE2C1D">
        <w:rPr>
          <w:rFonts w:asciiTheme="majorHAnsi" w:eastAsiaTheme="majorEastAsia" w:hAnsiTheme="majorHAnsi" w:cstheme="majorBidi"/>
          <w:color w:val="2F5496" w:themeColor="accent1" w:themeShade="BF"/>
          <w:sz w:val="26"/>
          <w:szCs w:val="26"/>
        </w:rPr>
        <w:lastRenderedPageBreak/>
        <w:t>Appendix 3: Letter of Approval</w:t>
      </w:r>
      <w:bookmarkEnd w:id="204"/>
    </w:p>
    <w:p w14:paraId="2CC2E282" w14:textId="77777777" w:rsidR="00BE2C1D" w:rsidRPr="00BE2C1D" w:rsidRDefault="00BE2C1D" w:rsidP="00BE2C1D">
      <w:r w:rsidRPr="00BE2C1D">
        <w:rPr>
          <w:noProof/>
          <w:lang w:eastAsia="en-GB"/>
        </w:rPr>
        <w:drawing>
          <wp:inline distT="0" distB="0" distL="0" distR="0" wp14:anchorId="3D0C3E5B" wp14:editId="19C0F590">
            <wp:extent cx="6017895" cy="7038754"/>
            <wp:effectExtent l="0" t="0" r="1905"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030424" cy="7053409"/>
                    </a:xfrm>
                    <a:prstGeom prst="rect">
                      <a:avLst/>
                    </a:prstGeom>
                    <a:noFill/>
                    <a:ln>
                      <a:noFill/>
                    </a:ln>
                  </pic:spPr>
                </pic:pic>
              </a:graphicData>
            </a:graphic>
          </wp:inline>
        </w:drawing>
      </w:r>
    </w:p>
    <w:p w14:paraId="4B786207" w14:textId="77777777" w:rsidR="00BE2C1D" w:rsidRPr="00BE2C1D" w:rsidRDefault="00BE2C1D" w:rsidP="00BE2C1D"/>
    <w:p w14:paraId="64558759" w14:textId="77777777" w:rsidR="00BE2C1D" w:rsidRPr="00BE2C1D" w:rsidRDefault="00BE2C1D" w:rsidP="00BE2C1D"/>
    <w:p w14:paraId="4036553F" w14:textId="77777777" w:rsidR="00BE2C1D" w:rsidRPr="00BE2C1D" w:rsidRDefault="00BE2C1D" w:rsidP="00BE2C1D">
      <w:pPr>
        <w:keepNext/>
        <w:keepLines/>
        <w:spacing w:before="40" w:after="0"/>
        <w:outlineLvl w:val="1"/>
        <w:rPr>
          <w:rFonts w:asciiTheme="majorHAnsi" w:eastAsiaTheme="majorEastAsia" w:hAnsiTheme="majorHAnsi" w:cstheme="majorBidi"/>
          <w:color w:val="2F5496" w:themeColor="accent1" w:themeShade="BF"/>
          <w:sz w:val="26"/>
          <w:szCs w:val="26"/>
        </w:rPr>
      </w:pPr>
    </w:p>
    <w:p w14:paraId="7F712BA6" w14:textId="77777777" w:rsidR="00BE2C1D" w:rsidRPr="00BE2C1D" w:rsidRDefault="00BE2C1D" w:rsidP="00BE2C1D">
      <w:pPr>
        <w:keepNext/>
        <w:keepLines/>
        <w:spacing w:before="40" w:after="0"/>
        <w:outlineLvl w:val="1"/>
        <w:rPr>
          <w:rFonts w:asciiTheme="majorHAnsi" w:eastAsiaTheme="majorEastAsia" w:hAnsiTheme="majorHAnsi" w:cstheme="majorBidi"/>
          <w:color w:val="2F5496" w:themeColor="accent1" w:themeShade="BF"/>
          <w:sz w:val="26"/>
          <w:szCs w:val="26"/>
        </w:rPr>
      </w:pPr>
    </w:p>
    <w:p w14:paraId="33A4705F" w14:textId="77777777" w:rsidR="00BE2C1D" w:rsidRPr="00BE2C1D" w:rsidRDefault="00BE2C1D" w:rsidP="00BE2C1D">
      <w:pPr>
        <w:keepNext/>
        <w:keepLines/>
        <w:spacing w:before="40" w:after="0"/>
        <w:outlineLvl w:val="1"/>
        <w:rPr>
          <w:rFonts w:asciiTheme="majorHAnsi" w:eastAsiaTheme="majorEastAsia" w:hAnsiTheme="majorHAnsi" w:cstheme="majorBidi"/>
          <w:color w:val="2F5496" w:themeColor="accent1" w:themeShade="BF"/>
          <w:sz w:val="26"/>
          <w:szCs w:val="26"/>
        </w:rPr>
      </w:pPr>
    </w:p>
    <w:p w14:paraId="4677CA19" w14:textId="77777777" w:rsidR="00BE2C1D" w:rsidRPr="00BE2C1D" w:rsidRDefault="00BE2C1D" w:rsidP="00BE2C1D"/>
    <w:p w14:paraId="7C90F5E6" w14:textId="77777777" w:rsidR="00BE2C1D" w:rsidRPr="00BE2C1D" w:rsidRDefault="00BE2C1D" w:rsidP="00BE2C1D">
      <w:pPr>
        <w:keepNext/>
        <w:keepLines/>
        <w:spacing w:before="40" w:after="0"/>
        <w:outlineLvl w:val="1"/>
        <w:rPr>
          <w:rFonts w:asciiTheme="majorHAnsi" w:eastAsiaTheme="majorEastAsia" w:hAnsiTheme="majorHAnsi" w:cstheme="majorBidi"/>
          <w:color w:val="2F5496" w:themeColor="accent1" w:themeShade="BF"/>
          <w:sz w:val="26"/>
          <w:szCs w:val="26"/>
        </w:rPr>
      </w:pPr>
      <w:bookmarkStart w:id="205" w:name="_Toc39585304"/>
      <w:r w:rsidRPr="00BE2C1D">
        <w:rPr>
          <w:rFonts w:asciiTheme="majorHAnsi" w:eastAsiaTheme="majorEastAsia" w:hAnsiTheme="majorHAnsi" w:cstheme="majorBidi"/>
          <w:color w:val="2F5496" w:themeColor="accent1" w:themeShade="BF"/>
          <w:sz w:val="26"/>
          <w:szCs w:val="26"/>
        </w:rPr>
        <w:lastRenderedPageBreak/>
        <w:t>Appendix 4: Research Posters</w:t>
      </w:r>
      <w:bookmarkEnd w:id="205"/>
    </w:p>
    <w:p w14:paraId="60366A12" w14:textId="77777777" w:rsidR="00BE2C1D" w:rsidRPr="00BE2C1D" w:rsidRDefault="00BE2C1D" w:rsidP="00BE2C1D"/>
    <w:p w14:paraId="22901593" w14:textId="77777777" w:rsidR="00BE2C1D" w:rsidRPr="00BE2C1D" w:rsidRDefault="00BE2C1D" w:rsidP="00BE2C1D">
      <w:r w:rsidRPr="00BE2C1D">
        <w:rPr>
          <w:noProof/>
          <w:lang w:eastAsia="en-GB"/>
        </w:rPr>
        <w:drawing>
          <wp:inline distT="0" distB="0" distL="0" distR="0" wp14:anchorId="1A995A40" wp14:editId="082800ED">
            <wp:extent cx="5731510" cy="7760335"/>
            <wp:effectExtent l="0" t="0" r="254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31510" cy="7760335"/>
                    </a:xfrm>
                    <a:prstGeom prst="rect">
                      <a:avLst/>
                    </a:prstGeom>
                    <a:noFill/>
                    <a:ln>
                      <a:noFill/>
                    </a:ln>
                  </pic:spPr>
                </pic:pic>
              </a:graphicData>
            </a:graphic>
          </wp:inline>
        </w:drawing>
      </w:r>
    </w:p>
    <w:p w14:paraId="0C986480" w14:textId="77777777" w:rsidR="00BE2C1D" w:rsidRPr="00BE2C1D" w:rsidRDefault="00BE2C1D" w:rsidP="00BE2C1D"/>
    <w:p w14:paraId="4D54298A" w14:textId="77777777" w:rsidR="00BE2C1D" w:rsidRPr="00BE2C1D" w:rsidRDefault="00BE2C1D" w:rsidP="00BE2C1D"/>
    <w:p w14:paraId="30CA5EF6" w14:textId="77777777" w:rsidR="00BE2C1D" w:rsidRPr="00BE2C1D" w:rsidRDefault="00BE2C1D" w:rsidP="00BE2C1D">
      <w:r w:rsidRPr="00BE2C1D">
        <w:rPr>
          <w:noProof/>
          <w:lang w:eastAsia="en-GB"/>
        </w:rPr>
        <w:lastRenderedPageBreak/>
        <w:drawing>
          <wp:inline distT="0" distB="0" distL="0" distR="0" wp14:anchorId="01B83601" wp14:editId="12FC76CB">
            <wp:extent cx="5731510" cy="7233920"/>
            <wp:effectExtent l="0" t="0" r="2540" b="508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31510" cy="7233920"/>
                    </a:xfrm>
                    <a:prstGeom prst="rect">
                      <a:avLst/>
                    </a:prstGeom>
                    <a:noFill/>
                    <a:ln>
                      <a:noFill/>
                    </a:ln>
                  </pic:spPr>
                </pic:pic>
              </a:graphicData>
            </a:graphic>
          </wp:inline>
        </w:drawing>
      </w:r>
    </w:p>
    <w:p w14:paraId="5EA9D650" w14:textId="77777777" w:rsidR="00BE2C1D" w:rsidRPr="00BE2C1D" w:rsidRDefault="00BE2C1D" w:rsidP="00BE2C1D"/>
    <w:p w14:paraId="348F97D3" w14:textId="77777777" w:rsidR="00BE2C1D" w:rsidRPr="00BE2C1D" w:rsidRDefault="00BE2C1D" w:rsidP="00BE2C1D"/>
    <w:p w14:paraId="03C04E8D" w14:textId="77777777" w:rsidR="00BE2C1D" w:rsidRPr="00BE2C1D" w:rsidRDefault="00BE2C1D" w:rsidP="00BE2C1D"/>
    <w:p w14:paraId="039222FC" w14:textId="77777777" w:rsidR="00BE2C1D" w:rsidRPr="00BE2C1D" w:rsidRDefault="00BE2C1D" w:rsidP="00BE2C1D"/>
    <w:p w14:paraId="1854D406" w14:textId="77777777" w:rsidR="00BE2C1D" w:rsidRPr="00BE2C1D" w:rsidRDefault="00BE2C1D" w:rsidP="00BE2C1D"/>
    <w:p w14:paraId="09569FAF" w14:textId="77777777" w:rsidR="00BE2C1D" w:rsidRPr="00BE2C1D" w:rsidRDefault="00BE2C1D" w:rsidP="00BE2C1D">
      <w:pPr>
        <w:keepNext/>
        <w:keepLines/>
        <w:spacing w:before="40" w:after="0"/>
        <w:outlineLvl w:val="1"/>
        <w:rPr>
          <w:rFonts w:asciiTheme="majorHAnsi" w:eastAsiaTheme="majorEastAsia" w:hAnsiTheme="majorHAnsi" w:cstheme="majorBidi"/>
          <w:color w:val="2F5496" w:themeColor="accent1" w:themeShade="BF"/>
          <w:sz w:val="26"/>
          <w:szCs w:val="26"/>
        </w:rPr>
      </w:pPr>
      <w:bookmarkStart w:id="206" w:name="_Toc39585305"/>
      <w:r w:rsidRPr="00BE2C1D">
        <w:rPr>
          <w:rFonts w:asciiTheme="majorHAnsi" w:eastAsiaTheme="majorEastAsia" w:hAnsiTheme="majorHAnsi" w:cstheme="majorBidi"/>
          <w:color w:val="2F5496" w:themeColor="accent1" w:themeShade="BF"/>
          <w:sz w:val="26"/>
          <w:szCs w:val="26"/>
        </w:rPr>
        <w:lastRenderedPageBreak/>
        <w:t>Appendix 5: Information Sheets</w:t>
      </w:r>
      <w:bookmarkEnd w:id="206"/>
    </w:p>
    <w:p w14:paraId="5B38A436" w14:textId="77777777" w:rsidR="00BE2C1D" w:rsidRPr="00BE2C1D" w:rsidRDefault="00BE2C1D" w:rsidP="00BE2C1D"/>
    <w:p w14:paraId="270088D4" w14:textId="77777777" w:rsidR="00BE2C1D" w:rsidRPr="00BE2C1D" w:rsidRDefault="00BE2C1D" w:rsidP="00BE2C1D">
      <w:pPr>
        <w:keepNext/>
        <w:keepLines/>
        <w:spacing w:before="40" w:after="0"/>
        <w:outlineLvl w:val="2"/>
        <w:rPr>
          <w:rFonts w:asciiTheme="majorHAnsi" w:eastAsiaTheme="majorEastAsia" w:hAnsiTheme="majorHAnsi" w:cstheme="majorBidi"/>
          <w:color w:val="1F3763" w:themeColor="accent1" w:themeShade="7F"/>
          <w:sz w:val="24"/>
          <w:szCs w:val="24"/>
        </w:rPr>
      </w:pPr>
      <w:bookmarkStart w:id="207" w:name="_Toc39585306"/>
      <w:r w:rsidRPr="00BE2C1D">
        <w:rPr>
          <w:rFonts w:asciiTheme="majorHAnsi" w:eastAsiaTheme="majorEastAsia" w:hAnsiTheme="majorHAnsi" w:cstheme="majorBidi"/>
          <w:color w:val="1F3763" w:themeColor="accent1" w:themeShade="7F"/>
          <w:sz w:val="24"/>
          <w:szCs w:val="24"/>
        </w:rPr>
        <w:t>Information Sheet For Adults</w:t>
      </w:r>
      <w:bookmarkEnd w:id="207"/>
      <w:r w:rsidRPr="00BE2C1D">
        <w:rPr>
          <w:rFonts w:asciiTheme="majorHAnsi" w:eastAsiaTheme="majorEastAsia" w:hAnsiTheme="majorHAnsi" w:cstheme="majorBidi"/>
          <w:color w:val="1F3763" w:themeColor="accent1" w:themeShade="7F"/>
          <w:sz w:val="24"/>
          <w:szCs w:val="24"/>
        </w:rPr>
        <w:t xml:space="preserve"> </w:t>
      </w:r>
    </w:p>
    <w:p w14:paraId="5A8E055B" w14:textId="77777777" w:rsidR="00BE2C1D" w:rsidRPr="00BE2C1D" w:rsidRDefault="00BE2C1D" w:rsidP="00BE2C1D"/>
    <w:p w14:paraId="157053D2" w14:textId="77777777" w:rsidR="00BE2C1D" w:rsidRPr="00BE2C1D" w:rsidRDefault="00BE2C1D" w:rsidP="00BE2C1D">
      <w:pPr>
        <w:jc w:val="center"/>
        <w:rPr>
          <w:b/>
          <w:sz w:val="36"/>
          <w:szCs w:val="36"/>
        </w:rPr>
      </w:pPr>
      <w:r w:rsidRPr="00BE2C1D">
        <w:rPr>
          <w:b/>
          <w:sz w:val="36"/>
          <w:szCs w:val="36"/>
        </w:rPr>
        <w:t>Be-Coming Storytellers: Stories of Secondary Education</w:t>
      </w:r>
    </w:p>
    <w:p w14:paraId="114C5803" w14:textId="77777777" w:rsidR="00BE2C1D" w:rsidRPr="00BE2C1D" w:rsidRDefault="00BE2C1D" w:rsidP="00BE2C1D">
      <w:pPr>
        <w:pBdr>
          <w:top w:val="single" w:sz="4" w:space="1" w:color="auto"/>
          <w:left w:val="single" w:sz="4" w:space="4" w:color="auto"/>
          <w:bottom w:val="single" w:sz="4" w:space="1" w:color="auto"/>
          <w:right w:val="single" w:sz="4" w:space="4" w:color="auto"/>
        </w:pBdr>
        <w:rPr>
          <w:rFonts w:ascii="Century Gothic" w:hAnsi="Century Gothic"/>
          <w:b/>
          <w:i/>
          <w:sz w:val="20"/>
          <w:szCs w:val="20"/>
        </w:rPr>
      </w:pPr>
      <w:r w:rsidRPr="00BE2C1D">
        <w:rPr>
          <w:rFonts w:ascii="Century Gothic" w:hAnsi="Century Gothic"/>
          <w:i/>
          <w:sz w:val="20"/>
          <w:szCs w:val="20"/>
        </w:rPr>
        <w:t>You are being invited to participate in a research project called Be-Coming Storytellers: Stories of Secondary Education. Before you decide, it is important for you to understand why the research is being done and what it will involve. Please take time to read the following information carefully and discuss it with others if you wish. Feel free to ask me if there is anything that you do not understand, or if you would like more information. Thank you for taking the time to read this Participant Information Sheet.</w:t>
      </w:r>
    </w:p>
    <w:p w14:paraId="38D931D3" w14:textId="77777777" w:rsidR="00BE2C1D" w:rsidRPr="00BE2C1D" w:rsidRDefault="00BE2C1D" w:rsidP="00BE2C1D">
      <w:pPr>
        <w:rPr>
          <w:rFonts w:ascii="Century Gothic" w:hAnsi="Century Gothic"/>
          <w:i/>
          <w:sz w:val="20"/>
          <w:szCs w:val="20"/>
        </w:rPr>
      </w:pPr>
    </w:p>
    <w:p w14:paraId="7F59311B" w14:textId="77777777" w:rsidR="00BE2C1D" w:rsidRPr="00BE2C1D" w:rsidRDefault="00BE2C1D" w:rsidP="00BE2C1D">
      <w:pPr>
        <w:rPr>
          <w:rFonts w:ascii="Century Gothic" w:hAnsi="Century Gothic"/>
          <w:b/>
        </w:rPr>
      </w:pPr>
      <w:r w:rsidRPr="00BE2C1D">
        <w:rPr>
          <w:rFonts w:ascii="Century Gothic" w:hAnsi="Century Gothic"/>
          <w:b/>
        </w:rPr>
        <w:t>Who am I?</w:t>
      </w:r>
    </w:p>
    <w:p w14:paraId="1BBDE7A0" w14:textId="77777777" w:rsidR="00BE2C1D" w:rsidRPr="00BE2C1D" w:rsidRDefault="00BE2C1D" w:rsidP="00BE2C1D">
      <w:pPr>
        <w:rPr>
          <w:rFonts w:ascii="Century Gothic" w:hAnsi="Century Gothic"/>
        </w:rPr>
      </w:pPr>
      <w:r w:rsidRPr="00BE2C1D">
        <w:rPr>
          <w:rFonts w:ascii="Century Gothic" w:hAnsi="Century Gothic"/>
        </w:rPr>
        <w:t>I am Antonios Ktenidis and I identify as a short-statured male with the label of ‘</w:t>
      </w:r>
      <w:r w:rsidRPr="00BE2C1D">
        <w:rPr>
          <w:rFonts w:ascii="Century Gothic" w:hAnsi="Century Gothic"/>
          <w:b/>
          <w:i/>
        </w:rPr>
        <w:t>idiopathic short stature</w:t>
      </w:r>
      <w:r w:rsidRPr="00BE2C1D">
        <w:rPr>
          <w:rFonts w:ascii="Century Gothic" w:hAnsi="Century Gothic"/>
        </w:rPr>
        <w:t>’</w:t>
      </w:r>
      <w:r w:rsidRPr="00BE2C1D">
        <w:rPr>
          <w:rFonts w:ascii="Century Gothic" w:hAnsi="Century Gothic"/>
          <w:vertAlign w:val="superscript"/>
        </w:rPr>
        <w:footnoteReference w:id="150"/>
      </w:r>
      <w:r w:rsidRPr="00BE2C1D">
        <w:rPr>
          <w:rFonts w:ascii="Century Gothic" w:hAnsi="Century Gothic"/>
        </w:rPr>
        <w:t xml:space="preserve">. I am a doctoral researcher in the School of Education at the University of Sheffield. I am supervised by Professor Dan Goodley and Dr Kirsty Liddiard. I hold a BA in Primary School Education and a MA in Sociology of Education. I have worked in various teaching positions in primary schools in the United Kingdom since 2014 and became interested in how students with different bodies experience schooling and the impact such experiences have on their future life choices and chances. </w:t>
      </w:r>
    </w:p>
    <w:p w14:paraId="5F6BA0B1" w14:textId="77777777" w:rsidR="00BE2C1D" w:rsidRPr="00BE2C1D" w:rsidRDefault="00BE2C1D" w:rsidP="00BE2C1D">
      <w:pPr>
        <w:rPr>
          <w:rFonts w:ascii="Century Gothic" w:hAnsi="Century Gothic"/>
        </w:rPr>
      </w:pPr>
      <w:r w:rsidRPr="00BE2C1D">
        <w:rPr>
          <w:rFonts w:ascii="Century Gothic" w:hAnsi="Century Gothic"/>
          <w:b/>
        </w:rPr>
        <w:t>What is the project’s purpose?</w:t>
      </w:r>
    </w:p>
    <w:p w14:paraId="3F008FA6" w14:textId="77777777" w:rsidR="00BE2C1D" w:rsidRPr="00BE2C1D" w:rsidRDefault="00BE2C1D" w:rsidP="00BE2C1D">
      <w:pPr>
        <w:rPr>
          <w:rFonts w:ascii="Century Gothic" w:hAnsi="Century Gothic"/>
        </w:rPr>
      </w:pPr>
      <w:r w:rsidRPr="00BE2C1D">
        <w:rPr>
          <w:rFonts w:ascii="Century Gothic" w:hAnsi="Century Gothic"/>
        </w:rPr>
        <w:t>Be-Coming Storytellers: Stories of Secondary Education is a research project that seeks to make known the experiences of students with Restricted Growth (hereby RG) of their secondary education and their future plans.</w:t>
      </w:r>
    </w:p>
    <w:p w14:paraId="1393BBFC" w14:textId="77777777" w:rsidR="00BE2C1D" w:rsidRPr="00BE2C1D" w:rsidRDefault="00BE2C1D" w:rsidP="00BE2C1D">
      <w:pPr>
        <w:rPr>
          <w:rFonts w:ascii="Century Gothic" w:hAnsi="Century Gothic"/>
        </w:rPr>
      </w:pPr>
      <w:r w:rsidRPr="00BE2C1D">
        <w:rPr>
          <w:rFonts w:ascii="Century Gothic" w:hAnsi="Century Gothic"/>
        </w:rPr>
        <w:t xml:space="preserve">Working collaboratively with young people (11-30 years old) with RG and the associations that they might or might not be members of, this project will provide young people with the opportunity to tell stories of their experiences of their secondary schooling in various ways (using their voice, art and digital means) as well as sharing these stories with other peers with RG on a private, password protected weblog. </w:t>
      </w:r>
    </w:p>
    <w:p w14:paraId="259F5C82" w14:textId="77777777" w:rsidR="00BE2C1D" w:rsidRPr="00BE2C1D" w:rsidRDefault="00BE2C1D" w:rsidP="00BE2C1D">
      <w:pPr>
        <w:rPr>
          <w:rFonts w:ascii="Century Gothic" w:hAnsi="Century Gothic"/>
        </w:rPr>
      </w:pPr>
      <w:r w:rsidRPr="00BE2C1D">
        <w:rPr>
          <w:rFonts w:ascii="Century Gothic" w:hAnsi="Century Gothic"/>
        </w:rPr>
        <w:t>Three reports of the Equality and Human Rights Commission</w:t>
      </w:r>
      <w:r w:rsidRPr="00BE2C1D">
        <w:rPr>
          <w:rFonts w:ascii="Century Gothic" w:hAnsi="Century Gothic" w:cs="Times New Roman"/>
          <w:vertAlign w:val="superscript"/>
        </w:rPr>
        <w:footnoteReference w:id="151"/>
      </w:r>
      <w:r w:rsidRPr="00BE2C1D">
        <w:rPr>
          <w:rFonts w:ascii="Century Gothic" w:hAnsi="Century Gothic"/>
        </w:rPr>
        <w:t xml:space="preserve">, which cover the period from 2009 to date (the time that your child is being/has been educated), demonstrate that disabled students find themselves in much more disadvantaged positions compared to their non-disabled peers throughout education (e.g. bullying </w:t>
      </w:r>
      <w:r w:rsidRPr="00BE2C1D">
        <w:rPr>
          <w:rFonts w:ascii="Century Gothic" w:hAnsi="Century Gothic"/>
        </w:rPr>
        <w:lastRenderedPageBreak/>
        <w:t xml:space="preserve">rates, exclusion rates, access to further and higher education), and, consequently, being hindered to pursue their future goals and dreams. Nevertheless, such reports treat disability homogeneously (by that, I mean that all different impairments are included under the umbrella-term of ‘disability’ and are seen as more or less the same or at least as similar) and are not representative of every single individual’s experience. Moreover, as Tom Shakespeare and his colleagues (2010) argue, people with RG are situated at the margins of the disability community and, therefore, their experiences are rarely acknowledged. Hence, this project aims to engage with young people’s voices and creativity to produce stories and knowledge(s) which come directly from them.           </w:t>
      </w:r>
    </w:p>
    <w:p w14:paraId="6DACB646" w14:textId="77777777" w:rsidR="00BE2C1D" w:rsidRPr="00BE2C1D" w:rsidRDefault="00BE2C1D" w:rsidP="00BE2C1D">
      <w:pPr>
        <w:rPr>
          <w:rFonts w:ascii="Century Gothic" w:hAnsi="Century Gothic"/>
        </w:rPr>
      </w:pPr>
      <w:r w:rsidRPr="00BE2C1D">
        <w:rPr>
          <w:rFonts w:ascii="Century Gothic" w:hAnsi="Century Gothic"/>
        </w:rPr>
        <w:t xml:space="preserve">The research will run for 8 months, beginning in October 2017 and ending in June 2018. </w:t>
      </w:r>
    </w:p>
    <w:p w14:paraId="15D98D79" w14:textId="77777777" w:rsidR="00BE2C1D" w:rsidRPr="00BE2C1D" w:rsidRDefault="00BE2C1D" w:rsidP="00BE2C1D">
      <w:pPr>
        <w:rPr>
          <w:rFonts w:ascii="Century Gothic" w:hAnsi="Century Gothic"/>
          <w:b/>
        </w:rPr>
      </w:pPr>
      <w:r w:rsidRPr="00BE2C1D">
        <w:rPr>
          <w:rFonts w:ascii="Century Gothic" w:hAnsi="Century Gothic"/>
          <w:b/>
        </w:rPr>
        <w:t>Why have I been chosen?</w:t>
      </w:r>
    </w:p>
    <w:p w14:paraId="5615201D" w14:textId="77777777" w:rsidR="00BE2C1D" w:rsidRPr="00BE2C1D" w:rsidRDefault="00BE2C1D" w:rsidP="00BE2C1D">
      <w:pPr>
        <w:rPr>
          <w:rFonts w:ascii="Century Gothic" w:hAnsi="Century Gothic"/>
        </w:rPr>
      </w:pPr>
      <w:r w:rsidRPr="00BE2C1D">
        <w:rPr>
          <w:rFonts w:ascii="Century Gothic" w:hAnsi="Century Gothic"/>
        </w:rPr>
        <w:t xml:space="preserve">I want to invite young people with RG (11-30 years old) to participate as storytellers in Be-Coming Storytellers: Stories of Secondary Education. I am asking you to participate because of YOUR age and because you live with a RG condition. </w:t>
      </w:r>
    </w:p>
    <w:p w14:paraId="037DEB7B" w14:textId="77777777" w:rsidR="00BE2C1D" w:rsidRPr="00BE2C1D" w:rsidRDefault="00BE2C1D" w:rsidP="00BE2C1D">
      <w:pPr>
        <w:rPr>
          <w:rFonts w:ascii="Century Gothic" w:hAnsi="Century Gothic"/>
          <w:b/>
        </w:rPr>
      </w:pPr>
      <w:r w:rsidRPr="00BE2C1D">
        <w:rPr>
          <w:rFonts w:ascii="Century Gothic" w:hAnsi="Century Gothic"/>
          <w:b/>
        </w:rPr>
        <w:t>Do I have to take part?</w:t>
      </w:r>
    </w:p>
    <w:p w14:paraId="10BF733A" w14:textId="77777777" w:rsidR="00BE2C1D" w:rsidRPr="00BE2C1D" w:rsidRDefault="00BE2C1D" w:rsidP="00BE2C1D">
      <w:pPr>
        <w:rPr>
          <w:rFonts w:ascii="Century Gothic" w:hAnsi="Century Gothic"/>
        </w:rPr>
      </w:pPr>
      <w:r w:rsidRPr="00BE2C1D">
        <w:rPr>
          <w:rFonts w:ascii="Century Gothic" w:hAnsi="Century Gothic"/>
        </w:rPr>
        <w:t xml:space="preserve">No, it is completely up to you whether you take part or not. Your participation in Be-Coming Storytellers: Stories of Secondary Education is entirely voluntary. </w:t>
      </w:r>
    </w:p>
    <w:p w14:paraId="1BB42BA0" w14:textId="77777777" w:rsidR="00BE2C1D" w:rsidRPr="00BE2C1D" w:rsidRDefault="00BE2C1D" w:rsidP="00BE2C1D">
      <w:pPr>
        <w:rPr>
          <w:rFonts w:ascii="Century Gothic" w:hAnsi="Century Gothic"/>
        </w:rPr>
      </w:pPr>
      <w:r w:rsidRPr="00BE2C1D">
        <w:rPr>
          <w:rFonts w:ascii="Century Gothic" w:hAnsi="Century Gothic"/>
        </w:rPr>
        <w:t xml:space="preserve">You will be asked to sign a consent form to state that you are happy to participate in Be-Coming Storytellers: Stories of Secondary Education. However, there is always the option of ‘withdrawing’, which means that you can stop participating at any time without even having to give a reason. </w:t>
      </w:r>
    </w:p>
    <w:p w14:paraId="69FA4B66" w14:textId="77777777" w:rsidR="00BE2C1D" w:rsidRPr="00BE2C1D" w:rsidRDefault="00BE2C1D" w:rsidP="00BE2C1D">
      <w:pPr>
        <w:rPr>
          <w:rFonts w:ascii="Century Gothic" w:hAnsi="Century Gothic"/>
          <w:b/>
        </w:rPr>
      </w:pPr>
      <w:r w:rsidRPr="00BE2C1D">
        <w:rPr>
          <w:rFonts w:ascii="Century Gothic" w:hAnsi="Century Gothic"/>
          <w:b/>
        </w:rPr>
        <w:t>What will happen to me if I become a participant?</w:t>
      </w:r>
    </w:p>
    <w:p w14:paraId="422B83B0" w14:textId="77777777" w:rsidR="00BE2C1D" w:rsidRPr="00BE2C1D" w:rsidRDefault="00BE2C1D" w:rsidP="00BE2C1D">
      <w:pPr>
        <w:rPr>
          <w:rFonts w:ascii="Century Gothic" w:hAnsi="Century Gothic"/>
        </w:rPr>
      </w:pPr>
      <w:r w:rsidRPr="00BE2C1D">
        <w:rPr>
          <w:rFonts w:ascii="Century Gothic" w:hAnsi="Century Gothic"/>
        </w:rPr>
        <w:t>In Be-Coming Storytellers: Stories of Secondary Education, I want to ensure that the project is as flexible as possible; participation can be shaped and adapted to fit around the needs and desires of young people.</w:t>
      </w:r>
    </w:p>
    <w:p w14:paraId="1A67C58A" w14:textId="77777777" w:rsidR="00BE2C1D" w:rsidRPr="00BE2C1D" w:rsidRDefault="00BE2C1D" w:rsidP="00BE2C1D">
      <w:pPr>
        <w:rPr>
          <w:rFonts w:ascii="Century Gothic" w:hAnsi="Century Gothic"/>
        </w:rPr>
      </w:pPr>
      <w:r w:rsidRPr="00BE2C1D">
        <w:rPr>
          <w:rFonts w:ascii="Century Gothic" w:hAnsi="Century Gothic"/>
        </w:rPr>
        <w:t>I am looking to invite a total of 8 young people with RG (aged 18-30 years old) to become storytellers and share their creative stories with me.</w:t>
      </w:r>
    </w:p>
    <w:p w14:paraId="1A12075E" w14:textId="77777777" w:rsidR="00BE2C1D" w:rsidRPr="00BE2C1D" w:rsidRDefault="00BE2C1D" w:rsidP="00BE2C1D">
      <w:pPr>
        <w:rPr>
          <w:rFonts w:ascii="Century Gothic" w:hAnsi="Century Gothic"/>
          <w:b/>
        </w:rPr>
      </w:pPr>
      <w:r w:rsidRPr="00BE2C1D">
        <w:rPr>
          <w:rFonts w:ascii="Century Gothic" w:hAnsi="Century Gothic"/>
          <w:b/>
        </w:rPr>
        <w:t>What do I have to do?</w:t>
      </w:r>
    </w:p>
    <w:p w14:paraId="40B15885" w14:textId="77777777" w:rsidR="00BE2C1D" w:rsidRPr="00BE2C1D" w:rsidRDefault="00BE2C1D" w:rsidP="00BE2C1D">
      <w:pPr>
        <w:rPr>
          <w:rFonts w:ascii="Century Gothic" w:hAnsi="Century Gothic"/>
        </w:rPr>
      </w:pPr>
      <w:r w:rsidRPr="00BE2C1D">
        <w:rPr>
          <w:rFonts w:ascii="Century Gothic" w:hAnsi="Century Gothic"/>
        </w:rPr>
        <w:t xml:space="preserve">You will be involved in two informal follow-up story-sharing sessions with me, where you will be asked to reflect on your experiences of secondary schooling. The time and place of this story-sharing will be agreed between us. Moreover, it would be preferable for the story-sharing to occur in person (I will travel to your city/town), but, if this is not possible, alternative means, such as Skype or a phone call could be utilized. Finally, you can choose your involvement to be anonymous. In that case, you will be asked to pick your own pseudonyms to represent yourself.  </w:t>
      </w:r>
    </w:p>
    <w:p w14:paraId="6E9DC912" w14:textId="77777777" w:rsidR="00BE2C1D" w:rsidRPr="00BE2C1D" w:rsidRDefault="00BE2C1D" w:rsidP="00BE2C1D">
      <w:pPr>
        <w:rPr>
          <w:rFonts w:ascii="Century Gothic" w:hAnsi="Century Gothic"/>
          <w:b/>
        </w:rPr>
      </w:pPr>
      <w:r w:rsidRPr="00BE2C1D">
        <w:rPr>
          <w:rFonts w:ascii="Century Gothic" w:hAnsi="Century Gothic"/>
          <w:b/>
        </w:rPr>
        <w:t>What are the possible disadvantages and risks of taking part?</w:t>
      </w:r>
    </w:p>
    <w:p w14:paraId="3637A0D0" w14:textId="77777777" w:rsidR="00BE2C1D" w:rsidRPr="00BE2C1D" w:rsidRDefault="00BE2C1D" w:rsidP="00BE2C1D">
      <w:pPr>
        <w:rPr>
          <w:rFonts w:ascii="Century Gothic" w:hAnsi="Century Gothic"/>
        </w:rPr>
      </w:pPr>
      <w:r w:rsidRPr="00BE2C1D">
        <w:rPr>
          <w:rFonts w:ascii="Century Gothic" w:hAnsi="Century Gothic"/>
        </w:rPr>
        <w:t xml:space="preserve">There are not any serious disadvantages or risks in taking part in Be-Coming Storytellers: Stories of Secondary Education. Nevertheless, there is the possibility of </w:t>
      </w:r>
      <w:r w:rsidRPr="00BE2C1D">
        <w:rPr>
          <w:rFonts w:ascii="Century Gothic" w:hAnsi="Century Gothic"/>
        </w:rPr>
        <w:lastRenderedPageBreak/>
        <w:t xml:space="preserve">recalling unpleasant experiences (e.g. being teased) in the stories that you will share, which can be/feel distressing. However, a series of measures will be taken to ensure that you feel comfortable and supported. </w:t>
      </w:r>
    </w:p>
    <w:p w14:paraId="0F212D59" w14:textId="77777777" w:rsidR="00BE2C1D" w:rsidRPr="00BE2C1D" w:rsidRDefault="00BE2C1D" w:rsidP="00BE2C1D">
      <w:pPr>
        <w:rPr>
          <w:rFonts w:ascii="Century Gothic" w:hAnsi="Century Gothic"/>
        </w:rPr>
      </w:pPr>
      <w:r w:rsidRPr="00BE2C1D">
        <w:rPr>
          <w:rFonts w:ascii="Century Gothic" w:hAnsi="Century Gothic"/>
        </w:rPr>
        <w:t xml:space="preserve">Firstly, you can take a time our whenever you wish or change a topic if you do not feel convenient with it. The discussions/story sharing will be led by you, so anything that will potentially be discussed will be your choice. </w:t>
      </w:r>
    </w:p>
    <w:p w14:paraId="06D56463" w14:textId="77777777" w:rsidR="00BE2C1D" w:rsidRPr="00BE2C1D" w:rsidRDefault="00BE2C1D" w:rsidP="00BE2C1D">
      <w:pPr>
        <w:rPr>
          <w:rFonts w:ascii="Century Gothic" w:hAnsi="Century Gothic"/>
        </w:rPr>
      </w:pPr>
      <w:r w:rsidRPr="00BE2C1D">
        <w:rPr>
          <w:rFonts w:ascii="Century Gothic" w:hAnsi="Century Gothic"/>
        </w:rPr>
        <w:t>Secondly, a supportive environment where such discussions can be held will be created by them taking place in physical spaces that you feel comfortable in and by me being open and sincere to any questions you might have, including my own experiences of schooling.</w:t>
      </w:r>
    </w:p>
    <w:p w14:paraId="4378CE28" w14:textId="77777777" w:rsidR="00BE2C1D" w:rsidRPr="00BE2C1D" w:rsidRDefault="00BE2C1D" w:rsidP="00BE2C1D">
      <w:pPr>
        <w:rPr>
          <w:rFonts w:ascii="Century Gothic" w:hAnsi="Century Gothic"/>
        </w:rPr>
      </w:pPr>
      <w:r w:rsidRPr="00BE2C1D">
        <w:rPr>
          <w:rFonts w:ascii="Century Gothic" w:hAnsi="Century Gothic"/>
        </w:rPr>
        <w:t xml:space="preserve">Finally, there is nothing wrong or shameful with being honest about our feelings and such reflections are more than welcome in this inclusive space.  </w:t>
      </w:r>
    </w:p>
    <w:p w14:paraId="0C89A41C" w14:textId="77777777" w:rsidR="00BE2C1D" w:rsidRPr="00BE2C1D" w:rsidRDefault="00BE2C1D" w:rsidP="00BE2C1D">
      <w:pPr>
        <w:rPr>
          <w:rFonts w:ascii="Century Gothic" w:hAnsi="Century Gothic"/>
          <w:b/>
        </w:rPr>
      </w:pPr>
      <w:r w:rsidRPr="00BE2C1D">
        <w:rPr>
          <w:rFonts w:ascii="Century Gothic" w:hAnsi="Century Gothic"/>
          <w:b/>
        </w:rPr>
        <w:t>What are the possible benefits of taking part?</w:t>
      </w:r>
    </w:p>
    <w:p w14:paraId="176975E7" w14:textId="77777777" w:rsidR="00BE2C1D" w:rsidRPr="00BE2C1D" w:rsidRDefault="00BE2C1D" w:rsidP="00BE2C1D">
      <w:pPr>
        <w:rPr>
          <w:rFonts w:ascii="Century Gothic" w:hAnsi="Century Gothic"/>
        </w:rPr>
      </w:pPr>
      <w:r w:rsidRPr="00BE2C1D">
        <w:rPr>
          <w:rFonts w:ascii="Century Gothic" w:hAnsi="Century Gothic"/>
        </w:rPr>
        <w:t xml:space="preserve">There is a range of benefits in participating in Be-Coming Storytellers: Stories of Secondary Education for you. </w:t>
      </w:r>
    </w:p>
    <w:p w14:paraId="43DCED71" w14:textId="77777777" w:rsidR="00BE2C1D" w:rsidRPr="00BE2C1D" w:rsidRDefault="00BE2C1D" w:rsidP="00BE2C1D">
      <w:pPr>
        <w:rPr>
          <w:rFonts w:ascii="Century Gothic" w:hAnsi="Century Gothic"/>
        </w:rPr>
      </w:pPr>
      <w:r w:rsidRPr="00BE2C1D">
        <w:rPr>
          <w:rFonts w:ascii="Century Gothic" w:hAnsi="Century Gothic"/>
        </w:rPr>
        <w:t xml:space="preserve">Firstly, reflecting on your experiences is a very useful skill for self-esteem to be built as well as developing awareness of ways to deal with difficulties that we come across in our daily life. </w:t>
      </w:r>
    </w:p>
    <w:p w14:paraId="0D8DEFAE" w14:textId="77777777" w:rsidR="00BE2C1D" w:rsidRPr="00BE2C1D" w:rsidRDefault="00BE2C1D" w:rsidP="00BE2C1D">
      <w:pPr>
        <w:rPr>
          <w:rFonts w:ascii="Century Gothic" w:hAnsi="Century Gothic"/>
        </w:rPr>
      </w:pPr>
      <w:r w:rsidRPr="00BE2C1D">
        <w:rPr>
          <w:rFonts w:ascii="Century Gothic" w:hAnsi="Century Gothic"/>
        </w:rPr>
        <w:t xml:space="preserve">However, through storytelling it is also expected that positive and affirmative images of oneself will also emerge and that difference can be celebrated.  Against how different bodies are represented in (popular) culture (e.g. as fascinating or threatening), including the media, this project aims to produce positive and celebratory accounts of the body with RG.   </w:t>
      </w:r>
    </w:p>
    <w:p w14:paraId="1930A1B5" w14:textId="77777777" w:rsidR="00BE2C1D" w:rsidRPr="00BE2C1D" w:rsidRDefault="00BE2C1D" w:rsidP="00BE2C1D">
      <w:pPr>
        <w:rPr>
          <w:rFonts w:ascii="Century Gothic" w:hAnsi="Century Gothic"/>
          <w:b/>
        </w:rPr>
      </w:pPr>
      <w:r w:rsidRPr="00BE2C1D">
        <w:rPr>
          <w:rFonts w:ascii="Century Gothic" w:hAnsi="Century Gothic"/>
          <w:b/>
        </w:rPr>
        <w:t xml:space="preserve">Will my participation in this project be kept confidential? </w:t>
      </w:r>
    </w:p>
    <w:p w14:paraId="79B858C5" w14:textId="77777777" w:rsidR="00BE2C1D" w:rsidRPr="00BE2C1D" w:rsidRDefault="00BE2C1D" w:rsidP="00BE2C1D">
      <w:pPr>
        <w:rPr>
          <w:rFonts w:ascii="Century Gothic" w:hAnsi="Century Gothic"/>
          <w:b/>
        </w:rPr>
      </w:pPr>
      <w:r w:rsidRPr="00BE2C1D">
        <w:rPr>
          <w:rFonts w:ascii="Century Gothic" w:hAnsi="Century Gothic"/>
        </w:rPr>
        <w:t xml:space="preserve">Your participation in the project will be kept strictly confidential. Pseudonyms both for the participants (if you choose to be anonymous) and the settings (e.g. any locations that might be referred) will be used. The data will not be shared with anyone before it is fully anonymised, if this is your option.  </w:t>
      </w:r>
    </w:p>
    <w:p w14:paraId="30326A5D" w14:textId="77777777" w:rsidR="00BE2C1D" w:rsidRPr="00BE2C1D" w:rsidRDefault="00BE2C1D" w:rsidP="00BE2C1D">
      <w:r w:rsidRPr="00BE2C1D">
        <w:rPr>
          <w:rFonts w:ascii="Century Gothic" w:hAnsi="Century Gothic"/>
          <w:b/>
        </w:rPr>
        <w:t>What will happen to the results of the research project?</w:t>
      </w:r>
    </w:p>
    <w:p w14:paraId="192741BD" w14:textId="77777777" w:rsidR="00BE2C1D" w:rsidRPr="00BE2C1D" w:rsidRDefault="00BE2C1D" w:rsidP="00BE2C1D">
      <w:pPr>
        <w:rPr>
          <w:rFonts w:ascii="Century Gothic" w:hAnsi="Century Gothic" w:cs="Times New Roman"/>
        </w:rPr>
      </w:pPr>
      <w:r w:rsidRPr="00BE2C1D">
        <w:rPr>
          <w:rFonts w:ascii="Century Gothic" w:hAnsi="Century Gothic" w:cs="Times New Roman"/>
        </w:rPr>
        <w:t>As one of the core aims of this project is to make impact, the sharing (or dissemination) of the findings is considered essential. This will be done in various ways, such as publishing in academic journals, magazines, newspapers, online as well as presenting the findings in conferences (both national and international). Moreover, I will seek to share these findings with teachers and education policy makers to make them aware of their role in and responsibility for improving the current structures. Furthermore, as I will collaborate with various associations, the dissemination and discussion of the findings will include them too (for example, in the form of a report).</w:t>
      </w:r>
    </w:p>
    <w:p w14:paraId="12119BDF" w14:textId="77777777" w:rsidR="00BE2C1D" w:rsidRPr="00BE2C1D" w:rsidRDefault="00BE2C1D" w:rsidP="00BE2C1D">
      <w:pPr>
        <w:rPr>
          <w:rFonts w:ascii="Century Gothic" w:hAnsi="Century Gothic" w:cs="Times New Roman"/>
        </w:rPr>
      </w:pPr>
      <w:r w:rsidRPr="00BE2C1D">
        <w:rPr>
          <w:rFonts w:ascii="Century Gothic" w:hAnsi="Century Gothic" w:cs="Times New Roman"/>
        </w:rPr>
        <w:t xml:space="preserve">Future research: The Economic and Social Research Council (ESRC) funds Be-Coming Storytellers: Stories of Secondary Education. All ESRC-funded research must comply with the requirement to make all data generated by the project available </w:t>
      </w:r>
      <w:r w:rsidRPr="00BE2C1D">
        <w:rPr>
          <w:rFonts w:ascii="Century Gothic" w:hAnsi="Century Gothic" w:cs="Times New Roman"/>
        </w:rPr>
        <w:lastRenderedPageBreak/>
        <w:t>via the UK Data Service in order to support researchers, teachers and policy makers. I will ask for your explicit consent for your data to be shared in this way and if you agree, I will ensure that the data collected about you is untraceable back to you before allowing others to use it. If you have any questions about this, please do not hesitate to ask.</w:t>
      </w:r>
    </w:p>
    <w:p w14:paraId="489573EE" w14:textId="77777777" w:rsidR="00BE2C1D" w:rsidRPr="00BE2C1D" w:rsidRDefault="00BE2C1D" w:rsidP="00BE2C1D">
      <w:pPr>
        <w:rPr>
          <w:rFonts w:ascii="Century Gothic" w:hAnsi="Century Gothic" w:cs="Times New Roman"/>
          <w:b/>
        </w:rPr>
      </w:pPr>
      <w:r w:rsidRPr="00BE2C1D">
        <w:rPr>
          <w:rFonts w:ascii="Century Gothic" w:hAnsi="Century Gothic" w:cs="Times New Roman"/>
          <w:b/>
        </w:rPr>
        <w:t>What if something goes wrong?</w:t>
      </w:r>
    </w:p>
    <w:p w14:paraId="288D5AF6" w14:textId="77777777" w:rsidR="00BE2C1D" w:rsidRPr="00BE2C1D" w:rsidRDefault="00BE2C1D" w:rsidP="00BE2C1D">
      <w:pPr>
        <w:rPr>
          <w:rFonts w:ascii="Century Gothic" w:hAnsi="Century Gothic" w:cs="Times New Roman"/>
        </w:rPr>
      </w:pPr>
      <w:r w:rsidRPr="00BE2C1D">
        <w:rPr>
          <w:rFonts w:ascii="Century Gothic" w:hAnsi="Century Gothic" w:cs="Times New Roman"/>
        </w:rPr>
        <w:t>If you feel that something has gone wrong, you and your parents/guardians are advised to make contact with Dr David Hyatt, Chair of Ethics of the School of Education University of Sheffield. His contact details are:</w:t>
      </w:r>
    </w:p>
    <w:p w14:paraId="51E75F9D" w14:textId="77777777" w:rsidR="00BE2C1D" w:rsidRPr="00BE2C1D" w:rsidRDefault="00BE2C1D" w:rsidP="00BE2C1D">
      <w:pPr>
        <w:rPr>
          <w:rFonts w:ascii="Century Gothic" w:hAnsi="Century Gothic" w:cs="Times New Roman"/>
        </w:rPr>
      </w:pPr>
      <w:r w:rsidRPr="00BE2C1D">
        <w:rPr>
          <w:rFonts w:ascii="Century Gothic" w:hAnsi="Century Gothic" w:cs="Times New Roman"/>
        </w:rPr>
        <w:t xml:space="preserve">Dr David Hyatt </w:t>
      </w:r>
    </w:p>
    <w:p w14:paraId="344BF87B" w14:textId="77777777" w:rsidR="00BE2C1D" w:rsidRPr="00BE2C1D" w:rsidRDefault="00BE2C1D" w:rsidP="00BE2C1D">
      <w:pPr>
        <w:rPr>
          <w:rFonts w:ascii="Century Gothic" w:hAnsi="Century Gothic" w:cs="Times New Roman"/>
        </w:rPr>
      </w:pPr>
      <w:r w:rsidRPr="00BE2C1D">
        <w:rPr>
          <w:rFonts w:ascii="Century Gothic" w:hAnsi="Century Gothic" w:cs="Times New Roman"/>
        </w:rPr>
        <w:t>Lecturer in Education</w:t>
      </w:r>
    </w:p>
    <w:p w14:paraId="6188567B" w14:textId="77777777" w:rsidR="00BE2C1D" w:rsidRPr="00BE2C1D" w:rsidRDefault="00BE2C1D" w:rsidP="00BE2C1D">
      <w:pPr>
        <w:rPr>
          <w:rFonts w:ascii="Century Gothic" w:hAnsi="Century Gothic" w:cs="Times New Roman"/>
        </w:rPr>
      </w:pPr>
      <w:r w:rsidRPr="00BE2C1D">
        <w:rPr>
          <w:rFonts w:ascii="Century Gothic" w:hAnsi="Century Gothic" w:cs="Times New Roman"/>
        </w:rPr>
        <w:t>School of Education, University of Sheffield</w:t>
      </w:r>
    </w:p>
    <w:p w14:paraId="466A97AE" w14:textId="77777777" w:rsidR="00BE2C1D" w:rsidRPr="00BE2C1D" w:rsidRDefault="00BE2C1D" w:rsidP="00BE2C1D">
      <w:pPr>
        <w:rPr>
          <w:rFonts w:ascii="Century Gothic" w:hAnsi="Century Gothic" w:cs="Times New Roman"/>
        </w:rPr>
      </w:pPr>
      <w:r w:rsidRPr="00BE2C1D">
        <w:rPr>
          <w:rFonts w:ascii="Century Gothic" w:hAnsi="Century Gothic" w:cs="Times New Roman"/>
        </w:rPr>
        <w:t>3</w:t>
      </w:r>
      <w:r w:rsidRPr="00BE2C1D">
        <w:rPr>
          <w:rFonts w:ascii="Century Gothic" w:hAnsi="Century Gothic" w:cs="Times New Roman"/>
          <w:vertAlign w:val="superscript"/>
        </w:rPr>
        <w:t>rd</w:t>
      </w:r>
      <w:r w:rsidRPr="00BE2C1D">
        <w:rPr>
          <w:rFonts w:ascii="Century Gothic" w:hAnsi="Century Gothic" w:cs="Times New Roman"/>
        </w:rPr>
        <w:t xml:space="preserve"> Floor Edgar Allen House</w:t>
      </w:r>
    </w:p>
    <w:p w14:paraId="0249D6BD" w14:textId="77777777" w:rsidR="00BE2C1D" w:rsidRPr="00BE2C1D" w:rsidRDefault="00BE2C1D" w:rsidP="00BE2C1D">
      <w:pPr>
        <w:rPr>
          <w:rFonts w:ascii="Century Gothic" w:hAnsi="Century Gothic"/>
        </w:rPr>
      </w:pPr>
      <w:r w:rsidRPr="00BE2C1D">
        <w:rPr>
          <w:rFonts w:ascii="Century Gothic" w:hAnsi="Century Gothic"/>
        </w:rPr>
        <w:t>241 Glossop Road, Sheffield, S10 2GW</w:t>
      </w:r>
    </w:p>
    <w:p w14:paraId="65BFD30B" w14:textId="77777777" w:rsidR="00BE2C1D" w:rsidRPr="00BE2C1D" w:rsidRDefault="00BE2C1D" w:rsidP="00BE2C1D">
      <w:pPr>
        <w:rPr>
          <w:rFonts w:ascii="Century Gothic" w:hAnsi="Century Gothic"/>
        </w:rPr>
      </w:pPr>
      <w:r w:rsidRPr="00BE2C1D">
        <w:rPr>
          <w:rFonts w:ascii="Century Gothic" w:hAnsi="Century Gothic" w:cs="Arial"/>
          <w:b/>
          <w:bCs/>
          <w:shd w:val="clear" w:color="auto" w:fill="FFFFFF"/>
        </w:rPr>
        <w:t>Email:</w:t>
      </w:r>
      <w:r w:rsidRPr="00BE2C1D">
        <w:rPr>
          <w:rFonts w:ascii="Century Gothic" w:hAnsi="Century Gothic" w:cs="Arial"/>
          <w:shd w:val="clear" w:color="auto" w:fill="FFFFFF"/>
        </w:rPr>
        <w:t> </w:t>
      </w:r>
      <w:hyperlink r:id="rId35" w:history="1">
        <w:r w:rsidRPr="00BE2C1D">
          <w:rPr>
            <w:rFonts w:ascii="Century Gothic" w:hAnsi="Century Gothic" w:cs="Arial"/>
            <w:color w:val="4472C4" w:themeColor="accent1"/>
            <w:u w:val="single"/>
            <w:shd w:val="clear" w:color="auto" w:fill="FFFFFF"/>
          </w:rPr>
          <w:t>d.hyatt@sheffield.ac.uk</w:t>
        </w:r>
      </w:hyperlink>
    </w:p>
    <w:p w14:paraId="0B104AA8" w14:textId="77777777" w:rsidR="00BE2C1D" w:rsidRPr="00BE2C1D" w:rsidRDefault="00BE2C1D" w:rsidP="00BE2C1D">
      <w:pPr>
        <w:rPr>
          <w:rFonts w:ascii="Century Gothic" w:hAnsi="Century Gothic" w:cs="Times New Roman"/>
        </w:rPr>
      </w:pPr>
      <w:r w:rsidRPr="00BE2C1D">
        <w:rPr>
          <w:rFonts w:ascii="Century Gothic" w:hAnsi="Century Gothic" w:cs="Arial"/>
          <w:b/>
          <w:bCs/>
          <w:shd w:val="clear" w:color="auto" w:fill="FFFFFF"/>
        </w:rPr>
        <w:t>Tel:</w:t>
      </w:r>
      <w:r w:rsidRPr="00BE2C1D">
        <w:rPr>
          <w:rFonts w:ascii="Century Gothic" w:hAnsi="Century Gothic" w:cs="Arial"/>
          <w:shd w:val="clear" w:color="auto" w:fill="FFFFFF"/>
        </w:rPr>
        <w:t> (+44) (0)114 222 8126</w:t>
      </w:r>
    </w:p>
    <w:p w14:paraId="0B0CCA9A" w14:textId="77777777" w:rsidR="00BE2C1D" w:rsidRPr="00BE2C1D" w:rsidRDefault="00BE2C1D" w:rsidP="00BE2C1D">
      <w:pPr>
        <w:rPr>
          <w:rFonts w:ascii="Century Gothic" w:hAnsi="Century Gothic" w:cs="Times New Roman"/>
        </w:rPr>
      </w:pPr>
    </w:p>
    <w:p w14:paraId="04C538EF" w14:textId="77777777" w:rsidR="00BE2C1D" w:rsidRPr="00BE2C1D" w:rsidRDefault="00BE2C1D" w:rsidP="00BE2C1D">
      <w:r w:rsidRPr="00BE2C1D">
        <w:rPr>
          <w:rFonts w:ascii="Century Gothic" w:hAnsi="Century Gothic"/>
          <w:b/>
        </w:rPr>
        <w:t>Who has ethically reviewed the project?</w:t>
      </w:r>
    </w:p>
    <w:p w14:paraId="1D25EB23" w14:textId="77777777" w:rsidR="00BE2C1D" w:rsidRPr="00BE2C1D" w:rsidRDefault="00BE2C1D" w:rsidP="00BE2C1D">
      <w:pPr>
        <w:rPr>
          <w:rFonts w:ascii="Century Gothic" w:hAnsi="Century Gothic"/>
          <w:b/>
        </w:rPr>
      </w:pPr>
      <w:r w:rsidRPr="00BE2C1D">
        <w:rPr>
          <w:rFonts w:ascii="Century Gothic" w:hAnsi="Century Gothic"/>
        </w:rPr>
        <w:t>This project has been ethically approved via the School of Education’s ethics review procedure. The University’s Research Ethics Committee monitors the application and delivery of the University’s Ethics Review Procedure across the University.</w:t>
      </w:r>
    </w:p>
    <w:p w14:paraId="52BA6E0A" w14:textId="77777777" w:rsidR="00BE2C1D" w:rsidRPr="00BE2C1D" w:rsidRDefault="00BE2C1D" w:rsidP="00BE2C1D">
      <w:pPr>
        <w:rPr>
          <w:rFonts w:ascii="Century Gothic" w:hAnsi="Century Gothic"/>
          <w:b/>
        </w:rPr>
      </w:pPr>
      <w:r w:rsidRPr="00BE2C1D">
        <w:rPr>
          <w:rFonts w:ascii="Century Gothic" w:hAnsi="Century Gothic"/>
          <w:b/>
        </w:rPr>
        <w:t>Contact for further information</w:t>
      </w:r>
    </w:p>
    <w:p w14:paraId="551C44AE" w14:textId="77777777" w:rsidR="00BE2C1D" w:rsidRPr="00BE2C1D" w:rsidRDefault="00BE2C1D" w:rsidP="00BE2C1D">
      <w:pPr>
        <w:rPr>
          <w:rFonts w:ascii="Century Gothic" w:hAnsi="Century Gothic"/>
        </w:rPr>
      </w:pPr>
      <w:r w:rsidRPr="00BE2C1D">
        <w:rPr>
          <w:rFonts w:ascii="Century Gothic" w:hAnsi="Century Gothic"/>
        </w:rPr>
        <w:t>If you and your parent(s)/guardian(s) have any questions about the study, please contact:</w:t>
      </w:r>
    </w:p>
    <w:p w14:paraId="3883B941" w14:textId="77777777" w:rsidR="00BE2C1D" w:rsidRPr="00BE2C1D" w:rsidRDefault="00BE2C1D" w:rsidP="00BE2C1D">
      <w:pPr>
        <w:rPr>
          <w:rFonts w:ascii="Century Gothic" w:hAnsi="Century Gothic"/>
        </w:rPr>
      </w:pPr>
      <w:r w:rsidRPr="00BE2C1D">
        <w:rPr>
          <w:rFonts w:ascii="Century Gothic" w:hAnsi="Century Gothic"/>
        </w:rPr>
        <w:t xml:space="preserve">Antonios Ktenidis                                                                              </w:t>
      </w:r>
      <w:r w:rsidRPr="00BE2C1D">
        <w:rPr>
          <w:rFonts w:ascii="Century Gothic" w:hAnsi="Century Gothic"/>
          <w:noProof/>
          <w:lang w:eastAsia="en-GB"/>
        </w:rPr>
        <w:drawing>
          <wp:inline distT="0" distB="0" distL="0" distR="0" wp14:anchorId="7A660696" wp14:editId="3717AC38">
            <wp:extent cx="1660894" cy="1265274"/>
            <wp:effectExtent l="19050" t="0" r="0" b="0"/>
            <wp:docPr id="72" name="Picture 1" descr="C:\Users\MediaMarkt2-PC\Downloads\20986347_1993201530923253_43085648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diaMarkt2-PC\Downloads\20986347_1993201530923253_430856488_n.jpg"/>
                    <pic:cNvPicPr>
                      <a:picLocks noChangeAspect="1" noChangeArrowheads="1"/>
                    </pic:cNvPicPr>
                  </pic:nvPicPr>
                  <pic:blipFill>
                    <a:blip r:embed="rId36"/>
                    <a:srcRect/>
                    <a:stretch>
                      <a:fillRect/>
                    </a:stretch>
                  </pic:blipFill>
                  <pic:spPr bwMode="auto">
                    <a:xfrm>
                      <a:off x="0" y="0"/>
                      <a:ext cx="1691137" cy="1288313"/>
                    </a:xfrm>
                    <a:prstGeom prst="rect">
                      <a:avLst/>
                    </a:prstGeom>
                    <a:noFill/>
                    <a:ln w="9525">
                      <a:noFill/>
                      <a:miter lim="800000"/>
                      <a:headEnd/>
                      <a:tailEnd/>
                    </a:ln>
                  </pic:spPr>
                </pic:pic>
              </a:graphicData>
            </a:graphic>
          </wp:inline>
        </w:drawing>
      </w:r>
      <w:r w:rsidRPr="00BE2C1D">
        <w:rPr>
          <w:rFonts w:ascii="Century Gothic" w:hAnsi="Century Gothic"/>
        </w:rPr>
        <w:t xml:space="preserve">                                                                                                                      </w:t>
      </w:r>
    </w:p>
    <w:p w14:paraId="3066B7A0" w14:textId="77777777" w:rsidR="00BE2C1D" w:rsidRPr="00BE2C1D" w:rsidRDefault="00BE2C1D" w:rsidP="00BE2C1D">
      <w:pPr>
        <w:rPr>
          <w:rFonts w:ascii="Century Gothic" w:hAnsi="Century Gothic"/>
        </w:rPr>
      </w:pPr>
      <w:r w:rsidRPr="00BE2C1D">
        <w:rPr>
          <w:rFonts w:ascii="Century Gothic" w:hAnsi="Century Gothic"/>
        </w:rPr>
        <w:t>PhD Candidate</w:t>
      </w:r>
    </w:p>
    <w:p w14:paraId="6F9F33C3" w14:textId="77777777" w:rsidR="00BE2C1D" w:rsidRPr="00BE2C1D" w:rsidRDefault="00BE2C1D" w:rsidP="00BE2C1D">
      <w:pPr>
        <w:rPr>
          <w:rFonts w:ascii="Century Gothic" w:hAnsi="Century Gothic"/>
        </w:rPr>
      </w:pPr>
      <w:r w:rsidRPr="00BE2C1D">
        <w:rPr>
          <w:rFonts w:ascii="Century Gothic" w:hAnsi="Century Gothic"/>
        </w:rPr>
        <w:t>School of Education, University of Sheffield</w:t>
      </w:r>
    </w:p>
    <w:p w14:paraId="4991BA59" w14:textId="77777777" w:rsidR="00BE2C1D" w:rsidRPr="00BE2C1D" w:rsidRDefault="00BE2C1D" w:rsidP="00BE2C1D">
      <w:pPr>
        <w:rPr>
          <w:rFonts w:ascii="Century Gothic" w:hAnsi="Century Gothic"/>
        </w:rPr>
      </w:pPr>
      <w:r w:rsidRPr="00BE2C1D">
        <w:rPr>
          <w:rFonts w:ascii="Century Gothic" w:hAnsi="Century Gothic"/>
        </w:rPr>
        <w:t>Edgar Allen House</w:t>
      </w:r>
    </w:p>
    <w:p w14:paraId="76A6C192" w14:textId="77777777" w:rsidR="00BE2C1D" w:rsidRPr="00BE2C1D" w:rsidRDefault="00BE2C1D" w:rsidP="00BE2C1D">
      <w:pPr>
        <w:rPr>
          <w:rFonts w:ascii="Century Gothic" w:hAnsi="Century Gothic"/>
        </w:rPr>
      </w:pPr>
      <w:r w:rsidRPr="00BE2C1D">
        <w:rPr>
          <w:rFonts w:ascii="Century Gothic" w:hAnsi="Century Gothic"/>
        </w:rPr>
        <w:t>241 Glossop Road, Sheffield, S10 2GW</w:t>
      </w:r>
    </w:p>
    <w:p w14:paraId="765CE4B0" w14:textId="77777777" w:rsidR="00BE2C1D" w:rsidRPr="00BE2C1D" w:rsidRDefault="00BE2C1D" w:rsidP="00BE2C1D">
      <w:r w:rsidRPr="00BE2C1D">
        <w:rPr>
          <w:rFonts w:ascii="Century Gothic" w:hAnsi="Century Gothic"/>
        </w:rPr>
        <w:t xml:space="preserve">Email: </w:t>
      </w:r>
      <w:hyperlink r:id="rId37" w:history="1">
        <w:r w:rsidRPr="00BE2C1D">
          <w:rPr>
            <w:rFonts w:ascii="Century Gothic" w:hAnsi="Century Gothic"/>
            <w:color w:val="0563C1" w:themeColor="hyperlink"/>
            <w:u w:val="single"/>
          </w:rPr>
          <w:t>aktenidis1@sheffield.ac.uk</w:t>
        </w:r>
      </w:hyperlink>
    </w:p>
    <w:p w14:paraId="64BE2E71" w14:textId="77777777" w:rsidR="00BE2C1D" w:rsidRPr="00BE2C1D" w:rsidRDefault="00BE2C1D" w:rsidP="00BE2C1D">
      <w:pPr>
        <w:rPr>
          <w:rFonts w:ascii="Century Gothic" w:hAnsi="Century Gothic"/>
        </w:rPr>
      </w:pPr>
    </w:p>
    <w:p w14:paraId="6F08A4A7" w14:textId="77777777" w:rsidR="00BE2C1D" w:rsidRPr="00BE2C1D" w:rsidRDefault="00BE2C1D" w:rsidP="00BE2C1D">
      <w:pPr>
        <w:rPr>
          <w:rFonts w:ascii="Century Gothic" w:hAnsi="Century Gothic"/>
        </w:rPr>
      </w:pPr>
      <w:r w:rsidRPr="00BE2C1D">
        <w:rPr>
          <w:rFonts w:ascii="Century Gothic" w:hAnsi="Century Gothic"/>
        </w:rPr>
        <w:t>You can also contact either of my supervisors in the following contact details:</w:t>
      </w:r>
    </w:p>
    <w:p w14:paraId="39A18152" w14:textId="77777777" w:rsidR="00BE2C1D" w:rsidRPr="00BE2C1D" w:rsidRDefault="00BE2C1D" w:rsidP="00BE2C1D">
      <w:pPr>
        <w:rPr>
          <w:rFonts w:ascii="Century Gothic" w:hAnsi="Century Gothic"/>
        </w:rPr>
      </w:pPr>
      <w:r w:rsidRPr="00BE2C1D">
        <w:rPr>
          <w:rFonts w:ascii="Century Gothic" w:hAnsi="Century Gothic"/>
        </w:rPr>
        <w:t>Professor Dan Goodley                                                       Dr Kirsty Liddiard</w:t>
      </w:r>
    </w:p>
    <w:p w14:paraId="03EAFAF0" w14:textId="77777777" w:rsidR="00BE2C1D" w:rsidRPr="00BE2C1D" w:rsidRDefault="00BE2C1D" w:rsidP="00BE2C1D">
      <w:pPr>
        <w:rPr>
          <w:rFonts w:ascii="Century Gothic" w:hAnsi="Century Gothic"/>
        </w:rPr>
      </w:pPr>
      <w:r w:rsidRPr="00BE2C1D">
        <w:rPr>
          <w:rFonts w:ascii="Century Gothic" w:hAnsi="Century Gothic"/>
        </w:rPr>
        <w:t>Chair In Education and Director of Research                  Research Fellow</w:t>
      </w:r>
    </w:p>
    <w:p w14:paraId="68A97BFD" w14:textId="77777777" w:rsidR="00BE2C1D" w:rsidRPr="00BE2C1D" w:rsidRDefault="00BE2C1D" w:rsidP="00BE2C1D">
      <w:pPr>
        <w:rPr>
          <w:rFonts w:ascii="Century Gothic" w:hAnsi="Century Gothic"/>
        </w:rPr>
      </w:pPr>
      <w:r w:rsidRPr="00BE2C1D">
        <w:rPr>
          <w:rFonts w:ascii="Century Gothic" w:hAnsi="Century Gothic"/>
        </w:rPr>
        <w:t>School of Education, University of Sheffield      School of Education, University of Sheffield</w:t>
      </w:r>
    </w:p>
    <w:p w14:paraId="49067898" w14:textId="77777777" w:rsidR="00BE2C1D" w:rsidRPr="00BE2C1D" w:rsidRDefault="00BE2C1D" w:rsidP="00BE2C1D">
      <w:pPr>
        <w:rPr>
          <w:rFonts w:ascii="Century Gothic" w:hAnsi="Century Gothic"/>
        </w:rPr>
      </w:pPr>
      <w:r w:rsidRPr="00BE2C1D">
        <w:rPr>
          <w:rFonts w:ascii="Century Gothic" w:hAnsi="Century Gothic"/>
        </w:rPr>
        <w:t>3</w:t>
      </w:r>
      <w:r w:rsidRPr="00BE2C1D">
        <w:rPr>
          <w:rFonts w:ascii="Century Gothic" w:hAnsi="Century Gothic"/>
          <w:vertAlign w:val="superscript"/>
        </w:rPr>
        <w:t>rd</w:t>
      </w:r>
      <w:r w:rsidRPr="00BE2C1D">
        <w:rPr>
          <w:rFonts w:ascii="Century Gothic" w:hAnsi="Century Gothic"/>
        </w:rPr>
        <w:t xml:space="preserve"> Floor                                                                                     3</w:t>
      </w:r>
      <w:r w:rsidRPr="00BE2C1D">
        <w:rPr>
          <w:rFonts w:ascii="Century Gothic" w:hAnsi="Century Gothic"/>
          <w:vertAlign w:val="superscript"/>
        </w:rPr>
        <w:t>rd</w:t>
      </w:r>
      <w:r w:rsidRPr="00BE2C1D">
        <w:rPr>
          <w:rFonts w:ascii="Century Gothic" w:hAnsi="Century Gothic"/>
        </w:rPr>
        <w:t xml:space="preserve"> Floor</w:t>
      </w:r>
    </w:p>
    <w:p w14:paraId="184D3756" w14:textId="77777777" w:rsidR="00BE2C1D" w:rsidRPr="00BE2C1D" w:rsidRDefault="00BE2C1D" w:rsidP="00BE2C1D">
      <w:pPr>
        <w:rPr>
          <w:rFonts w:ascii="Century Gothic" w:hAnsi="Century Gothic"/>
        </w:rPr>
      </w:pPr>
      <w:r w:rsidRPr="00BE2C1D">
        <w:rPr>
          <w:rFonts w:ascii="Century Gothic" w:hAnsi="Century Gothic"/>
        </w:rPr>
        <w:t xml:space="preserve">Edgar Allen House                                                               Edgar Allen House  </w:t>
      </w:r>
    </w:p>
    <w:p w14:paraId="6550A918" w14:textId="77777777" w:rsidR="00BE2C1D" w:rsidRPr="00BE2C1D" w:rsidRDefault="00BE2C1D" w:rsidP="00BE2C1D">
      <w:pPr>
        <w:rPr>
          <w:rFonts w:ascii="Century Gothic" w:hAnsi="Century Gothic"/>
        </w:rPr>
      </w:pPr>
      <w:r w:rsidRPr="00BE2C1D">
        <w:rPr>
          <w:rFonts w:ascii="Century Gothic" w:hAnsi="Century Gothic"/>
        </w:rPr>
        <w:t>241 Glossop Road                                                                241 Glossop Road</w:t>
      </w:r>
    </w:p>
    <w:p w14:paraId="6273E92A" w14:textId="77777777" w:rsidR="00BE2C1D" w:rsidRPr="00BE2C1D" w:rsidRDefault="00BE2C1D" w:rsidP="00BE2C1D">
      <w:pPr>
        <w:rPr>
          <w:rFonts w:ascii="Century Gothic" w:hAnsi="Century Gothic"/>
        </w:rPr>
      </w:pPr>
      <w:r w:rsidRPr="00BE2C1D">
        <w:rPr>
          <w:rFonts w:ascii="Century Gothic" w:hAnsi="Century Gothic"/>
        </w:rPr>
        <w:t>Sheffield, S10 2GW                                                               Sheffield, S10 2GW</w:t>
      </w:r>
    </w:p>
    <w:p w14:paraId="13C4DC3C" w14:textId="77777777" w:rsidR="00BE2C1D" w:rsidRPr="00BE2C1D" w:rsidRDefault="00BE2C1D" w:rsidP="00BE2C1D">
      <w:pPr>
        <w:rPr>
          <w:rFonts w:ascii="Century Gothic" w:hAnsi="Century Gothic"/>
        </w:rPr>
      </w:pPr>
      <w:r w:rsidRPr="00BE2C1D">
        <w:rPr>
          <w:rFonts w:ascii="Century Gothic" w:hAnsi="Century Gothic"/>
        </w:rPr>
        <w:t xml:space="preserve">Email: </w:t>
      </w:r>
      <w:hyperlink r:id="rId38" w:history="1">
        <w:r w:rsidRPr="00BE2C1D">
          <w:rPr>
            <w:rFonts w:ascii="Century Gothic" w:hAnsi="Century Gothic"/>
            <w:color w:val="0563C1" w:themeColor="hyperlink"/>
            <w:u w:val="single"/>
          </w:rPr>
          <w:t>d.goodley@sheffield.ac.uk</w:t>
        </w:r>
      </w:hyperlink>
      <w:r w:rsidRPr="00BE2C1D">
        <w:rPr>
          <w:rFonts w:ascii="Century Gothic" w:hAnsi="Century Gothic"/>
        </w:rPr>
        <w:t xml:space="preserve">                    Email: </w:t>
      </w:r>
      <w:hyperlink r:id="rId39" w:history="1">
        <w:r w:rsidRPr="00BE2C1D">
          <w:rPr>
            <w:rFonts w:ascii="Century Gothic" w:hAnsi="Century Gothic"/>
            <w:color w:val="0563C1" w:themeColor="hyperlink"/>
            <w:u w:val="single"/>
          </w:rPr>
          <w:t>k.liddiard@sheffield.ac.uk</w:t>
        </w:r>
      </w:hyperlink>
      <w:r w:rsidRPr="00BE2C1D">
        <w:rPr>
          <w:rFonts w:ascii="Century Gothic" w:hAnsi="Century Gothic"/>
        </w:rPr>
        <w:t xml:space="preserve"> </w:t>
      </w:r>
    </w:p>
    <w:p w14:paraId="02419376" w14:textId="77777777" w:rsidR="00BE2C1D" w:rsidRPr="00BE2C1D" w:rsidRDefault="00BE2C1D" w:rsidP="00BE2C1D">
      <w:pPr>
        <w:rPr>
          <w:rFonts w:ascii="Century Gothic" w:hAnsi="Century Gothic"/>
        </w:rPr>
      </w:pPr>
      <w:r w:rsidRPr="00BE2C1D">
        <w:rPr>
          <w:rFonts w:ascii="Century Gothic" w:hAnsi="Century Gothic"/>
        </w:rPr>
        <w:t>Tel: (+44) (0)114 222 8185                                   Tel: (+44) (0)114 222 8111</w:t>
      </w:r>
    </w:p>
    <w:p w14:paraId="28C2C90C" w14:textId="77777777" w:rsidR="00BE2C1D" w:rsidRPr="00BE2C1D" w:rsidRDefault="00BE2C1D" w:rsidP="00BE2C1D"/>
    <w:p w14:paraId="53A78729" w14:textId="77777777" w:rsidR="00BE2C1D" w:rsidRPr="00BE2C1D" w:rsidRDefault="00BE2C1D" w:rsidP="00BE2C1D">
      <w:pPr>
        <w:jc w:val="center"/>
        <w:rPr>
          <w:rFonts w:ascii="Century Gothic" w:hAnsi="Century Gothic"/>
          <w:b/>
          <w:sz w:val="32"/>
          <w:szCs w:val="32"/>
        </w:rPr>
      </w:pPr>
      <w:r w:rsidRPr="00BE2C1D">
        <w:rPr>
          <w:rFonts w:ascii="Century Gothic" w:hAnsi="Century Gothic"/>
          <w:b/>
          <w:sz w:val="32"/>
          <w:szCs w:val="32"/>
        </w:rPr>
        <w:t>Thank you for taking the time to read about Becoming Storytellers: Stories of Secondary Education project.</w:t>
      </w:r>
    </w:p>
    <w:p w14:paraId="5CF90A68" w14:textId="77777777" w:rsidR="00BE2C1D" w:rsidRPr="00BE2C1D" w:rsidRDefault="00BE2C1D" w:rsidP="00BE2C1D"/>
    <w:p w14:paraId="591121CE" w14:textId="77777777" w:rsidR="00BE2C1D" w:rsidRPr="00BE2C1D" w:rsidRDefault="00BE2C1D" w:rsidP="00BE2C1D"/>
    <w:p w14:paraId="014AB681" w14:textId="77777777" w:rsidR="00BE2C1D" w:rsidRPr="00BE2C1D" w:rsidRDefault="00BE2C1D" w:rsidP="00BE2C1D">
      <w:pPr>
        <w:keepNext/>
        <w:keepLines/>
        <w:spacing w:before="40" w:after="0"/>
        <w:outlineLvl w:val="2"/>
        <w:rPr>
          <w:rFonts w:asciiTheme="majorHAnsi" w:eastAsiaTheme="majorEastAsia" w:hAnsiTheme="majorHAnsi" w:cstheme="majorBidi"/>
          <w:color w:val="1F3763" w:themeColor="accent1" w:themeShade="7F"/>
          <w:sz w:val="24"/>
          <w:szCs w:val="24"/>
        </w:rPr>
      </w:pPr>
      <w:bookmarkStart w:id="208" w:name="_Toc39585307"/>
      <w:r w:rsidRPr="00BE2C1D">
        <w:rPr>
          <w:rFonts w:asciiTheme="majorHAnsi" w:eastAsiaTheme="majorEastAsia" w:hAnsiTheme="majorHAnsi" w:cstheme="majorBidi"/>
          <w:color w:val="1F3763" w:themeColor="accent1" w:themeShade="7F"/>
          <w:sz w:val="24"/>
          <w:szCs w:val="24"/>
        </w:rPr>
        <w:t>Information Sheet For Parents of Teenage Participants</w:t>
      </w:r>
      <w:bookmarkEnd w:id="208"/>
      <w:r w:rsidRPr="00BE2C1D">
        <w:rPr>
          <w:rFonts w:asciiTheme="majorHAnsi" w:eastAsiaTheme="majorEastAsia" w:hAnsiTheme="majorHAnsi" w:cstheme="majorBidi"/>
          <w:color w:val="1F3763" w:themeColor="accent1" w:themeShade="7F"/>
          <w:sz w:val="24"/>
          <w:szCs w:val="24"/>
        </w:rPr>
        <w:t xml:space="preserve"> </w:t>
      </w:r>
    </w:p>
    <w:p w14:paraId="2A481E19" w14:textId="77777777" w:rsidR="00BE2C1D" w:rsidRPr="00BE2C1D" w:rsidRDefault="00BE2C1D" w:rsidP="00BE2C1D"/>
    <w:p w14:paraId="2BB77782" w14:textId="77777777" w:rsidR="00BE2C1D" w:rsidRPr="00BE2C1D" w:rsidRDefault="00BE2C1D" w:rsidP="00BE2C1D">
      <w:pPr>
        <w:jc w:val="center"/>
        <w:rPr>
          <w:b/>
          <w:sz w:val="36"/>
          <w:szCs w:val="36"/>
        </w:rPr>
      </w:pPr>
      <w:r w:rsidRPr="00BE2C1D">
        <w:rPr>
          <w:b/>
          <w:sz w:val="36"/>
          <w:szCs w:val="36"/>
        </w:rPr>
        <w:t>Be-Coming Storytellers: Stories of Secondary Education</w:t>
      </w:r>
    </w:p>
    <w:p w14:paraId="38706DB6" w14:textId="77777777" w:rsidR="00BE2C1D" w:rsidRPr="00BE2C1D" w:rsidRDefault="00BE2C1D" w:rsidP="00BE2C1D">
      <w:pPr>
        <w:pBdr>
          <w:top w:val="single" w:sz="4" w:space="1" w:color="auto"/>
          <w:left w:val="single" w:sz="4" w:space="4" w:color="auto"/>
          <w:bottom w:val="single" w:sz="4" w:space="1" w:color="auto"/>
          <w:right w:val="single" w:sz="4" w:space="4" w:color="auto"/>
        </w:pBdr>
        <w:rPr>
          <w:rFonts w:ascii="Century Gothic" w:hAnsi="Century Gothic"/>
          <w:b/>
          <w:i/>
          <w:sz w:val="20"/>
          <w:szCs w:val="20"/>
        </w:rPr>
      </w:pPr>
      <w:r w:rsidRPr="00BE2C1D">
        <w:rPr>
          <w:rFonts w:ascii="Century Gothic" w:hAnsi="Century Gothic"/>
          <w:i/>
          <w:sz w:val="20"/>
          <w:szCs w:val="20"/>
        </w:rPr>
        <w:t>Your child is being invited to participate in a research project called Be-Coming Storytellers: Stories of Secondary Education. Before you decide whether or not they can participate, it is important for you to understand why the research is being done and what it will involve. Please take time to read the following information carefully and discuss it with others if you wish. Feel free to ask me if there is anything that you do not understand, or if you would like more information. Thank you for taking the time to read this Participant Information Sheet.</w:t>
      </w:r>
    </w:p>
    <w:p w14:paraId="4C2DB925" w14:textId="77777777" w:rsidR="00BE2C1D" w:rsidRPr="00BE2C1D" w:rsidRDefault="00BE2C1D" w:rsidP="00BE2C1D">
      <w:pPr>
        <w:rPr>
          <w:rFonts w:ascii="Century Gothic" w:hAnsi="Century Gothic"/>
          <w:i/>
          <w:sz w:val="20"/>
          <w:szCs w:val="20"/>
        </w:rPr>
      </w:pPr>
    </w:p>
    <w:p w14:paraId="11249051" w14:textId="77777777" w:rsidR="00BE2C1D" w:rsidRPr="00BE2C1D" w:rsidRDefault="00BE2C1D" w:rsidP="00BE2C1D">
      <w:pPr>
        <w:rPr>
          <w:rFonts w:ascii="Century Gothic" w:hAnsi="Century Gothic"/>
          <w:b/>
        </w:rPr>
      </w:pPr>
      <w:r w:rsidRPr="00BE2C1D">
        <w:rPr>
          <w:rFonts w:ascii="Century Gothic" w:hAnsi="Century Gothic"/>
          <w:b/>
        </w:rPr>
        <w:t>Who am I?</w:t>
      </w:r>
    </w:p>
    <w:p w14:paraId="42C13F07" w14:textId="77777777" w:rsidR="00BE2C1D" w:rsidRPr="00BE2C1D" w:rsidRDefault="00BE2C1D" w:rsidP="00BE2C1D">
      <w:pPr>
        <w:rPr>
          <w:rFonts w:ascii="Century Gothic" w:hAnsi="Century Gothic"/>
        </w:rPr>
      </w:pPr>
      <w:r w:rsidRPr="00BE2C1D">
        <w:rPr>
          <w:rFonts w:ascii="Century Gothic" w:hAnsi="Century Gothic"/>
        </w:rPr>
        <w:t>I am Antonios Ktenidis and I identify as a short-statured male with the label of ‘</w:t>
      </w:r>
      <w:r w:rsidRPr="00BE2C1D">
        <w:rPr>
          <w:rFonts w:ascii="Century Gothic" w:hAnsi="Century Gothic"/>
          <w:b/>
          <w:i/>
        </w:rPr>
        <w:t>idiopathic short stature</w:t>
      </w:r>
      <w:r w:rsidRPr="00BE2C1D">
        <w:rPr>
          <w:rFonts w:ascii="Century Gothic" w:hAnsi="Century Gothic"/>
          <w:b/>
          <w:i/>
          <w:vertAlign w:val="superscript"/>
        </w:rPr>
        <w:footnoteReference w:id="152"/>
      </w:r>
      <w:r w:rsidRPr="00BE2C1D">
        <w:rPr>
          <w:rFonts w:ascii="Century Gothic" w:hAnsi="Century Gothic"/>
        </w:rPr>
        <w:t xml:space="preserve">’. I am a doctoral researcher in the School of Education at University of Sheffield. I am supervised by Professor Dan Goodley and Dr Kirsty </w:t>
      </w:r>
      <w:r w:rsidRPr="00BE2C1D">
        <w:rPr>
          <w:rFonts w:ascii="Century Gothic" w:hAnsi="Century Gothic"/>
        </w:rPr>
        <w:lastRenderedPageBreak/>
        <w:t xml:space="preserve">Liddiard. I hold a BA in Primary School Education and a MA in Sociology of Education. I have worked in various teaching positions in primary schools in the United Kingdom since 2014 and became interested in how students with different bodies experience schooling and the impact such experiences have on their future life choices and chances. </w:t>
      </w:r>
    </w:p>
    <w:p w14:paraId="0A9BD3F3" w14:textId="77777777" w:rsidR="00BE2C1D" w:rsidRPr="00BE2C1D" w:rsidRDefault="00BE2C1D" w:rsidP="00BE2C1D">
      <w:pPr>
        <w:rPr>
          <w:rFonts w:ascii="Century Gothic" w:hAnsi="Century Gothic"/>
        </w:rPr>
      </w:pPr>
      <w:r w:rsidRPr="00BE2C1D">
        <w:rPr>
          <w:rFonts w:ascii="Century Gothic" w:hAnsi="Century Gothic"/>
          <w:b/>
        </w:rPr>
        <w:t>What is the project’s purpose?</w:t>
      </w:r>
    </w:p>
    <w:p w14:paraId="171ED40B" w14:textId="77777777" w:rsidR="00BE2C1D" w:rsidRPr="00BE2C1D" w:rsidRDefault="00BE2C1D" w:rsidP="00BE2C1D">
      <w:pPr>
        <w:rPr>
          <w:rFonts w:ascii="Century Gothic" w:hAnsi="Century Gothic"/>
        </w:rPr>
      </w:pPr>
      <w:r w:rsidRPr="00BE2C1D">
        <w:rPr>
          <w:rFonts w:ascii="Century Gothic" w:hAnsi="Century Gothic"/>
        </w:rPr>
        <w:t>Be-Coming Storytellers: Stories of Secondary Education is a research project that seeks to make known the experiences of students with Restricted Growth (hereby RG) of their secondary education and their future plans.</w:t>
      </w:r>
    </w:p>
    <w:p w14:paraId="14B95768" w14:textId="77777777" w:rsidR="00BE2C1D" w:rsidRPr="00BE2C1D" w:rsidRDefault="00BE2C1D" w:rsidP="00BE2C1D">
      <w:pPr>
        <w:rPr>
          <w:rFonts w:ascii="Century Gothic" w:hAnsi="Century Gothic"/>
        </w:rPr>
      </w:pPr>
      <w:r w:rsidRPr="00BE2C1D">
        <w:rPr>
          <w:rFonts w:ascii="Century Gothic" w:hAnsi="Century Gothic"/>
        </w:rPr>
        <w:t xml:space="preserve">Working collaboratively with young people (11-17 years old) with RG and the associations that they might or might not be members of, this project will provide young people with the opportunity to tell stories of their experiences of their secondary schooling in various ways (using their voice, art and digital means) as well as sharing these stories with other peers with RG on a private, password protected weblog. </w:t>
      </w:r>
    </w:p>
    <w:p w14:paraId="255AE71B" w14:textId="77777777" w:rsidR="00BE2C1D" w:rsidRPr="00BE2C1D" w:rsidRDefault="00BE2C1D" w:rsidP="00BE2C1D">
      <w:pPr>
        <w:rPr>
          <w:rFonts w:ascii="Century Gothic" w:hAnsi="Century Gothic"/>
        </w:rPr>
      </w:pPr>
      <w:r w:rsidRPr="00BE2C1D">
        <w:rPr>
          <w:rFonts w:ascii="Century Gothic" w:hAnsi="Century Gothic"/>
        </w:rPr>
        <w:t>Three reports of the Equality and Human Rights Commission</w:t>
      </w:r>
      <w:r w:rsidRPr="00BE2C1D">
        <w:rPr>
          <w:rFonts w:ascii="Century Gothic" w:hAnsi="Century Gothic" w:cs="Times New Roman"/>
          <w:vertAlign w:val="superscript"/>
        </w:rPr>
        <w:footnoteReference w:id="153"/>
      </w:r>
      <w:r w:rsidRPr="00BE2C1D">
        <w:rPr>
          <w:rFonts w:ascii="Century Gothic" w:hAnsi="Century Gothic"/>
        </w:rPr>
        <w:t xml:space="preserve">, which cover the period from 2009 to date (the time that your child is being/has been educated), demonstrate that disabled students find themselves in much more disadvantaged positions compared to their non-disabled peers throughout education (e.g. bullying rates, exclusion rates, access to further and higher education), and, consequently, being hindered to pursue their future goals and dreams. Nevertheless, such reports treat disability homogeneously (by that, I mean that all different impairments are included under the umbrella-term of ‘disability’ and are seen as more or less the same or at least as similar) and are not representative of every single individual’s experience. Moreover, as Tom Shakespeare and his colleagues (2010) argue, people with RG are situated at the margins of the disability community and, therefore, their experiences are rarely acknowledged. Hence, this project aims to engage with young people’s voices and creativity to produce stories and knowledge(s) which come directly from them.           </w:t>
      </w:r>
    </w:p>
    <w:p w14:paraId="2B60C4BC" w14:textId="77777777" w:rsidR="00BE2C1D" w:rsidRPr="00BE2C1D" w:rsidRDefault="00BE2C1D" w:rsidP="00BE2C1D">
      <w:pPr>
        <w:rPr>
          <w:rFonts w:ascii="Century Gothic" w:hAnsi="Century Gothic"/>
        </w:rPr>
      </w:pPr>
      <w:r w:rsidRPr="00BE2C1D">
        <w:rPr>
          <w:rFonts w:ascii="Century Gothic" w:hAnsi="Century Gothic"/>
        </w:rPr>
        <w:t xml:space="preserve">The research will run for 8 months, beginning in October 2017 and ending in June 2018. </w:t>
      </w:r>
    </w:p>
    <w:p w14:paraId="3A68368A" w14:textId="77777777" w:rsidR="00BE2C1D" w:rsidRPr="00BE2C1D" w:rsidRDefault="00BE2C1D" w:rsidP="00BE2C1D">
      <w:pPr>
        <w:rPr>
          <w:rFonts w:ascii="Century Gothic" w:hAnsi="Century Gothic"/>
          <w:b/>
        </w:rPr>
      </w:pPr>
      <w:r w:rsidRPr="00BE2C1D">
        <w:rPr>
          <w:rFonts w:ascii="Century Gothic" w:hAnsi="Century Gothic"/>
          <w:b/>
        </w:rPr>
        <w:t>Why has my child been chosen?</w:t>
      </w:r>
    </w:p>
    <w:p w14:paraId="4B012898" w14:textId="77777777" w:rsidR="00BE2C1D" w:rsidRPr="00BE2C1D" w:rsidRDefault="00BE2C1D" w:rsidP="00BE2C1D">
      <w:pPr>
        <w:rPr>
          <w:rFonts w:ascii="Century Gothic" w:hAnsi="Century Gothic"/>
        </w:rPr>
      </w:pPr>
      <w:r w:rsidRPr="00BE2C1D">
        <w:rPr>
          <w:rFonts w:ascii="Century Gothic" w:hAnsi="Century Gothic"/>
        </w:rPr>
        <w:t xml:space="preserve">I want to invite young people with RG (11-17 years old) to participate as storytellers in Be-Coming Storytellers: Stories of Secondary Education. I am asking your child to participate because of their age and because they live with a RG condition. </w:t>
      </w:r>
    </w:p>
    <w:p w14:paraId="067F2E9B" w14:textId="77777777" w:rsidR="00BE2C1D" w:rsidRPr="00BE2C1D" w:rsidRDefault="00BE2C1D" w:rsidP="00BE2C1D">
      <w:pPr>
        <w:rPr>
          <w:rFonts w:ascii="Century Gothic" w:hAnsi="Century Gothic"/>
          <w:b/>
        </w:rPr>
      </w:pPr>
      <w:r w:rsidRPr="00BE2C1D">
        <w:rPr>
          <w:rFonts w:ascii="Century Gothic" w:hAnsi="Century Gothic"/>
          <w:b/>
        </w:rPr>
        <w:t>Do they have to take part?</w:t>
      </w:r>
    </w:p>
    <w:p w14:paraId="582BAC8D" w14:textId="77777777" w:rsidR="00BE2C1D" w:rsidRPr="00BE2C1D" w:rsidRDefault="00BE2C1D" w:rsidP="00BE2C1D">
      <w:pPr>
        <w:rPr>
          <w:rFonts w:ascii="Century Gothic" w:hAnsi="Century Gothic"/>
        </w:rPr>
      </w:pPr>
      <w:r w:rsidRPr="00BE2C1D">
        <w:rPr>
          <w:rFonts w:ascii="Century Gothic" w:hAnsi="Century Gothic"/>
        </w:rPr>
        <w:t xml:space="preserve">No, it is completely up to you and your child whether they take part or not. Their participation in Be-Coming Storytellers: Stories of Secondary Education is entirely voluntary. </w:t>
      </w:r>
    </w:p>
    <w:p w14:paraId="1E877890" w14:textId="77777777" w:rsidR="00BE2C1D" w:rsidRPr="00BE2C1D" w:rsidRDefault="00BE2C1D" w:rsidP="00BE2C1D">
      <w:pPr>
        <w:rPr>
          <w:rFonts w:ascii="Century Gothic" w:hAnsi="Century Gothic"/>
        </w:rPr>
      </w:pPr>
      <w:r w:rsidRPr="00BE2C1D">
        <w:rPr>
          <w:rFonts w:ascii="Century Gothic" w:hAnsi="Century Gothic"/>
        </w:rPr>
        <w:lastRenderedPageBreak/>
        <w:t xml:space="preserve">You will be asked to sign a consent form to state that you are happy for your child to participate in Be-Coming Storytellers: Stories of Secondary Education. However, there is always the option of ‘withdrawing’, which means that your child can stop participating at any time without even you or they having to give a reason. </w:t>
      </w:r>
    </w:p>
    <w:p w14:paraId="4E28EFE6" w14:textId="77777777" w:rsidR="00BE2C1D" w:rsidRPr="00BE2C1D" w:rsidRDefault="00BE2C1D" w:rsidP="00BE2C1D">
      <w:pPr>
        <w:rPr>
          <w:rFonts w:ascii="Century Gothic" w:hAnsi="Century Gothic"/>
          <w:b/>
        </w:rPr>
      </w:pPr>
      <w:r w:rsidRPr="00BE2C1D">
        <w:rPr>
          <w:rFonts w:ascii="Century Gothic" w:hAnsi="Century Gothic"/>
          <w:b/>
        </w:rPr>
        <w:t>What will happen to my child if they become a participant?</w:t>
      </w:r>
    </w:p>
    <w:p w14:paraId="13881E41" w14:textId="77777777" w:rsidR="00BE2C1D" w:rsidRPr="00BE2C1D" w:rsidRDefault="00BE2C1D" w:rsidP="00BE2C1D">
      <w:pPr>
        <w:rPr>
          <w:rFonts w:ascii="Century Gothic" w:hAnsi="Century Gothic"/>
        </w:rPr>
      </w:pPr>
      <w:r w:rsidRPr="00BE2C1D">
        <w:rPr>
          <w:rFonts w:ascii="Century Gothic" w:hAnsi="Century Gothic"/>
        </w:rPr>
        <w:t>In Be-Coming Storytellers: Stories of Secondary Education, I want to ensure that the project is as flexible as possible; participation can be shaped and adapted to fit around the needs and desires of young people.</w:t>
      </w:r>
    </w:p>
    <w:p w14:paraId="67FD52F7" w14:textId="77777777" w:rsidR="00BE2C1D" w:rsidRPr="00BE2C1D" w:rsidRDefault="00BE2C1D" w:rsidP="00BE2C1D">
      <w:pPr>
        <w:rPr>
          <w:rFonts w:ascii="Century Gothic" w:hAnsi="Century Gothic"/>
        </w:rPr>
      </w:pPr>
      <w:r w:rsidRPr="00BE2C1D">
        <w:rPr>
          <w:rFonts w:ascii="Century Gothic" w:hAnsi="Century Gothic"/>
        </w:rPr>
        <w:t xml:space="preserve">I am looking to invite a total of 6 young people with RG (aged 11-17 years old) to become storytellers and share their creative stories with me as well as with other young people on a weblog.  </w:t>
      </w:r>
    </w:p>
    <w:p w14:paraId="7C64C623" w14:textId="77777777" w:rsidR="00BE2C1D" w:rsidRPr="00BE2C1D" w:rsidRDefault="00BE2C1D" w:rsidP="00BE2C1D">
      <w:pPr>
        <w:rPr>
          <w:rFonts w:ascii="Century Gothic" w:hAnsi="Century Gothic"/>
          <w:b/>
        </w:rPr>
      </w:pPr>
      <w:r w:rsidRPr="00BE2C1D">
        <w:rPr>
          <w:rFonts w:ascii="Century Gothic" w:hAnsi="Century Gothic"/>
          <w:b/>
        </w:rPr>
        <w:t>What do they have to do?</w:t>
      </w:r>
    </w:p>
    <w:p w14:paraId="411228F2" w14:textId="77777777" w:rsidR="00BE2C1D" w:rsidRPr="00BE2C1D" w:rsidRDefault="00BE2C1D" w:rsidP="00BE2C1D">
      <w:pPr>
        <w:rPr>
          <w:rFonts w:ascii="Century Gothic" w:hAnsi="Century Gothic"/>
        </w:rPr>
      </w:pPr>
      <w:r w:rsidRPr="00BE2C1D">
        <w:rPr>
          <w:rFonts w:ascii="Century Gothic" w:hAnsi="Century Gothic"/>
        </w:rPr>
        <w:t>The involvement of your child consists of two parts.</w:t>
      </w:r>
    </w:p>
    <w:p w14:paraId="70B9AC0B" w14:textId="77777777" w:rsidR="00BE2C1D" w:rsidRPr="00BE2C1D" w:rsidRDefault="00BE2C1D" w:rsidP="00BE2C1D">
      <w:pPr>
        <w:rPr>
          <w:rFonts w:ascii="Century Gothic" w:hAnsi="Century Gothic"/>
        </w:rPr>
      </w:pPr>
      <w:r w:rsidRPr="00BE2C1D">
        <w:rPr>
          <w:rFonts w:ascii="Century Gothic" w:hAnsi="Century Gothic"/>
        </w:rPr>
        <w:t>Firstly, your child will be involved in two informal story-sharing sessions with me, where they will be asked to share their stories of their experiences of secondary schooling. The best time for this story-sharing to take place would be after the end of the 1</w:t>
      </w:r>
      <w:r w:rsidRPr="00BE2C1D">
        <w:rPr>
          <w:rFonts w:ascii="Century Gothic" w:hAnsi="Century Gothic"/>
          <w:vertAlign w:val="superscript"/>
        </w:rPr>
        <w:t>st</w:t>
      </w:r>
      <w:r w:rsidRPr="00BE2C1D">
        <w:rPr>
          <w:rFonts w:ascii="Century Gothic" w:hAnsi="Century Gothic"/>
        </w:rPr>
        <w:t xml:space="preserve"> and 2</w:t>
      </w:r>
      <w:r w:rsidRPr="00BE2C1D">
        <w:rPr>
          <w:rFonts w:ascii="Century Gothic" w:hAnsi="Century Gothic"/>
          <w:vertAlign w:val="superscript"/>
        </w:rPr>
        <w:t>nd</w:t>
      </w:r>
      <w:r w:rsidRPr="00BE2C1D">
        <w:rPr>
          <w:rFonts w:ascii="Century Gothic" w:hAnsi="Century Gothic"/>
        </w:rPr>
        <w:t xml:space="preserve"> school term (December 2017 and April 2018 respectively), so that they can reflect on their experiences of the terms. However, as mentioned above, this project is flexible and the participation of your child is highly valued, so the time of the story-sharing could be agreed among us (you as parent/guardian, me and your child). Moreover, it would be preferable for the story-sharing to occur in person (I will travel to your city/town), but, if this is not possible, alternative means, such as Skype or a phone call could be utilized. You are also more than welcome to be present during the story-sharing. </w:t>
      </w:r>
    </w:p>
    <w:p w14:paraId="1E0A23ED" w14:textId="77777777" w:rsidR="00BE2C1D" w:rsidRPr="00BE2C1D" w:rsidRDefault="00BE2C1D" w:rsidP="00BE2C1D">
      <w:pPr>
        <w:rPr>
          <w:rFonts w:ascii="Century Gothic" w:hAnsi="Century Gothic"/>
        </w:rPr>
      </w:pPr>
      <w:r w:rsidRPr="00BE2C1D">
        <w:rPr>
          <w:rFonts w:ascii="Century Gothic" w:hAnsi="Century Gothic"/>
        </w:rPr>
        <w:t xml:space="preserve">Secondly, your child will be asked to become a ‘digital storyteller’ too. By that, I mean that your child will be asked to share their stories of schooling with other peers on a weblog (a WordPress set up by me, which will be password protected and only participants and me will have access to it) from January to April (covering the second school term). These stories can vary in form (they can include text, pictures, sound, power point presentations) and content (they can be descriptive of a school day, of something special that happened during the term etc.) and can be as many as the child wants. As this weblog will constitute a small form of a community, where thoughts, feelings and stories will be shared, your child will need to abide by certain regulations and also sign for internal confidentiality. </w:t>
      </w:r>
    </w:p>
    <w:p w14:paraId="0610ED61" w14:textId="77777777" w:rsidR="00BE2C1D" w:rsidRPr="00BE2C1D" w:rsidRDefault="00BE2C1D" w:rsidP="00BE2C1D">
      <w:pPr>
        <w:rPr>
          <w:rFonts w:ascii="Century Gothic" w:hAnsi="Century Gothic"/>
        </w:rPr>
      </w:pPr>
      <w:r w:rsidRPr="00BE2C1D">
        <w:rPr>
          <w:rFonts w:ascii="Century Gothic" w:hAnsi="Century Gothic"/>
        </w:rPr>
        <w:t xml:space="preserve">Finally, the involvement of your child will be anonymous in both parts and they will be asked to pick their own pseudonyms to represent themselves.  </w:t>
      </w:r>
    </w:p>
    <w:p w14:paraId="526F5125" w14:textId="77777777" w:rsidR="00BE2C1D" w:rsidRPr="00BE2C1D" w:rsidRDefault="00BE2C1D" w:rsidP="00BE2C1D">
      <w:pPr>
        <w:rPr>
          <w:rFonts w:ascii="Century Gothic" w:hAnsi="Century Gothic"/>
          <w:b/>
        </w:rPr>
      </w:pPr>
      <w:r w:rsidRPr="00BE2C1D">
        <w:rPr>
          <w:rFonts w:ascii="Century Gothic" w:hAnsi="Century Gothic"/>
          <w:b/>
        </w:rPr>
        <w:t>What are the possible disadvantages and risks of taking part?</w:t>
      </w:r>
    </w:p>
    <w:p w14:paraId="1388C70B" w14:textId="77777777" w:rsidR="00BE2C1D" w:rsidRPr="00BE2C1D" w:rsidRDefault="00BE2C1D" w:rsidP="00BE2C1D">
      <w:pPr>
        <w:rPr>
          <w:rFonts w:ascii="Century Gothic" w:hAnsi="Century Gothic"/>
        </w:rPr>
      </w:pPr>
      <w:r w:rsidRPr="00BE2C1D">
        <w:rPr>
          <w:rFonts w:ascii="Century Gothic" w:hAnsi="Century Gothic"/>
        </w:rPr>
        <w:t xml:space="preserve">There are not any serious disadvantages or risks in taking part in Be-Coming Storytellers: Stories of Secondary Education. Nevertheless, there is the possibility of sensitive topics to be brought up (e.g. teasing) in the stories that children will share, which can be/feel distressing. This can happen either through the personal stories/reflections that children will produce or by being exposed to other children’s </w:t>
      </w:r>
      <w:r w:rsidRPr="00BE2C1D">
        <w:rPr>
          <w:rFonts w:ascii="Century Gothic" w:hAnsi="Century Gothic"/>
        </w:rPr>
        <w:lastRenderedPageBreak/>
        <w:t xml:space="preserve">feelings, thoughts and stories. However, a series of measures will be taken to ensure that children feel comfortable and supported. </w:t>
      </w:r>
    </w:p>
    <w:p w14:paraId="0148B93B" w14:textId="77777777" w:rsidR="00BE2C1D" w:rsidRPr="00BE2C1D" w:rsidRDefault="00BE2C1D" w:rsidP="00BE2C1D">
      <w:pPr>
        <w:rPr>
          <w:rFonts w:ascii="Century Gothic" w:hAnsi="Century Gothic"/>
        </w:rPr>
      </w:pPr>
      <w:r w:rsidRPr="00BE2C1D">
        <w:rPr>
          <w:rFonts w:ascii="Century Gothic" w:hAnsi="Century Gothic"/>
        </w:rPr>
        <w:t xml:space="preserve">Firstly, it will be clarified from the beginning that they can take a time our whenever they wish or change a topic if they do not feel convenient with it. The discussions/story sharing are child-centred, that means that children will be leading the discussion, so anything that will potentially be discussed will be their choice. </w:t>
      </w:r>
    </w:p>
    <w:p w14:paraId="5DF6C3CE" w14:textId="77777777" w:rsidR="00BE2C1D" w:rsidRPr="00BE2C1D" w:rsidRDefault="00BE2C1D" w:rsidP="00BE2C1D">
      <w:pPr>
        <w:rPr>
          <w:rFonts w:ascii="Century Gothic" w:hAnsi="Century Gothic"/>
        </w:rPr>
      </w:pPr>
      <w:r w:rsidRPr="00BE2C1D">
        <w:rPr>
          <w:rFonts w:ascii="Century Gothic" w:hAnsi="Century Gothic"/>
        </w:rPr>
        <w:t>Secondly, a supportive environment where such discussions can be held will be created by them taking place in physical spaces that children feel comfortable in and by me being open and sincere to any questions they might have, including my own experiences of schooling.</w:t>
      </w:r>
    </w:p>
    <w:p w14:paraId="5EC29897" w14:textId="77777777" w:rsidR="00BE2C1D" w:rsidRPr="00BE2C1D" w:rsidRDefault="00BE2C1D" w:rsidP="00BE2C1D">
      <w:pPr>
        <w:rPr>
          <w:rFonts w:ascii="Century Gothic" w:hAnsi="Century Gothic"/>
        </w:rPr>
      </w:pPr>
      <w:r w:rsidRPr="00BE2C1D">
        <w:rPr>
          <w:rFonts w:ascii="Century Gothic" w:hAnsi="Century Gothic"/>
        </w:rPr>
        <w:t xml:space="preserve">Finally, it will also be made clear that there is nothing wrong or shameful with being honest about our feelings and such reflections are more than welcome in this inclusive space.  </w:t>
      </w:r>
    </w:p>
    <w:p w14:paraId="6A64CD97" w14:textId="77777777" w:rsidR="00BE2C1D" w:rsidRPr="00BE2C1D" w:rsidRDefault="00BE2C1D" w:rsidP="00BE2C1D">
      <w:pPr>
        <w:rPr>
          <w:rFonts w:ascii="Century Gothic" w:hAnsi="Century Gothic"/>
          <w:b/>
        </w:rPr>
      </w:pPr>
      <w:r w:rsidRPr="00BE2C1D">
        <w:rPr>
          <w:rFonts w:ascii="Century Gothic" w:hAnsi="Century Gothic"/>
          <w:b/>
        </w:rPr>
        <w:t>What are the possible benefits of taking part?</w:t>
      </w:r>
    </w:p>
    <w:p w14:paraId="383019E9" w14:textId="77777777" w:rsidR="00BE2C1D" w:rsidRPr="00BE2C1D" w:rsidRDefault="00BE2C1D" w:rsidP="00BE2C1D">
      <w:pPr>
        <w:rPr>
          <w:rFonts w:ascii="Century Gothic" w:hAnsi="Century Gothic"/>
        </w:rPr>
      </w:pPr>
      <w:r w:rsidRPr="00BE2C1D">
        <w:rPr>
          <w:rFonts w:ascii="Century Gothic" w:hAnsi="Century Gothic"/>
        </w:rPr>
        <w:t xml:space="preserve">There is a range of benefits in participating in Be-Coming Storytellers: Stories of Secondary Education for children. </w:t>
      </w:r>
    </w:p>
    <w:p w14:paraId="285EC362" w14:textId="77777777" w:rsidR="00BE2C1D" w:rsidRPr="00BE2C1D" w:rsidRDefault="00BE2C1D" w:rsidP="00BE2C1D">
      <w:pPr>
        <w:rPr>
          <w:rFonts w:ascii="Century Gothic" w:hAnsi="Century Gothic"/>
        </w:rPr>
      </w:pPr>
      <w:r w:rsidRPr="00BE2C1D">
        <w:rPr>
          <w:rFonts w:ascii="Century Gothic" w:hAnsi="Century Gothic"/>
        </w:rPr>
        <w:t xml:space="preserve">Firstly, reflecting on one’s experiences is a very useful skill for self-esteem to be built as well as developing awareness of ways to deal with difficulties that we come across in our daily life. Moreover, realizing that we are not the only ones that go through certain difficulties, but there are others that share similar experiences –this is what is sought through the weblog-can also be a beneficial learning process. </w:t>
      </w:r>
    </w:p>
    <w:p w14:paraId="567A41DE" w14:textId="77777777" w:rsidR="00BE2C1D" w:rsidRPr="00BE2C1D" w:rsidRDefault="00BE2C1D" w:rsidP="00BE2C1D">
      <w:pPr>
        <w:rPr>
          <w:rFonts w:ascii="Century Gothic" w:hAnsi="Century Gothic"/>
        </w:rPr>
      </w:pPr>
      <w:r w:rsidRPr="00BE2C1D">
        <w:rPr>
          <w:rFonts w:ascii="Century Gothic" w:hAnsi="Century Gothic"/>
        </w:rPr>
        <w:t xml:space="preserve">However, through storytelling it is also expected that positive and affirmative images of oneself will also emerge and that difference can be celebrated.  Against how different bodies are represented in (popular) culture (e.g. as fascinating or threatening), including the media, this project aims to produce affirmative and celebratory accounts of the body with RG.   </w:t>
      </w:r>
    </w:p>
    <w:p w14:paraId="2B3DD57D" w14:textId="77777777" w:rsidR="00BE2C1D" w:rsidRPr="00BE2C1D" w:rsidRDefault="00BE2C1D" w:rsidP="00BE2C1D">
      <w:pPr>
        <w:rPr>
          <w:rFonts w:ascii="Century Gothic" w:hAnsi="Century Gothic"/>
        </w:rPr>
      </w:pPr>
      <w:r w:rsidRPr="00BE2C1D">
        <w:rPr>
          <w:rFonts w:ascii="Century Gothic" w:hAnsi="Century Gothic"/>
        </w:rPr>
        <w:t xml:space="preserve">Furthermore, (digital) storytelling will further develop various skills of children, such as their digital, literacy and artistic skills by facilitating and encouraging different ways to produce stories. </w:t>
      </w:r>
    </w:p>
    <w:p w14:paraId="7E33EF34" w14:textId="77777777" w:rsidR="00BE2C1D" w:rsidRPr="00BE2C1D" w:rsidRDefault="00BE2C1D" w:rsidP="00BE2C1D">
      <w:pPr>
        <w:rPr>
          <w:rFonts w:ascii="Century Gothic" w:hAnsi="Century Gothic"/>
          <w:sz w:val="20"/>
          <w:szCs w:val="20"/>
        </w:rPr>
      </w:pPr>
      <w:r w:rsidRPr="00BE2C1D">
        <w:rPr>
          <w:rFonts w:ascii="Century Gothic" w:hAnsi="Century Gothic"/>
        </w:rPr>
        <w:t xml:space="preserve">Finally, your child might make some new friends!   </w:t>
      </w:r>
      <w:r w:rsidRPr="00BE2C1D">
        <w:rPr>
          <w:rFonts w:ascii="Century Gothic" w:hAnsi="Century Gothic"/>
          <w:sz w:val="20"/>
          <w:szCs w:val="20"/>
        </w:rPr>
        <w:t xml:space="preserve"> </w:t>
      </w:r>
    </w:p>
    <w:p w14:paraId="296C9315" w14:textId="77777777" w:rsidR="00BE2C1D" w:rsidRPr="00BE2C1D" w:rsidRDefault="00BE2C1D" w:rsidP="00BE2C1D">
      <w:pPr>
        <w:rPr>
          <w:rFonts w:ascii="Century Gothic" w:hAnsi="Century Gothic"/>
          <w:b/>
        </w:rPr>
      </w:pPr>
      <w:r w:rsidRPr="00BE2C1D">
        <w:rPr>
          <w:rFonts w:ascii="Century Gothic" w:hAnsi="Century Gothic"/>
          <w:b/>
        </w:rPr>
        <w:t>Will my child’s participation in this project be kept confidential?</w:t>
      </w:r>
    </w:p>
    <w:p w14:paraId="45534367" w14:textId="77777777" w:rsidR="00BE2C1D" w:rsidRPr="00BE2C1D" w:rsidRDefault="00BE2C1D" w:rsidP="00BE2C1D">
      <w:pPr>
        <w:rPr>
          <w:rFonts w:ascii="Century Gothic" w:hAnsi="Century Gothic"/>
        </w:rPr>
      </w:pPr>
      <w:r w:rsidRPr="00BE2C1D">
        <w:rPr>
          <w:rFonts w:ascii="Century Gothic" w:hAnsi="Century Gothic"/>
        </w:rPr>
        <w:t xml:space="preserve">Your child’s participation in the project will be kept strictly confidential. Pseudonyms both for the participants and the settings (e.g. any locations that might be referred) will be used. The data will not be shared with anyone before it is fully anonymised.  </w:t>
      </w:r>
    </w:p>
    <w:p w14:paraId="264D97CB" w14:textId="77777777" w:rsidR="00BE2C1D" w:rsidRPr="00BE2C1D" w:rsidRDefault="00BE2C1D" w:rsidP="00BE2C1D">
      <w:pPr>
        <w:rPr>
          <w:rFonts w:ascii="Century Gothic" w:hAnsi="Century Gothic"/>
        </w:rPr>
      </w:pPr>
      <w:r w:rsidRPr="00BE2C1D">
        <w:rPr>
          <w:rFonts w:ascii="Century Gothic" w:hAnsi="Century Gothic"/>
        </w:rPr>
        <w:t xml:space="preserve">Moreover, if your child brings up something that is worrying (for example, being at risk from danger and/or harm), then I will have to share this with you and/or others. You will be informed in advance if this is the case. </w:t>
      </w:r>
    </w:p>
    <w:p w14:paraId="09C50444" w14:textId="77777777" w:rsidR="00BE2C1D" w:rsidRPr="00BE2C1D" w:rsidRDefault="00BE2C1D" w:rsidP="00BE2C1D">
      <w:r w:rsidRPr="00BE2C1D">
        <w:rPr>
          <w:rFonts w:ascii="Century Gothic" w:hAnsi="Century Gothic"/>
          <w:b/>
        </w:rPr>
        <w:t>What will happen to the results of the research project?</w:t>
      </w:r>
    </w:p>
    <w:p w14:paraId="66415D0C" w14:textId="77777777" w:rsidR="00BE2C1D" w:rsidRPr="00BE2C1D" w:rsidRDefault="00BE2C1D" w:rsidP="00BE2C1D">
      <w:pPr>
        <w:rPr>
          <w:rFonts w:ascii="Century Gothic" w:hAnsi="Century Gothic" w:cs="Times New Roman"/>
        </w:rPr>
      </w:pPr>
      <w:r w:rsidRPr="00BE2C1D">
        <w:rPr>
          <w:rFonts w:ascii="Century Gothic" w:hAnsi="Century Gothic" w:cs="Times New Roman"/>
        </w:rPr>
        <w:t xml:space="preserve">As one of the core aims of this project is to make impact, the sharing (or dissemination) of the findings is considered essential. This will be done in various </w:t>
      </w:r>
      <w:r w:rsidRPr="00BE2C1D">
        <w:rPr>
          <w:rFonts w:ascii="Century Gothic" w:hAnsi="Century Gothic" w:cs="Times New Roman"/>
        </w:rPr>
        <w:lastRenderedPageBreak/>
        <w:t>ways, such as publishing in academic journals, magazines, newspapers, online as well as presenting the findings in conferences (both national and international). Moreover, I will seek to share these findings with teachers and education policy makers to make them aware of their role in and responsibility for improving the current structures. Furthermore, as I will collaborate with various associations, the dissemination and discussion of the findings will include them too (for example, in the form of a report).</w:t>
      </w:r>
    </w:p>
    <w:p w14:paraId="749B85F9" w14:textId="77777777" w:rsidR="00BE2C1D" w:rsidRPr="00BE2C1D" w:rsidRDefault="00BE2C1D" w:rsidP="00BE2C1D">
      <w:pPr>
        <w:rPr>
          <w:rFonts w:ascii="Century Gothic" w:hAnsi="Century Gothic" w:cs="Times New Roman"/>
        </w:rPr>
      </w:pPr>
      <w:r w:rsidRPr="00BE2C1D">
        <w:rPr>
          <w:rFonts w:ascii="Century Gothic" w:hAnsi="Century Gothic" w:cs="Times New Roman"/>
        </w:rPr>
        <w:t>Future research: The Economic and Social Research Council (ESRC) funds Be-Coming Storytellers: Stories of Secondary Education. All ESRC-funded research must comply with the requirement to make all data generated by the project available via the UK Data Service in order to support researchers, teachers and policy makers. I will ask for your explicit consent for your child’s data to be shared in this way and if you agree, I will ensure that the data collected about your child is untraceable back to you/them before allowing others to use it. If you have any questions about this, please do not hesitate to ask.</w:t>
      </w:r>
    </w:p>
    <w:p w14:paraId="0D6FA1E3" w14:textId="77777777" w:rsidR="00BE2C1D" w:rsidRPr="00BE2C1D" w:rsidRDefault="00BE2C1D" w:rsidP="00BE2C1D">
      <w:pPr>
        <w:rPr>
          <w:rFonts w:ascii="Century Gothic" w:hAnsi="Century Gothic" w:cs="Times New Roman"/>
        </w:rPr>
      </w:pPr>
      <w:r w:rsidRPr="00BE2C1D">
        <w:rPr>
          <w:rFonts w:ascii="Century Gothic" w:hAnsi="Century Gothic" w:cs="Times New Roman"/>
        </w:rPr>
        <w:t xml:space="preserve">As it has already been mentioned, anonymity and confidentiality of the data are central to this project. </w:t>
      </w:r>
    </w:p>
    <w:p w14:paraId="0EA241D5" w14:textId="77777777" w:rsidR="00BE2C1D" w:rsidRPr="00BE2C1D" w:rsidRDefault="00BE2C1D" w:rsidP="00BE2C1D">
      <w:r w:rsidRPr="00BE2C1D">
        <w:rPr>
          <w:rFonts w:ascii="Century Gothic" w:hAnsi="Century Gothic"/>
          <w:b/>
        </w:rPr>
        <w:t>Who has ethically reviewed the project?</w:t>
      </w:r>
    </w:p>
    <w:p w14:paraId="01C43CFC" w14:textId="77777777" w:rsidR="00BE2C1D" w:rsidRPr="00BE2C1D" w:rsidRDefault="00BE2C1D" w:rsidP="00BE2C1D">
      <w:pPr>
        <w:rPr>
          <w:rFonts w:ascii="Century Gothic" w:hAnsi="Century Gothic"/>
        </w:rPr>
      </w:pPr>
      <w:r w:rsidRPr="00BE2C1D">
        <w:rPr>
          <w:rFonts w:ascii="Century Gothic" w:hAnsi="Century Gothic"/>
        </w:rPr>
        <w:t>This project has been ethically approved via the School of Education’s ethics review procedure. The University’s Research Ethics Committee monitors the application and delivery of the University’s Ethics Review Procedure across the University.</w:t>
      </w:r>
    </w:p>
    <w:p w14:paraId="6064304A" w14:textId="77777777" w:rsidR="00BE2C1D" w:rsidRPr="00BE2C1D" w:rsidRDefault="00BE2C1D" w:rsidP="00BE2C1D">
      <w:pPr>
        <w:rPr>
          <w:rFonts w:ascii="Century Gothic" w:hAnsi="Century Gothic" w:cs="Times New Roman"/>
          <w:b/>
        </w:rPr>
      </w:pPr>
      <w:r w:rsidRPr="00BE2C1D">
        <w:rPr>
          <w:rFonts w:ascii="Century Gothic" w:hAnsi="Century Gothic" w:cs="Times New Roman"/>
          <w:b/>
        </w:rPr>
        <w:t>What if something goes wrong?</w:t>
      </w:r>
    </w:p>
    <w:p w14:paraId="7E9D6F2F" w14:textId="77777777" w:rsidR="00BE2C1D" w:rsidRPr="00BE2C1D" w:rsidRDefault="00BE2C1D" w:rsidP="00BE2C1D">
      <w:pPr>
        <w:rPr>
          <w:rFonts w:ascii="Century Gothic" w:hAnsi="Century Gothic" w:cs="Times New Roman"/>
        </w:rPr>
      </w:pPr>
      <w:r w:rsidRPr="00BE2C1D">
        <w:rPr>
          <w:rFonts w:ascii="Century Gothic" w:hAnsi="Century Gothic" w:cs="Times New Roman"/>
        </w:rPr>
        <w:t>If you feel that something has gone wrong, you are advised to make contact with Dr David Hyatt, Chair of Ethics of the School of Education University of Sheffield. His contact details are:</w:t>
      </w:r>
    </w:p>
    <w:p w14:paraId="78BF48EB" w14:textId="77777777" w:rsidR="00BE2C1D" w:rsidRPr="00BE2C1D" w:rsidRDefault="00BE2C1D" w:rsidP="00BE2C1D">
      <w:pPr>
        <w:rPr>
          <w:rFonts w:ascii="Century Gothic" w:hAnsi="Century Gothic" w:cs="Times New Roman"/>
        </w:rPr>
      </w:pPr>
      <w:r w:rsidRPr="00BE2C1D">
        <w:rPr>
          <w:rFonts w:ascii="Century Gothic" w:hAnsi="Century Gothic" w:cs="Times New Roman"/>
        </w:rPr>
        <w:t xml:space="preserve">Dr David Hyatt </w:t>
      </w:r>
    </w:p>
    <w:p w14:paraId="5D5D6079" w14:textId="77777777" w:rsidR="00BE2C1D" w:rsidRPr="00BE2C1D" w:rsidRDefault="00BE2C1D" w:rsidP="00BE2C1D">
      <w:pPr>
        <w:rPr>
          <w:rFonts w:ascii="Century Gothic" w:hAnsi="Century Gothic" w:cs="Times New Roman"/>
        </w:rPr>
      </w:pPr>
      <w:r w:rsidRPr="00BE2C1D">
        <w:rPr>
          <w:rFonts w:ascii="Century Gothic" w:hAnsi="Century Gothic" w:cs="Times New Roman"/>
        </w:rPr>
        <w:t>Lecturer in Education</w:t>
      </w:r>
    </w:p>
    <w:p w14:paraId="624ADA98" w14:textId="77777777" w:rsidR="00BE2C1D" w:rsidRPr="00BE2C1D" w:rsidRDefault="00BE2C1D" w:rsidP="00BE2C1D">
      <w:pPr>
        <w:rPr>
          <w:rFonts w:ascii="Century Gothic" w:hAnsi="Century Gothic" w:cs="Times New Roman"/>
        </w:rPr>
      </w:pPr>
      <w:r w:rsidRPr="00BE2C1D">
        <w:rPr>
          <w:rFonts w:ascii="Century Gothic" w:hAnsi="Century Gothic" w:cs="Times New Roman"/>
        </w:rPr>
        <w:t>School of Education, University of Sheffield</w:t>
      </w:r>
    </w:p>
    <w:p w14:paraId="6CB0F4D9" w14:textId="77777777" w:rsidR="00BE2C1D" w:rsidRPr="00BE2C1D" w:rsidRDefault="00BE2C1D" w:rsidP="00BE2C1D">
      <w:pPr>
        <w:rPr>
          <w:rFonts w:ascii="Century Gothic" w:hAnsi="Century Gothic" w:cs="Times New Roman"/>
        </w:rPr>
      </w:pPr>
      <w:r w:rsidRPr="00BE2C1D">
        <w:rPr>
          <w:rFonts w:ascii="Century Gothic" w:hAnsi="Century Gothic" w:cs="Times New Roman"/>
        </w:rPr>
        <w:t>3</w:t>
      </w:r>
      <w:r w:rsidRPr="00BE2C1D">
        <w:rPr>
          <w:rFonts w:ascii="Century Gothic" w:hAnsi="Century Gothic" w:cs="Times New Roman"/>
          <w:vertAlign w:val="superscript"/>
        </w:rPr>
        <w:t>rd</w:t>
      </w:r>
      <w:r w:rsidRPr="00BE2C1D">
        <w:rPr>
          <w:rFonts w:ascii="Century Gothic" w:hAnsi="Century Gothic" w:cs="Times New Roman"/>
        </w:rPr>
        <w:t xml:space="preserve"> Floor Edgar Allan House</w:t>
      </w:r>
    </w:p>
    <w:p w14:paraId="5BAE1DCB" w14:textId="77777777" w:rsidR="00BE2C1D" w:rsidRPr="00BE2C1D" w:rsidRDefault="00BE2C1D" w:rsidP="00BE2C1D">
      <w:pPr>
        <w:rPr>
          <w:rFonts w:ascii="Century Gothic" w:hAnsi="Century Gothic"/>
        </w:rPr>
      </w:pPr>
      <w:r w:rsidRPr="00BE2C1D">
        <w:rPr>
          <w:rFonts w:ascii="Century Gothic" w:hAnsi="Century Gothic"/>
        </w:rPr>
        <w:t>241 Glossop Road, Sheffield, S10 2GW</w:t>
      </w:r>
    </w:p>
    <w:p w14:paraId="41B9E36A" w14:textId="77777777" w:rsidR="00BE2C1D" w:rsidRPr="00BE2C1D" w:rsidRDefault="00BE2C1D" w:rsidP="00BE2C1D">
      <w:pPr>
        <w:rPr>
          <w:rFonts w:ascii="Century Gothic" w:hAnsi="Century Gothic"/>
        </w:rPr>
      </w:pPr>
      <w:r w:rsidRPr="00BE2C1D">
        <w:rPr>
          <w:rFonts w:ascii="Century Gothic" w:hAnsi="Century Gothic" w:cs="Arial"/>
          <w:b/>
          <w:bCs/>
          <w:shd w:val="clear" w:color="auto" w:fill="FFFFFF"/>
        </w:rPr>
        <w:t>Email:</w:t>
      </w:r>
      <w:r w:rsidRPr="00BE2C1D">
        <w:rPr>
          <w:rFonts w:ascii="Century Gothic" w:hAnsi="Century Gothic" w:cs="Arial"/>
          <w:shd w:val="clear" w:color="auto" w:fill="FFFFFF"/>
        </w:rPr>
        <w:t> </w:t>
      </w:r>
      <w:hyperlink r:id="rId40" w:history="1">
        <w:r w:rsidRPr="00BE2C1D">
          <w:rPr>
            <w:rFonts w:ascii="Century Gothic" w:hAnsi="Century Gothic" w:cs="Arial"/>
            <w:color w:val="4472C4" w:themeColor="accent1"/>
            <w:u w:val="single"/>
            <w:shd w:val="clear" w:color="auto" w:fill="FFFFFF"/>
          </w:rPr>
          <w:t>d.hyatt@sheffield.ac.uk</w:t>
        </w:r>
      </w:hyperlink>
    </w:p>
    <w:p w14:paraId="13563E37" w14:textId="77777777" w:rsidR="00BE2C1D" w:rsidRPr="00BE2C1D" w:rsidRDefault="00BE2C1D" w:rsidP="00BE2C1D">
      <w:pPr>
        <w:rPr>
          <w:rFonts w:ascii="Century Gothic" w:hAnsi="Century Gothic" w:cs="Times New Roman"/>
        </w:rPr>
      </w:pPr>
      <w:r w:rsidRPr="00BE2C1D">
        <w:rPr>
          <w:rFonts w:ascii="Century Gothic" w:hAnsi="Century Gothic" w:cs="Arial"/>
          <w:b/>
          <w:bCs/>
          <w:shd w:val="clear" w:color="auto" w:fill="FFFFFF"/>
        </w:rPr>
        <w:t>Tel:</w:t>
      </w:r>
      <w:r w:rsidRPr="00BE2C1D">
        <w:rPr>
          <w:rFonts w:ascii="Century Gothic" w:hAnsi="Century Gothic" w:cs="Arial"/>
          <w:shd w:val="clear" w:color="auto" w:fill="FFFFFF"/>
        </w:rPr>
        <w:t> (+44) (0)114 222 8126</w:t>
      </w:r>
    </w:p>
    <w:p w14:paraId="6E9D7C40" w14:textId="77777777" w:rsidR="00BE2C1D" w:rsidRPr="00BE2C1D" w:rsidRDefault="00BE2C1D" w:rsidP="00BE2C1D">
      <w:pPr>
        <w:rPr>
          <w:rFonts w:ascii="Century Gothic" w:hAnsi="Century Gothic"/>
          <w:b/>
        </w:rPr>
      </w:pPr>
    </w:p>
    <w:p w14:paraId="2AB48CE7" w14:textId="77777777" w:rsidR="00BE2C1D" w:rsidRPr="00BE2C1D" w:rsidRDefault="00BE2C1D" w:rsidP="00BE2C1D">
      <w:pPr>
        <w:rPr>
          <w:rFonts w:ascii="Century Gothic" w:hAnsi="Century Gothic"/>
          <w:b/>
        </w:rPr>
      </w:pPr>
      <w:r w:rsidRPr="00BE2C1D">
        <w:rPr>
          <w:rFonts w:ascii="Century Gothic" w:hAnsi="Century Gothic"/>
          <w:b/>
        </w:rPr>
        <w:t>Contact for further information</w:t>
      </w:r>
    </w:p>
    <w:p w14:paraId="6B8E31E3" w14:textId="77777777" w:rsidR="00BE2C1D" w:rsidRPr="00BE2C1D" w:rsidRDefault="00BE2C1D" w:rsidP="00BE2C1D">
      <w:pPr>
        <w:rPr>
          <w:rFonts w:ascii="Century Gothic" w:hAnsi="Century Gothic"/>
        </w:rPr>
      </w:pPr>
      <w:r w:rsidRPr="00BE2C1D">
        <w:rPr>
          <w:rFonts w:ascii="Century Gothic" w:hAnsi="Century Gothic"/>
        </w:rPr>
        <w:t>If you have any questions about the study, please contact:</w:t>
      </w:r>
    </w:p>
    <w:p w14:paraId="491CC59A" w14:textId="77777777" w:rsidR="00BE2C1D" w:rsidRPr="00BE2C1D" w:rsidRDefault="00BE2C1D" w:rsidP="00BE2C1D">
      <w:pPr>
        <w:rPr>
          <w:rFonts w:ascii="Century Gothic" w:hAnsi="Century Gothic"/>
        </w:rPr>
      </w:pPr>
      <w:r w:rsidRPr="00BE2C1D">
        <w:rPr>
          <w:rFonts w:ascii="Century Gothic" w:hAnsi="Century Gothic"/>
        </w:rPr>
        <w:lastRenderedPageBreak/>
        <w:t xml:space="preserve">Antonios Ktenidis                                                                              </w:t>
      </w:r>
      <w:r w:rsidRPr="00BE2C1D">
        <w:rPr>
          <w:rFonts w:ascii="Century Gothic" w:hAnsi="Century Gothic"/>
          <w:noProof/>
          <w:lang w:eastAsia="en-GB"/>
        </w:rPr>
        <w:drawing>
          <wp:inline distT="0" distB="0" distL="0" distR="0" wp14:anchorId="2236A069" wp14:editId="24B49B3C">
            <wp:extent cx="1660894" cy="1265274"/>
            <wp:effectExtent l="19050" t="0" r="0" b="0"/>
            <wp:docPr id="74" name="Picture 1" descr="C:\Users\MediaMarkt2-PC\Downloads\20986347_1993201530923253_43085648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diaMarkt2-PC\Downloads\20986347_1993201530923253_430856488_n.jpg"/>
                    <pic:cNvPicPr>
                      <a:picLocks noChangeAspect="1" noChangeArrowheads="1"/>
                    </pic:cNvPicPr>
                  </pic:nvPicPr>
                  <pic:blipFill>
                    <a:blip r:embed="rId36"/>
                    <a:srcRect/>
                    <a:stretch>
                      <a:fillRect/>
                    </a:stretch>
                  </pic:blipFill>
                  <pic:spPr bwMode="auto">
                    <a:xfrm>
                      <a:off x="0" y="0"/>
                      <a:ext cx="1691137" cy="1288313"/>
                    </a:xfrm>
                    <a:prstGeom prst="rect">
                      <a:avLst/>
                    </a:prstGeom>
                    <a:noFill/>
                    <a:ln w="9525">
                      <a:noFill/>
                      <a:miter lim="800000"/>
                      <a:headEnd/>
                      <a:tailEnd/>
                    </a:ln>
                  </pic:spPr>
                </pic:pic>
              </a:graphicData>
            </a:graphic>
          </wp:inline>
        </w:drawing>
      </w:r>
      <w:r w:rsidRPr="00BE2C1D">
        <w:rPr>
          <w:rFonts w:ascii="Century Gothic" w:hAnsi="Century Gothic"/>
        </w:rPr>
        <w:t xml:space="preserve">                                                                                                                      </w:t>
      </w:r>
    </w:p>
    <w:p w14:paraId="6FD593C3" w14:textId="77777777" w:rsidR="00BE2C1D" w:rsidRPr="00BE2C1D" w:rsidRDefault="00BE2C1D" w:rsidP="00BE2C1D">
      <w:pPr>
        <w:rPr>
          <w:rFonts w:ascii="Century Gothic" w:hAnsi="Century Gothic"/>
        </w:rPr>
      </w:pPr>
      <w:r w:rsidRPr="00BE2C1D">
        <w:rPr>
          <w:rFonts w:ascii="Century Gothic" w:hAnsi="Century Gothic"/>
        </w:rPr>
        <w:t>PhD Candidate</w:t>
      </w:r>
    </w:p>
    <w:p w14:paraId="6F92927A" w14:textId="77777777" w:rsidR="00BE2C1D" w:rsidRPr="00BE2C1D" w:rsidRDefault="00BE2C1D" w:rsidP="00BE2C1D">
      <w:pPr>
        <w:rPr>
          <w:rFonts w:ascii="Century Gothic" w:hAnsi="Century Gothic"/>
        </w:rPr>
      </w:pPr>
      <w:r w:rsidRPr="00BE2C1D">
        <w:rPr>
          <w:rFonts w:ascii="Century Gothic" w:hAnsi="Century Gothic"/>
        </w:rPr>
        <w:t xml:space="preserve">School of Education, University of Sheffield, </w:t>
      </w:r>
    </w:p>
    <w:p w14:paraId="650A4F39" w14:textId="77777777" w:rsidR="00BE2C1D" w:rsidRPr="00BE2C1D" w:rsidRDefault="00BE2C1D" w:rsidP="00BE2C1D">
      <w:pPr>
        <w:rPr>
          <w:rFonts w:ascii="Century Gothic" w:hAnsi="Century Gothic"/>
        </w:rPr>
      </w:pPr>
      <w:r w:rsidRPr="00BE2C1D">
        <w:rPr>
          <w:rFonts w:ascii="Century Gothic" w:hAnsi="Century Gothic"/>
        </w:rPr>
        <w:t>241 Glossop Road, Sheffield, S10 2GW</w:t>
      </w:r>
    </w:p>
    <w:p w14:paraId="578E361E" w14:textId="77777777" w:rsidR="00BE2C1D" w:rsidRPr="00BE2C1D" w:rsidRDefault="00BE2C1D" w:rsidP="00BE2C1D">
      <w:r w:rsidRPr="00BE2C1D">
        <w:rPr>
          <w:rFonts w:ascii="Century Gothic" w:hAnsi="Century Gothic"/>
        </w:rPr>
        <w:t xml:space="preserve">Email: </w:t>
      </w:r>
      <w:hyperlink r:id="rId41" w:history="1">
        <w:r w:rsidRPr="00BE2C1D">
          <w:rPr>
            <w:rFonts w:ascii="Century Gothic" w:hAnsi="Century Gothic"/>
            <w:color w:val="0563C1" w:themeColor="hyperlink"/>
            <w:u w:val="single"/>
          </w:rPr>
          <w:t>aktenidis1@sheffield.ac.uk</w:t>
        </w:r>
      </w:hyperlink>
    </w:p>
    <w:p w14:paraId="05BEF2C5" w14:textId="77777777" w:rsidR="00BE2C1D" w:rsidRPr="00BE2C1D" w:rsidRDefault="00BE2C1D" w:rsidP="00BE2C1D">
      <w:pPr>
        <w:rPr>
          <w:rFonts w:ascii="Century Gothic" w:hAnsi="Century Gothic"/>
        </w:rPr>
      </w:pPr>
    </w:p>
    <w:p w14:paraId="09742931" w14:textId="77777777" w:rsidR="00BE2C1D" w:rsidRPr="00BE2C1D" w:rsidRDefault="00BE2C1D" w:rsidP="00BE2C1D">
      <w:pPr>
        <w:rPr>
          <w:rFonts w:ascii="Century Gothic" w:hAnsi="Century Gothic"/>
        </w:rPr>
      </w:pPr>
      <w:r w:rsidRPr="00BE2C1D">
        <w:rPr>
          <w:rFonts w:ascii="Century Gothic" w:hAnsi="Century Gothic"/>
        </w:rPr>
        <w:t>You can also contact either of my supervisors in the following contact details:</w:t>
      </w:r>
    </w:p>
    <w:p w14:paraId="485CE410" w14:textId="77777777" w:rsidR="00BE2C1D" w:rsidRPr="00BE2C1D" w:rsidRDefault="00BE2C1D" w:rsidP="00BE2C1D">
      <w:pPr>
        <w:rPr>
          <w:rFonts w:ascii="Century Gothic" w:hAnsi="Century Gothic"/>
        </w:rPr>
      </w:pPr>
      <w:r w:rsidRPr="00BE2C1D">
        <w:rPr>
          <w:rFonts w:ascii="Century Gothic" w:hAnsi="Century Gothic"/>
        </w:rPr>
        <w:t>Professor Dan Goodley                                                       Dr Kirsty Liddiard</w:t>
      </w:r>
    </w:p>
    <w:p w14:paraId="2EA61A8C" w14:textId="77777777" w:rsidR="00BE2C1D" w:rsidRPr="00BE2C1D" w:rsidRDefault="00BE2C1D" w:rsidP="00BE2C1D">
      <w:pPr>
        <w:rPr>
          <w:rFonts w:ascii="Century Gothic" w:hAnsi="Century Gothic"/>
        </w:rPr>
      </w:pPr>
      <w:r w:rsidRPr="00BE2C1D">
        <w:rPr>
          <w:rFonts w:ascii="Century Gothic" w:hAnsi="Century Gothic"/>
        </w:rPr>
        <w:t>Chair In Education and Director of Research                  Research Fellow</w:t>
      </w:r>
    </w:p>
    <w:p w14:paraId="35553371" w14:textId="77777777" w:rsidR="00BE2C1D" w:rsidRPr="00BE2C1D" w:rsidRDefault="00BE2C1D" w:rsidP="00BE2C1D">
      <w:pPr>
        <w:rPr>
          <w:rFonts w:ascii="Century Gothic" w:hAnsi="Century Gothic"/>
        </w:rPr>
      </w:pPr>
      <w:r w:rsidRPr="00BE2C1D">
        <w:rPr>
          <w:rFonts w:ascii="Century Gothic" w:hAnsi="Century Gothic"/>
        </w:rPr>
        <w:t>School of Education, University of Sheffield      School of Education, University of Sheffield</w:t>
      </w:r>
    </w:p>
    <w:p w14:paraId="20A353F0" w14:textId="77777777" w:rsidR="00BE2C1D" w:rsidRPr="00BE2C1D" w:rsidRDefault="00BE2C1D" w:rsidP="00BE2C1D">
      <w:pPr>
        <w:rPr>
          <w:rFonts w:ascii="Century Gothic" w:hAnsi="Century Gothic"/>
          <w:color w:val="FF0000"/>
        </w:rPr>
      </w:pPr>
      <w:r w:rsidRPr="00BE2C1D">
        <w:rPr>
          <w:rFonts w:ascii="Century Gothic" w:hAnsi="Century Gothic"/>
          <w:color w:val="FF0000"/>
        </w:rPr>
        <w:t xml:space="preserve">         3</w:t>
      </w:r>
      <w:r w:rsidRPr="00BE2C1D">
        <w:rPr>
          <w:rFonts w:ascii="Century Gothic" w:hAnsi="Century Gothic"/>
          <w:color w:val="FF0000"/>
          <w:vertAlign w:val="superscript"/>
        </w:rPr>
        <w:t>rd</w:t>
      </w:r>
      <w:r w:rsidRPr="00BE2C1D">
        <w:rPr>
          <w:rFonts w:ascii="Century Gothic" w:hAnsi="Century Gothic"/>
          <w:color w:val="FF0000"/>
        </w:rPr>
        <w:t xml:space="preserve"> Floor                                                                            3</w:t>
      </w:r>
      <w:r w:rsidRPr="00BE2C1D">
        <w:rPr>
          <w:rFonts w:ascii="Century Gothic" w:hAnsi="Century Gothic"/>
          <w:color w:val="FF0000"/>
          <w:vertAlign w:val="superscript"/>
        </w:rPr>
        <w:t>rd</w:t>
      </w:r>
      <w:r w:rsidRPr="00BE2C1D">
        <w:rPr>
          <w:rFonts w:ascii="Century Gothic" w:hAnsi="Century Gothic"/>
          <w:color w:val="FF0000"/>
        </w:rPr>
        <w:t xml:space="preserve"> Floor</w:t>
      </w:r>
    </w:p>
    <w:p w14:paraId="34D7E884" w14:textId="77777777" w:rsidR="00BE2C1D" w:rsidRPr="00BE2C1D" w:rsidRDefault="00BE2C1D" w:rsidP="00BE2C1D">
      <w:pPr>
        <w:rPr>
          <w:rFonts w:ascii="Century Gothic" w:hAnsi="Century Gothic"/>
        </w:rPr>
      </w:pPr>
      <w:r w:rsidRPr="00BE2C1D">
        <w:rPr>
          <w:rFonts w:ascii="Century Gothic" w:hAnsi="Century Gothic"/>
        </w:rPr>
        <w:t>241 Glossop Road                                                             241 Glossop Road</w:t>
      </w:r>
    </w:p>
    <w:p w14:paraId="59FFF0FC" w14:textId="77777777" w:rsidR="00BE2C1D" w:rsidRPr="00BE2C1D" w:rsidRDefault="00BE2C1D" w:rsidP="00BE2C1D">
      <w:pPr>
        <w:rPr>
          <w:rFonts w:ascii="Century Gothic" w:hAnsi="Century Gothic"/>
        </w:rPr>
      </w:pPr>
      <w:r w:rsidRPr="00BE2C1D">
        <w:rPr>
          <w:rFonts w:ascii="Century Gothic" w:hAnsi="Century Gothic"/>
        </w:rPr>
        <w:t>Sheffield, S10 2GW                                                              Sheffield, S10 2GW</w:t>
      </w:r>
    </w:p>
    <w:p w14:paraId="4ACCD601" w14:textId="77777777" w:rsidR="00BE2C1D" w:rsidRPr="00BE2C1D" w:rsidRDefault="00BE2C1D" w:rsidP="00BE2C1D">
      <w:pPr>
        <w:rPr>
          <w:rFonts w:ascii="Century Gothic" w:hAnsi="Century Gothic"/>
        </w:rPr>
      </w:pPr>
      <w:r w:rsidRPr="00BE2C1D">
        <w:rPr>
          <w:rFonts w:ascii="Century Gothic" w:hAnsi="Century Gothic"/>
        </w:rPr>
        <w:t xml:space="preserve">Email: </w:t>
      </w:r>
      <w:hyperlink r:id="rId42" w:history="1">
        <w:r w:rsidRPr="00BE2C1D">
          <w:rPr>
            <w:rFonts w:ascii="Century Gothic" w:hAnsi="Century Gothic"/>
            <w:color w:val="0563C1" w:themeColor="hyperlink"/>
            <w:u w:val="single"/>
          </w:rPr>
          <w:t>d.goodley@sheffield.ac.uk</w:t>
        </w:r>
      </w:hyperlink>
      <w:r w:rsidRPr="00BE2C1D">
        <w:rPr>
          <w:rFonts w:ascii="Century Gothic" w:hAnsi="Century Gothic"/>
        </w:rPr>
        <w:t xml:space="preserve">                    Email: </w:t>
      </w:r>
      <w:hyperlink r:id="rId43" w:history="1">
        <w:r w:rsidRPr="00BE2C1D">
          <w:rPr>
            <w:rFonts w:ascii="Century Gothic" w:hAnsi="Century Gothic"/>
            <w:color w:val="0563C1" w:themeColor="hyperlink"/>
            <w:u w:val="single"/>
          </w:rPr>
          <w:t>k.liddiard@sheffield.ac.uk</w:t>
        </w:r>
      </w:hyperlink>
      <w:r w:rsidRPr="00BE2C1D">
        <w:rPr>
          <w:rFonts w:ascii="Century Gothic" w:hAnsi="Century Gothic"/>
        </w:rPr>
        <w:t xml:space="preserve"> </w:t>
      </w:r>
    </w:p>
    <w:p w14:paraId="2F3AB1C4" w14:textId="77777777" w:rsidR="00BE2C1D" w:rsidRPr="00BE2C1D" w:rsidRDefault="00BE2C1D" w:rsidP="00BE2C1D">
      <w:pPr>
        <w:rPr>
          <w:rFonts w:ascii="Century Gothic" w:hAnsi="Century Gothic"/>
          <w:color w:val="FF0000"/>
        </w:rPr>
      </w:pPr>
      <w:r w:rsidRPr="00BE2C1D">
        <w:rPr>
          <w:rFonts w:ascii="Century Gothic" w:hAnsi="Century Gothic"/>
          <w:color w:val="FF0000"/>
        </w:rPr>
        <w:t>Tel: (+44) (0)114 222 8185                                   Tel: (+44) (0)114 222 8111</w:t>
      </w:r>
    </w:p>
    <w:p w14:paraId="79C27807" w14:textId="77777777" w:rsidR="00BE2C1D" w:rsidRPr="00BE2C1D" w:rsidRDefault="00BE2C1D" w:rsidP="00BE2C1D"/>
    <w:p w14:paraId="34839DDA" w14:textId="77777777" w:rsidR="00BE2C1D" w:rsidRPr="00BE2C1D" w:rsidRDefault="00BE2C1D" w:rsidP="00BE2C1D">
      <w:pPr>
        <w:jc w:val="center"/>
        <w:rPr>
          <w:rFonts w:ascii="Century Gothic" w:hAnsi="Century Gothic"/>
          <w:b/>
          <w:sz w:val="32"/>
          <w:szCs w:val="32"/>
        </w:rPr>
      </w:pPr>
      <w:r w:rsidRPr="00BE2C1D">
        <w:rPr>
          <w:rFonts w:ascii="Century Gothic" w:hAnsi="Century Gothic"/>
          <w:b/>
          <w:sz w:val="32"/>
          <w:szCs w:val="32"/>
        </w:rPr>
        <w:t>Thank you for taking the time to read about Becoming Storytellers: Stories of Secondary Education project.</w:t>
      </w:r>
    </w:p>
    <w:p w14:paraId="384B9108" w14:textId="77777777" w:rsidR="00BE2C1D" w:rsidRPr="00BE2C1D" w:rsidRDefault="00BE2C1D" w:rsidP="00BE2C1D">
      <w:pPr>
        <w:rPr>
          <w:rFonts w:ascii="Century Gothic" w:hAnsi="Century Gothic"/>
        </w:rPr>
      </w:pPr>
    </w:p>
    <w:p w14:paraId="4607BBC5" w14:textId="77777777" w:rsidR="00BE2C1D" w:rsidRPr="00BE2C1D" w:rsidRDefault="00BE2C1D" w:rsidP="00BE2C1D"/>
    <w:p w14:paraId="31BB4291" w14:textId="77777777" w:rsidR="00BE2C1D" w:rsidRPr="00BE2C1D" w:rsidRDefault="00BE2C1D" w:rsidP="00BE2C1D"/>
    <w:p w14:paraId="77F591E2" w14:textId="77777777" w:rsidR="00BE2C1D" w:rsidRPr="00BE2C1D" w:rsidRDefault="00BE2C1D" w:rsidP="00BE2C1D"/>
    <w:p w14:paraId="22EA89CF" w14:textId="77777777" w:rsidR="00BE2C1D" w:rsidRPr="00BE2C1D" w:rsidRDefault="00BE2C1D" w:rsidP="00BE2C1D"/>
    <w:p w14:paraId="1AB583AC" w14:textId="77777777" w:rsidR="00BE2C1D" w:rsidRPr="00BE2C1D" w:rsidRDefault="00BE2C1D" w:rsidP="00BE2C1D"/>
    <w:p w14:paraId="40891D2C" w14:textId="77777777" w:rsidR="00BE2C1D" w:rsidRPr="00BE2C1D" w:rsidRDefault="00BE2C1D" w:rsidP="00BE2C1D"/>
    <w:p w14:paraId="673109F5" w14:textId="77777777" w:rsidR="00BE2C1D" w:rsidRPr="00BE2C1D" w:rsidRDefault="00BE2C1D" w:rsidP="00BE2C1D"/>
    <w:p w14:paraId="5F57E833" w14:textId="77777777" w:rsidR="00BE2C1D" w:rsidRPr="00BE2C1D" w:rsidRDefault="00BE2C1D" w:rsidP="00BE2C1D">
      <w:pPr>
        <w:keepNext/>
        <w:keepLines/>
        <w:spacing w:before="40" w:after="0"/>
        <w:outlineLvl w:val="2"/>
        <w:rPr>
          <w:rFonts w:asciiTheme="majorHAnsi" w:eastAsiaTheme="majorEastAsia" w:hAnsiTheme="majorHAnsi" w:cstheme="majorBidi"/>
          <w:color w:val="1F3763" w:themeColor="accent1" w:themeShade="7F"/>
          <w:sz w:val="24"/>
          <w:szCs w:val="24"/>
        </w:rPr>
      </w:pPr>
      <w:bookmarkStart w:id="209" w:name="_Toc39585308"/>
      <w:r w:rsidRPr="00BE2C1D">
        <w:rPr>
          <w:rFonts w:asciiTheme="majorHAnsi" w:eastAsiaTheme="majorEastAsia" w:hAnsiTheme="majorHAnsi" w:cstheme="majorBidi"/>
          <w:color w:val="1F3763" w:themeColor="accent1" w:themeShade="7F"/>
          <w:sz w:val="24"/>
          <w:szCs w:val="24"/>
        </w:rPr>
        <w:lastRenderedPageBreak/>
        <w:t>Information Sheet for Teenage Participants</w:t>
      </w:r>
      <w:bookmarkEnd w:id="209"/>
    </w:p>
    <w:p w14:paraId="4A73D175" w14:textId="77777777" w:rsidR="00BE2C1D" w:rsidRPr="00BE2C1D" w:rsidRDefault="00BE2C1D" w:rsidP="00BE2C1D"/>
    <w:p w14:paraId="583742AE" w14:textId="77777777" w:rsidR="00BE2C1D" w:rsidRPr="00BE2C1D" w:rsidRDefault="00BE2C1D" w:rsidP="00BE2C1D">
      <w:pPr>
        <w:jc w:val="center"/>
        <w:rPr>
          <w:b/>
        </w:rPr>
      </w:pPr>
    </w:p>
    <w:p w14:paraId="5B05EA7F" w14:textId="77777777" w:rsidR="00BE2C1D" w:rsidRPr="00BE2C1D" w:rsidRDefault="00BE2C1D" w:rsidP="00BE2C1D">
      <w:pPr>
        <w:jc w:val="center"/>
        <w:rPr>
          <w:b/>
          <w:sz w:val="40"/>
          <w:szCs w:val="40"/>
        </w:rPr>
      </w:pPr>
      <w:r w:rsidRPr="00BE2C1D">
        <w:rPr>
          <w:b/>
          <w:sz w:val="40"/>
          <w:szCs w:val="40"/>
        </w:rPr>
        <w:t>Be-Coming Storytellers: Stories of Secondary Education</w:t>
      </w:r>
    </w:p>
    <w:p w14:paraId="0D01E973" w14:textId="77777777" w:rsidR="00BE2C1D" w:rsidRPr="00BE2C1D" w:rsidRDefault="00BE2C1D" w:rsidP="00BE2C1D">
      <w:pPr>
        <w:jc w:val="center"/>
        <w:rPr>
          <w:b/>
        </w:rPr>
      </w:pPr>
    </w:p>
    <w:p w14:paraId="1D65960E" w14:textId="77777777" w:rsidR="00BE2C1D" w:rsidRPr="00BE2C1D" w:rsidRDefault="00BE2C1D" w:rsidP="00BE2C1D">
      <w:pPr>
        <w:jc w:val="center"/>
        <w:rPr>
          <w:b/>
        </w:rPr>
      </w:pPr>
      <w:r w:rsidRPr="00BE2C1D">
        <w:rPr>
          <w:rFonts w:ascii="Century Gothic" w:hAnsi="Century Gothic"/>
          <w:i/>
          <w:noProof/>
          <w:sz w:val="20"/>
          <w:szCs w:val="20"/>
          <w:lang w:eastAsia="en-GB"/>
        </w:rPr>
        <w:drawing>
          <wp:anchor distT="0" distB="0" distL="114300" distR="114300" simplePos="0" relativeHeight="251672576" behindDoc="0" locked="0" layoutInCell="1" allowOverlap="1" wp14:anchorId="3FB42463" wp14:editId="7CE4D0C3">
            <wp:simplePos x="0" y="0"/>
            <wp:positionH relativeFrom="column">
              <wp:posOffset>7620</wp:posOffset>
            </wp:positionH>
            <wp:positionV relativeFrom="paragraph">
              <wp:posOffset>768350</wp:posOffset>
            </wp:positionV>
            <wp:extent cx="933450" cy="933450"/>
            <wp:effectExtent l="0" t="0" r="6350" b="6350"/>
            <wp:wrapSquare wrapText="bothSides"/>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ading-a-leaflet.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933450" cy="933450"/>
                    </a:xfrm>
                    <a:prstGeom prst="rect">
                      <a:avLst/>
                    </a:prstGeom>
                  </pic:spPr>
                </pic:pic>
              </a:graphicData>
            </a:graphic>
          </wp:anchor>
        </w:drawing>
      </w:r>
    </w:p>
    <w:p w14:paraId="5D3A502E" w14:textId="77777777" w:rsidR="00BE2C1D" w:rsidRPr="00BE2C1D" w:rsidRDefault="00BE2C1D" w:rsidP="00BE2C1D">
      <w:pPr>
        <w:pBdr>
          <w:between w:val="single" w:sz="4" w:space="1" w:color="auto"/>
          <w:bar w:val="single" w:sz="4" w:color="auto"/>
        </w:pBdr>
        <w:rPr>
          <w:rFonts w:ascii="Century Gothic" w:hAnsi="Century Gothic"/>
          <w:i/>
          <w:sz w:val="20"/>
          <w:szCs w:val="20"/>
        </w:rPr>
      </w:pPr>
      <w:r w:rsidRPr="00BE2C1D">
        <w:rPr>
          <w:rFonts w:ascii="Century Gothic" w:hAnsi="Century Gothic"/>
          <w:i/>
          <w:sz w:val="20"/>
          <w:szCs w:val="20"/>
        </w:rPr>
        <w:t>Please read this Participant Information Sheet.</w:t>
      </w:r>
    </w:p>
    <w:p w14:paraId="2122DE49" w14:textId="77777777" w:rsidR="00BE2C1D" w:rsidRPr="00BE2C1D" w:rsidRDefault="00BE2C1D" w:rsidP="00BE2C1D">
      <w:pPr>
        <w:rPr>
          <w:rFonts w:ascii="Century Gothic" w:hAnsi="Century Gothic"/>
          <w:i/>
          <w:sz w:val="20"/>
          <w:szCs w:val="20"/>
        </w:rPr>
      </w:pPr>
    </w:p>
    <w:p w14:paraId="51B66DBC" w14:textId="77777777" w:rsidR="00BE2C1D" w:rsidRPr="00BE2C1D" w:rsidRDefault="00BE2C1D" w:rsidP="00BE2C1D">
      <w:pPr>
        <w:rPr>
          <w:rFonts w:ascii="Century Gothic" w:hAnsi="Century Gothic"/>
          <w:i/>
          <w:sz w:val="20"/>
          <w:szCs w:val="20"/>
        </w:rPr>
      </w:pPr>
    </w:p>
    <w:p w14:paraId="5E9CAF9E" w14:textId="77777777" w:rsidR="00BE2C1D" w:rsidRPr="00BE2C1D" w:rsidRDefault="00BE2C1D" w:rsidP="00BE2C1D">
      <w:pPr>
        <w:rPr>
          <w:rFonts w:ascii="Century Gothic" w:hAnsi="Century Gothic"/>
          <w:i/>
          <w:sz w:val="20"/>
          <w:szCs w:val="20"/>
        </w:rPr>
      </w:pPr>
    </w:p>
    <w:p w14:paraId="3C0A36F0" w14:textId="77777777" w:rsidR="00BE2C1D" w:rsidRPr="00BE2C1D" w:rsidRDefault="00BE2C1D" w:rsidP="00BE2C1D">
      <w:pPr>
        <w:rPr>
          <w:rFonts w:ascii="Century Gothic" w:hAnsi="Century Gothic"/>
          <w:i/>
          <w:sz w:val="20"/>
          <w:szCs w:val="20"/>
        </w:rPr>
      </w:pPr>
    </w:p>
    <w:p w14:paraId="6EEA564C" w14:textId="77777777" w:rsidR="00BE2C1D" w:rsidRPr="00BE2C1D" w:rsidRDefault="00BE2C1D" w:rsidP="00BE2C1D">
      <w:pPr>
        <w:rPr>
          <w:rFonts w:ascii="Century Gothic" w:hAnsi="Century Gothic"/>
          <w:i/>
          <w:sz w:val="20"/>
          <w:szCs w:val="20"/>
        </w:rPr>
      </w:pPr>
    </w:p>
    <w:p w14:paraId="2EFD9BE5" w14:textId="77777777" w:rsidR="00BE2C1D" w:rsidRPr="00BE2C1D" w:rsidRDefault="00BE2C1D" w:rsidP="00BE2C1D">
      <w:pPr>
        <w:jc w:val="center"/>
        <w:rPr>
          <w:rFonts w:ascii="Century Gothic" w:hAnsi="Century Gothic"/>
        </w:rPr>
      </w:pPr>
      <w:r w:rsidRPr="00BE2C1D">
        <w:rPr>
          <w:rFonts w:ascii="Century Gothic" w:hAnsi="Century Gothic"/>
          <w:b/>
        </w:rPr>
        <w:t>Participant Information Sheet</w:t>
      </w:r>
    </w:p>
    <w:p w14:paraId="52526473" w14:textId="77777777" w:rsidR="00BE2C1D" w:rsidRPr="00BE2C1D" w:rsidRDefault="00BE2C1D" w:rsidP="00BE2C1D">
      <w:pPr>
        <w:rPr>
          <w:rFonts w:ascii="Century Gothic" w:hAnsi="Century Gothic"/>
        </w:rPr>
      </w:pPr>
    </w:p>
    <w:p w14:paraId="3DE47BD3" w14:textId="77777777" w:rsidR="00BE2C1D" w:rsidRPr="00BE2C1D" w:rsidRDefault="00BE2C1D" w:rsidP="00BE2C1D">
      <w:pPr>
        <w:rPr>
          <w:rFonts w:ascii="Century Gothic" w:hAnsi="Century Gothic"/>
          <w:b/>
        </w:rPr>
      </w:pPr>
      <w:r w:rsidRPr="00BE2C1D">
        <w:rPr>
          <w:rFonts w:ascii="Century Gothic" w:hAnsi="Century Gothic"/>
          <w:b/>
        </w:rPr>
        <w:t>What is the project’s purpose?</w:t>
      </w:r>
    </w:p>
    <w:p w14:paraId="016F24A6" w14:textId="77777777" w:rsidR="00BE2C1D" w:rsidRPr="00BE2C1D" w:rsidRDefault="00BE2C1D" w:rsidP="00BE2C1D">
      <w:pPr>
        <w:rPr>
          <w:rFonts w:ascii="Century Gothic" w:hAnsi="Century Gothic"/>
        </w:rPr>
      </w:pPr>
    </w:p>
    <w:p w14:paraId="1FDDA35D" w14:textId="77777777" w:rsidR="00BE2C1D" w:rsidRPr="00BE2C1D" w:rsidRDefault="00BE2C1D" w:rsidP="00BE2C1D">
      <w:pPr>
        <w:rPr>
          <w:rFonts w:ascii="Century Gothic" w:hAnsi="Century Gothic"/>
        </w:rPr>
      </w:pPr>
      <w:r w:rsidRPr="00BE2C1D">
        <w:rPr>
          <w:rFonts w:ascii="Century Gothic" w:hAnsi="Century Gothic"/>
          <w:noProof/>
          <w:lang w:eastAsia="en-GB"/>
        </w:rPr>
        <w:drawing>
          <wp:anchor distT="0" distB="0" distL="114300" distR="114300" simplePos="0" relativeHeight="251673600" behindDoc="0" locked="0" layoutInCell="1" allowOverlap="1" wp14:anchorId="7129D122" wp14:editId="6C48EEC6">
            <wp:simplePos x="0" y="0"/>
            <wp:positionH relativeFrom="column">
              <wp:posOffset>-19050</wp:posOffset>
            </wp:positionH>
            <wp:positionV relativeFrom="paragraph">
              <wp:posOffset>20955</wp:posOffset>
            </wp:positionV>
            <wp:extent cx="899795" cy="899795"/>
            <wp:effectExtent l="0" t="0" r="0" b="0"/>
            <wp:wrapSquare wrapText="bothSides"/>
            <wp:docPr id="76" name="Picture 76" descr="Macintosh HD:Users:kirstyliddiard:Desktop:EASY READ image bank :resear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kirstyliddiard:Desktop:EASY READ image bank :research.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899795" cy="899795"/>
                    </a:xfrm>
                    <a:prstGeom prst="rect">
                      <a:avLst/>
                    </a:prstGeom>
                    <a:noFill/>
                    <a:ln>
                      <a:noFill/>
                    </a:ln>
                  </pic:spPr>
                </pic:pic>
              </a:graphicData>
            </a:graphic>
          </wp:anchor>
        </w:drawing>
      </w:r>
    </w:p>
    <w:p w14:paraId="14D0DCF6" w14:textId="77777777" w:rsidR="00BE2C1D" w:rsidRPr="00BE2C1D" w:rsidRDefault="00BE2C1D" w:rsidP="00BE2C1D">
      <w:pPr>
        <w:rPr>
          <w:rFonts w:ascii="Century Gothic" w:hAnsi="Century Gothic"/>
        </w:rPr>
      </w:pPr>
    </w:p>
    <w:p w14:paraId="2BB994DC" w14:textId="77777777" w:rsidR="00BE2C1D" w:rsidRPr="00BE2C1D" w:rsidRDefault="00BE2C1D" w:rsidP="00BE2C1D">
      <w:pPr>
        <w:rPr>
          <w:rFonts w:ascii="Century Gothic" w:hAnsi="Century Gothic"/>
        </w:rPr>
      </w:pPr>
      <w:r w:rsidRPr="00BE2C1D">
        <w:rPr>
          <w:rFonts w:ascii="Century Gothic" w:hAnsi="Century Gothic"/>
        </w:rPr>
        <w:t>Be-Coming Storytellers: Stories of Secondary Education is a research project.</w:t>
      </w:r>
    </w:p>
    <w:p w14:paraId="099082B2" w14:textId="77777777" w:rsidR="00BE2C1D" w:rsidRPr="00BE2C1D" w:rsidRDefault="00BE2C1D" w:rsidP="00BE2C1D">
      <w:pPr>
        <w:rPr>
          <w:rFonts w:ascii="Century Gothic" w:hAnsi="Century Gothic"/>
        </w:rPr>
      </w:pPr>
    </w:p>
    <w:p w14:paraId="07F29C6E" w14:textId="77777777" w:rsidR="00BE2C1D" w:rsidRPr="00BE2C1D" w:rsidRDefault="00BE2C1D" w:rsidP="00BE2C1D">
      <w:pPr>
        <w:rPr>
          <w:rFonts w:ascii="Century Gothic" w:hAnsi="Century Gothic"/>
        </w:rPr>
      </w:pPr>
    </w:p>
    <w:p w14:paraId="0167D4CF" w14:textId="77777777" w:rsidR="00BE2C1D" w:rsidRPr="00BE2C1D" w:rsidRDefault="00BE2C1D" w:rsidP="00BE2C1D">
      <w:pPr>
        <w:rPr>
          <w:rFonts w:ascii="Century Gothic" w:hAnsi="Century Gothic"/>
        </w:rPr>
      </w:pPr>
      <w:r w:rsidRPr="00BE2C1D">
        <w:rPr>
          <w:rFonts w:ascii="Century Gothic" w:hAnsi="Century Gothic"/>
          <w:noProof/>
          <w:lang w:eastAsia="en-GB"/>
        </w:rPr>
        <w:drawing>
          <wp:anchor distT="0" distB="0" distL="114300" distR="114300" simplePos="0" relativeHeight="251674624" behindDoc="0" locked="0" layoutInCell="1" allowOverlap="1" wp14:anchorId="44FD11A6" wp14:editId="3B9AE08D">
            <wp:simplePos x="0" y="0"/>
            <wp:positionH relativeFrom="column">
              <wp:posOffset>3175</wp:posOffset>
            </wp:positionH>
            <wp:positionV relativeFrom="paragraph">
              <wp:posOffset>170180</wp:posOffset>
            </wp:positionV>
            <wp:extent cx="827405" cy="963295"/>
            <wp:effectExtent l="25400" t="25400" r="36195" b="27305"/>
            <wp:wrapSquare wrapText="bothSides"/>
            <wp:docPr id="77" name="Picture 77" descr="Macintosh HD:Users:kirstyliddiard:Desktop:EASY READ image bank :hap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kirstyliddiard:Desktop:EASY READ image bank :happy.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827405" cy="963295"/>
                    </a:xfrm>
                    <a:prstGeom prst="rect">
                      <a:avLst/>
                    </a:prstGeom>
                    <a:noFill/>
                    <a:ln w="19050" cmpd="sng">
                      <a:solidFill>
                        <a:sysClr val="windowText" lastClr="000000"/>
                      </a:solidFill>
                    </a:ln>
                  </pic:spPr>
                </pic:pic>
              </a:graphicData>
            </a:graphic>
          </wp:anchor>
        </w:drawing>
      </w:r>
    </w:p>
    <w:p w14:paraId="075BC4CF" w14:textId="77777777" w:rsidR="00BE2C1D" w:rsidRPr="00BE2C1D" w:rsidRDefault="00BE2C1D" w:rsidP="00BE2C1D">
      <w:pPr>
        <w:rPr>
          <w:rFonts w:ascii="Century Gothic" w:hAnsi="Century Gothic"/>
        </w:rPr>
      </w:pPr>
    </w:p>
    <w:p w14:paraId="6699EC7D" w14:textId="77777777" w:rsidR="00BE2C1D" w:rsidRPr="00BE2C1D" w:rsidRDefault="00BE2C1D" w:rsidP="00BE2C1D">
      <w:pPr>
        <w:rPr>
          <w:rFonts w:ascii="Century Gothic" w:hAnsi="Century Gothic"/>
        </w:rPr>
      </w:pPr>
      <w:r w:rsidRPr="00BE2C1D">
        <w:rPr>
          <w:rFonts w:ascii="Century Gothic" w:hAnsi="Century Gothic"/>
        </w:rPr>
        <w:t>It aims to</w:t>
      </w:r>
      <w:r w:rsidRPr="00BE2C1D">
        <w:rPr>
          <w:rFonts w:ascii="Century Gothic" w:hAnsi="Century Gothic"/>
          <w:lang w:val="en-US"/>
        </w:rPr>
        <w:t xml:space="preserve"> </w:t>
      </w:r>
      <w:r w:rsidRPr="00BE2C1D">
        <w:rPr>
          <w:rFonts w:ascii="Century Gothic" w:hAnsi="Century Gothic"/>
        </w:rPr>
        <w:t>find out more about</w:t>
      </w:r>
      <w:r w:rsidRPr="00BE2C1D">
        <w:rPr>
          <w:rFonts w:ascii="Century Gothic" w:hAnsi="Century Gothic"/>
          <w:lang w:val="en-US"/>
        </w:rPr>
        <w:t xml:space="preserve"> </w:t>
      </w:r>
      <w:r w:rsidRPr="00BE2C1D">
        <w:rPr>
          <w:rFonts w:ascii="Century Gothic" w:hAnsi="Century Gothic"/>
        </w:rPr>
        <w:t xml:space="preserve">the </w:t>
      </w:r>
      <w:r w:rsidRPr="00BE2C1D">
        <w:rPr>
          <w:rFonts w:ascii="Century Gothic" w:hAnsi="Century Gothic"/>
          <w:lang w:val="en-US"/>
        </w:rPr>
        <w:t>experiences of</w:t>
      </w:r>
      <w:r w:rsidRPr="00BE2C1D">
        <w:rPr>
          <w:rFonts w:ascii="Century Gothic" w:hAnsi="Century Gothic"/>
        </w:rPr>
        <w:t xml:space="preserve"> young people with restricted growth regarding their secondary education. </w:t>
      </w:r>
    </w:p>
    <w:p w14:paraId="3A125658" w14:textId="77777777" w:rsidR="00BE2C1D" w:rsidRPr="00BE2C1D" w:rsidRDefault="00BE2C1D" w:rsidP="00BE2C1D">
      <w:pPr>
        <w:rPr>
          <w:rFonts w:ascii="Century Gothic" w:hAnsi="Century Gothic"/>
        </w:rPr>
      </w:pPr>
    </w:p>
    <w:p w14:paraId="6C874D20" w14:textId="77777777" w:rsidR="00BE2C1D" w:rsidRPr="00BE2C1D" w:rsidRDefault="00BE2C1D" w:rsidP="00BE2C1D">
      <w:pPr>
        <w:rPr>
          <w:rFonts w:ascii="Century Gothic" w:hAnsi="Century Gothic"/>
        </w:rPr>
      </w:pPr>
    </w:p>
    <w:p w14:paraId="1DA6B8B1" w14:textId="77777777" w:rsidR="00BE2C1D" w:rsidRPr="00BE2C1D" w:rsidRDefault="00BE2C1D" w:rsidP="00BE2C1D">
      <w:pPr>
        <w:rPr>
          <w:rFonts w:ascii="Century Gothic" w:hAnsi="Century Gothic"/>
        </w:rPr>
      </w:pPr>
    </w:p>
    <w:p w14:paraId="20081FB7" w14:textId="77777777" w:rsidR="00BE2C1D" w:rsidRPr="00BE2C1D" w:rsidRDefault="00BE2C1D" w:rsidP="00BE2C1D">
      <w:pPr>
        <w:rPr>
          <w:rFonts w:ascii="Century Gothic" w:hAnsi="Century Gothic"/>
        </w:rPr>
      </w:pPr>
      <w:r w:rsidRPr="00BE2C1D">
        <w:rPr>
          <w:rFonts w:ascii="Century Gothic" w:hAnsi="Century Gothic"/>
          <w:noProof/>
          <w:lang w:eastAsia="en-GB"/>
        </w:rPr>
        <w:lastRenderedPageBreak/>
        <w:drawing>
          <wp:anchor distT="0" distB="0" distL="114300" distR="114300" simplePos="0" relativeHeight="251700224" behindDoc="0" locked="0" layoutInCell="1" allowOverlap="1" wp14:anchorId="3FA5537F" wp14:editId="4480F38C">
            <wp:simplePos x="0" y="0"/>
            <wp:positionH relativeFrom="column">
              <wp:posOffset>-18415</wp:posOffset>
            </wp:positionH>
            <wp:positionV relativeFrom="paragraph">
              <wp:posOffset>107950</wp:posOffset>
            </wp:positionV>
            <wp:extent cx="949325" cy="902335"/>
            <wp:effectExtent l="25400" t="25400" r="15875" b="37465"/>
            <wp:wrapSquare wrapText="bothSides"/>
            <wp:docPr id="73" name="Picture 73" descr="Macintosh HD:Users:kirstyliddiard:Desktop:EASY READ image bank :wri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Macintosh HD:Users:kirstyliddiard:Desktop:EASY READ image bank :writing.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949325" cy="902335"/>
                    </a:xfrm>
                    <a:prstGeom prst="rect">
                      <a:avLst/>
                    </a:prstGeom>
                    <a:noFill/>
                    <a:ln w="28575" cmpd="sng">
                      <a:solidFill>
                        <a:sysClr val="windowText" lastClr="000000"/>
                      </a:solidFill>
                    </a:ln>
                  </pic:spPr>
                </pic:pic>
              </a:graphicData>
            </a:graphic>
          </wp:anchor>
        </w:drawing>
      </w:r>
    </w:p>
    <w:p w14:paraId="72B578E8" w14:textId="77777777" w:rsidR="00BE2C1D" w:rsidRPr="00BE2C1D" w:rsidRDefault="00BE2C1D" w:rsidP="00BE2C1D">
      <w:pPr>
        <w:rPr>
          <w:rFonts w:ascii="Century Gothic" w:hAnsi="Century Gothic"/>
        </w:rPr>
      </w:pPr>
      <w:r w:rsidRPr="00BE2C1D">
        <w:rPr>
          <w:rFonts w:ascii="Century Gothic" w:hAnsi="Century Gothic"/>
        </w:rPr>
        <w:t>The project will be a space to share YOUR stories in creative ways.</w:t>
      </w:r>
    </w:p>
    <w:p w14:paraId="36EC5CC9" w14:textId="77777777" w:rsidR="00BE2C1D" w:rsidRPr="00BE2C1D" w:rsidRDefault="00BE2C1D" w:rsidP="00BE2C1D">
      <w:pPr>
        <w:rPr>
          <w:rFonts w:ascii="Century Gothic" w:hAnsi="Century Gothic"/>
        </w:rPr>
      </w:pPr>
    </w:p>
    <w:p w14:paraId="24B05247" w14:textId="77777777" w:rsidR="00BE2C1D" w:rsidRPr="00BE2C1D" w:rsidRDefault="00BE2C1D" w:rsidP="00BE2C1D">
      <w:pPr>
        <w:rPr>
          <w:rFonts w:ascii="Century Gothic" w:hAnsi="Century Gothic"/>
        </w:rPr>
      </w:pPr>
    </w:p>
    <w:p w14:paraId="1B513DAB" w14:textId="77777777" w:rsidR="00BE2C1D" w:rsidRPr="00BE2C1D" w:rsidRDefault="00BE2C1D" w:rsidP="00BE2C1D">
      <w:pPr>
        <w:rPr>
          <w:rFonts w:ascii="Century Gothic" w:hAnsi="Century Gothic"/>
        </w:rPr>
      </w:pPr>
    </w:p>
    <w:p w14:paraId="16B794BA" w14:textId="77777777" w:rsidR="00BE2C1D" w:rsidRPr="00BE2C1D" w:rsidRDefault="00BE2C1D" w:rsidP="00BE2C1D">
      <w:pPr>
        <w:rPr>
          <w:rFonts w:ascii="Century Gothic" w:hAnsi="Century Gothic"/>
        </w:rPr>
      </w:pPr>
    </w:p>
    <w:p w14:paraId="1BD1619D" w14:textId="77777777" w:rsidR="00BE2C1D" w:rsidRPr="00BE2C1D" w:rsidRDefault="00BE2C1D" w:rsidP="00BE2C1D">
      <w:pPr>
        <w:rPr>
          <w:rFonts w:ascii="Century Gothic" w:hAnsi="Century Gothic"/>
        </w:rPr>
      </w:pPr>
      <w:r w:rsidRPr="00BE2C1D">
        <w:rPr>
          <w:rFonts w:ascii="Century Gothic" w:hAnsi="Century Gothic"/>
          <w:noProof/>
          <w:lang w:eastAsia="en-GB"/>
        </w:rPr>
        <w:drawing>
          <wp:anchor distT="0" distB="0" distL="114300" distR="114300" simplePos="0" relativeHeight="251675648" behindDoc="0" locked="0" layoutInCell="1" allowOverlap="1" wp14:anchorId="220C157B" wp14:editId="44A0DE6F">
            <wp:simplePos x="0" y="0"/>
            <wp:positionH relativeFrom="column">
              <wp:posOffset>-500217</wp:posOffset>
            </wp:positionH>
            <wp:positionV relativeFrom="paragraph">
              <wp:posOffset>212075</wp:posOffset>
            </wp:positionV>
            <wp:extent cx="857885" cy="956945"/>
            <wp:effectExtent l="0" t="0" r="5715" b="8255"/>
            <wp:wrapSquare wrapText="bothSides"/>
            <wp:docPr id="78" name="Picture 78" descr="Macintosh HD:Users:kirstyliddiard:Desktop:EASY READ image bank :Screen Shot 2015-11-08 at 15.40.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kirstyliddiard:Desktop:EASY READ image bank :Screen Shot 2015-11-08 at 15.40.59.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857885" cy="956945"/>
                    </a:xfrm>
                    <a:prstGeom prst="rect">
                      <a:avLst/>
                    </a:prstGeom>
                    <a:noFill/>
                    <a:ln>
                      <a:noFill/>
                    </a:ln>
                  </pic:spPr>
                </pic:pic>
              </a:graphicData>
            </a:graphic>
          </wp:anchor>
        </w:drawing>
      </w:r>
    </w:p>
    <w:p w14:paraId="4A9A86CC" w14:textId="77777777" w:rsidR="00BE2C1D" w:rsidRPr="00BE2C1D" w:rsidRDefault="00BE2C1D" w:rsidP="00BE2C1D">
      <w:pPr>
        <w:rPr>
          <w:rFonts w:ascii="Century Gothic" w:hAnsi="Century Gothic"/>
        </w:rPr>
      </w:pPr>
      <w:r w:rsidRPr="00BE2C1D">
        <w:rPr>
          <w:rFonts w:ascii="Century Gothic" w:hAnsi="Century Gothic"/>
          <w:noProof/>
          <w:lang w:eastAsia="en-GB"/>
        </w:rPr>
        <w:drawing>
          <wp:anchor distT="0" distB="0" distL="114300" distR="114300" simplePos="0" relativeHeight="251676672" behindDoc="0" locked="0" layoutInCell="1" allowOverlap="1" wp14:anchorId="6A821E7D" wp14:editId="1CD89D45">
            <wp:simplePos x="0" y="0"/>
            <wp:positionH relativeFrom="column">
              <wp:posOffset>5559854</wp:posOffset>
            </wp:positionH>
            <wp:positionV relativeFrom="paragraph">
              <wp:posOffset>81014</wp:posOffset>
            </wp:positionV>
            <wp:extent cx="924560" cy="836930"/>
            <wp:effectExtent l="0" t="0" r="0" b="1270"/>
            <wp:wrapSquare wrapText="bothSides"/>
            <wp:docPr id="79" name="Picture 79" descr="Macintosh HD:Users:kirstyliddiard:Desktop:EASY READ image bank :Screen Shot 2015-11-08 at 15.47.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kirstyliddiard:Desktop:EASY READ image bank :Screen Shot 2015-11-08 at 15.47.06.p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924560" cy="836930"/>
                    </a:xfrm>
                    <a:prstGeom prst="rect">
                      <a:avLst/>
                    </a:prstGeom>
                    <a:noFill/>
                    <a:ln>
                      <a:noFill/>
                    </a:ln>
                  </pic:spPr>
                </pic:pic>
              </a:graphicData>
            </a:graphic>
          </wp:anchor>
        </w:drawing>
      </w:r>
    </w:p>
    <w:p w14:paraId="253213E2" w14:textId="77777777" w:rsidR="00BE2C1D" w:rsidRPr="00BE2C1D" w:rsidRDefault="00BE2C1D" w:rsidP="00BE2C1D">
      <w:pPr>
        <w:rPr>
          <w:rFonts w:ascii="Century Gothic" w:hAnsi="Century Gothic"/>
        </w:rPr>
      </w:pPr>
      <w:r w:rsidRPr="00BE2C1D">
        <w:rPr>
          <w:rFonts w:ascii="Century Gothic" w:hAnsi="Century Gothic"/>
        </w:rPr>
        <w:t xml:space="preserve">This project wants to know how young people feel about their secondary education and what works well and what not so well. </w:t>
      </w:r>
    </w:p>
    <w:p w14:paraId="0D317B6E" w14:textId="77777777" w:rsidR="00BE2C1D" w:rsidRPr="00BE2C1D" w:rsidRDefault="00BE2C1D" w:rsidP="00BE2C1D">
      <w:pPr>
        <w:rPr>
          <w:rFonts w:ascii="Century Gothic" w:hAnsi="Century Gothic"/>
        </w:rPr>
      </w:pPr>
    </w:p>
    <w:p w14:paraId="3E58D286" w14:textId="77777777" w:rsidR="00BE2C1D" w:rsidRPr="00BE2C1D" w:rsidRDefault="00BE2C1D" w:rsidP="00BE2C1D">
      <w:pPr>
        <w:rPr>
          <w:rFonts w:ascii="Century Gothic" w:hAnsi="Century Gothic"/>
        </w:rPr>
      </w:pPr>
    </w:p>
    <w:p w14:paraId="709134EB" w14:textId="77777777" w:rsidR="00BE2C1D" w:rsidRPr="00BE2C1D" w:rsidRDefault="00BE2C1D" w:rsidP="00BE2C1D">
      <w:pPr>
        <w:rPr>
          <w:rFonts w:ascii="Century Gothic" w:hAnsi="Century Gothic"/>
          <w:b/>
        </w:rPr>
      </w:pPr>
    </w:p>
    <w:p w14:paraId="0DA81E33" w14:textId="77777777" w:rsidR="00BE2C1D" w:rsidRPr="00BE2C1D" w:rsidRDefault="00BE2C1D" w:rsidP="00BE2C1D">
      <w:pPr>
        <w:rPr>
          <w:rFonts w:ascii="Century Gothic" w:hAnsi="Century Gothic"/>
          <w:b/>
        </w:rPr>
      </w:pPr>
    </w:p>
    <w:p w14:paraId="059B43B4" w14:textId="77777777" w:rsidR="00BE2C1D" w:rsidRPr="00BE2C1D" w:rsidRDefault="00BE2C1D" w:rsidP="00BE2C1D">
      <w:pPr>
        <w:rPr>
          <w:rFonts w:ascii="Century Gothic" w:hAnsi="Century Gothic"/>
          <w:b/>
        </w:rPr>
      </w:pPr>
      <w:r w:rsidRPr="00BE2C1D">
        <w:rPr>
          <w:rFonts w:ascii="Century Gothic" w:hAnsi="Century Gothic"/>
          <w:b/>
        </w:rPr>
        <w:t>Why have I been chosen?</w:t>
      </w:r>
    </w:p>
    <w:p w14:paraId="3080F435" w14:textId="77777777" w:rsidR="00BE2C1D" w:rsidRPr="00BE2C1D" w:rsidRDefault="00BE2C1D" w:rsidP="00BE2C1D">
      <w:pPr>
        <w:rPr>
          <w:rFonts w:ascii="Century Gothic" w:hAnsi="Century Gothic"/>
        </w:rPr>
      </w:pPr>
    </w:p>
    <w:p w14:paraId="5E256859" w14:textId="77777777" w:rsidR="00BE2C1D" w:rsidRPr="00BE2C1D" w:rsidRDefault="00BE2C1D" w:rsidP="00BE2C1D">
      <w:pPr>
        <w:rPr>
          <w:rFonts w:ascii="Century Gothic" w:hAnsi="Century Gothic"/>
        </w:rPr>
      </w:pPr>
      <w:r w:rsidRPr="00BE2C1D">
        <w:rPr>
          <w:rFonts w:ascii="Century Gothic" w:hAnsi="Century Gothic"/>
          <w:noProof/>
          <w:lang w:eastAsia="en-GB"/>
        </w:rPr>
        <w:drawing>
          <wp:anchor distT="0" distB="0" distL="114300" distR="114300" simplePos="0" relativeHeight="251701248" behindDoc="0" locked="0" layoutInCell="1" allowOverlap="1" wp14:anchorId="3D161D35" wp14:editId="146B5C7D">
            <wp:simplePos x="0" y="0"/>
            <wp:positionH relativeFrom="column">
              <wp:posOffset>15240</wp:posOffset>
            </wp:positionH>
            <wp:positionV relativeFrom="paragraph">
              <wp:posOffset>15875</wp:posOffset>
            </wp:positionV>
            <wp:extent cx="1032510" cy="828040"/>
            <wp:effectExtent l="0" t="0" r="8890" b="10160"/>
            <wp:wrapSquare wrapText="bothSides"/>
            <wp:docPr id="80" name="Picture 80" descr="Macintosh HD:Users:kirstyliddiard:Desktop:EASY READ image bank :activit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acintosh HD:Users:kirstyliddiard:Desktop:EASY READ image bank :activities.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032510" cy="828040"/>
                    </a:xfrm>
                    <a:prstGeom prst="rect">
                      <a:avLst/>
                    </a:prstGeom>
                    <a:noFill/>
                    <a:ln>
                      <a:noFill/>
                    </a:ln>
                  </pic:spPr>
                </pic:pic>
              </a:graphicData>
            </a:graphic>
          </wp:anchor>
        </w:drawing>
      </w:r>
      <w:r w:rsidRPr="00BE2C1D">
        <w:rPr>
          <w:rFonts w:ascii="Century Gothic" w:hAnsi="Century Gothic"/>
        </w:rPr>
        <w:t xml:space="preserve">I want to invite young people with (11-17 years old) to participate in and become storytellers in “Be-Coming Storytellers: Stories of Secondary Education. </w:t>
      </w:r>
    </w:p>
    <w:p w14:paraId="5C210907" w14:textId="77777777" w:rsidR="00BE2C1D" w:rsidRPr="00BE2C1D" w:rsidRDefault="00BE2C1D" w:rsidP="00BE2C1D">
      <w:pPr>
        <w:rPr>
          <w:rFonts w:ascii="Century Gothic" w:hAnsi="Century Gothic"/>
        </w:rPr>
      </w:pPr>
    </w:p>
    <w:p w14:paraId="7A64448E" w14:textId="77777777" w:rsidR="00BE2C1D" w:rsidRPr="00BE2C1D" w:rsidRDefault="00BE2C1D" w:rsidP="00BE2C1D">
      <w:pPr>
        <w:rPr>
          <w:rFonts w:ascii="Century Gothic" w:hAnsi="Century Gothic"/>
        </w:rPr>
      </w:pPr>
    </w:p>
    <w:p w14:paraId="73A6F4D1" w14:textId="77777777" w:rsidR="00BE2C1D" w:rsidRPr="00BE2C1D" w:rsidRDefault="00BE2C1D" w:rsidP="00BE2C1D">
      <w:pPr>
        <w:rPr>
          <w:rFonts w:ascii="Century Gothic" w:hAnsi="Century Gothic"/>
          <w:b/>
        </w:rPr>
      </w:pPr>
    </w:p>
    <w:p w14:paraId="670AF23B" w14:textId="77777777" w:rsidR="00BE2C1D" w:rsidRPr="00BE2C1D" w:rsidRDefault="00BE2C1D" w:rsidP="00BE2C1D">
      <w:pPr>
        <w:rPr>
          <w:rFonts w:ascii="Century Gothic" w:hAnsi="Century Gothic"/>
          <w:b/>
        </w:rPr>
      </w:pPr>
    </w:p>
    <w:p w14:paraId="29FBA876" w14:textId="77777777" w:rsidR="00BE2C1D" w:rsidRPr="00BE2C1D" w:rsidRDefault="00BE2C1D" w:rsidP="00BE2C1D">
      <w:pPr>
        <w:rPr>
          <w:rFonts w:ascii="Century Gothic" w:hAnsi="Century Gothic"/>
          <w:b/>
        </w:rPr>
      </w:pPr>
      <w:r w:rsidRPr="00BE2C1D">
        <w:rPr>
          <w:rFonts w:ascii="Century Gothic" w:hAnsi="Century Gothic"/>
          <w:b/>
        </w:rPr>
        <w:t>Do I have to take part?</w:t>
      </w:r>
    </w:p>
    <w:p w14:paraId="367A8757" w14:textId="77777777" w:rsidR="00BE2C1D" w:rsidRPr="00BE2C1D" w:rsidRDefault="00BE2C1D" w:rsidP="00BE2C1D">
      <w:pPr>
        <w:rPr>
          <w:rFonts w:ascii="Century Gothic" w:hAnsi="Century Gothic"/>
          <w:b/>
        </w:rPr>
      </w:pPr>
    </w:p>
    <w:p w14:paraId="15A6F198" w14:textId="77777777" w:rsidR="00BE2C1D" w:rsidRPr="00BE2C1D" w:rsidRDefault="00BE2C1D" w:rsidP="00BE2C1D">
      <w:pPr>
        <w:rPr>
          <w:rFonts w:ascii="Century Gothic" w:hAnsi="Century Gothic"/>
        </w:rPr>
      </w:pPr>
      <w:r w:rsidRPr="00BE2C1D">
        <w:rPr>
          <w:rFonts w:ascii="Century Gothic" w:hAnsi="Century Gothic"/>
          <w:b/>
          <w:noProof/>
          <w:lang w:eastAsia="en-GB"/>
        </w:rPr>
        <w:drawing>
          <wp:anchor distT="0" distB="0" distL="114300" distR="114300" simplePos="0" relativeHeight="251677696" behindDoc="0" locked="0" layoutInCell="1" allowOverlap="1" wp14:anchorId="75C7DFE7" wp14:editId="0FE59F7A">
            <wp:simplePos x="0" y="0"/>
            <wp:positionH relativeFrom="column">
              <wp:posOffset>-4445</wp:posOffset>
            </wp:positionH>
            <wp:positionV relativeFrom="paragraph">
              <wp:posOffset>17145</wp:posOffset>
            </wp:positionV>
            <wp:extent cx="1031875" cy="1031875"/>
            <wp:effectExtent l="0" t="0" r="9525" b="9525"/>
            <wp:wrapSquare wrapText="bothSides"/>
            <wp:docPr id="81" name="Picture 81" descr="Macintosh HD:Users:kirstyliddiard:Desktop:EASY READ image bank :cons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kirstyliddiard:Desktop:EASY READ image bank :consent.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031875" cy="1031875"/>
                    </a:xfrm>
                    <a:prstGeom prst="rect">
                      <a:avLst/>
                    </a:prstGeom>
                    <a:noFill/>
                    <a:ln>
                      <a:noFill/>
                    </a:ln>
                  </pic:spPr>
                </pic:pic>
              </a:graphicData>
            </a:graphic>
          </wp:anchor>
        </w:drawing>
      </w:r>
      <w:r w:rsidRPr="00BE2C1D">
        <w:rPr>
          <w:rFonts w:ascii="Century Gothic" w:hAnsi="Century Gothic"/>
        </w:rPr>
        <w:t xml:space="preserve">No, you do not have to take part.  </w:t>
      </w:r>
    </w:p>
    <w:p w14:paraId="408F17A8" w14:textId="77777777" w:rsidR="00BE2C1D" w:rsidRPr="00BE2C1D" w:rsidRDefault="00BE2C1D" w:rsidP="00BE2C1D">
      <w:pPr>
        <w:rPr>
          <w:rFonts w:ascii="Century Gothic" w:hAnsi="Century Gothic"/>
        </w:rPr>
      </w:pPr>
    </w:p>
    <w:p w14:paraId="4C8B4DCA" w14:textId="77777777" w:rsidR="00BE2C1D" w:rsidRPr="00BE2C1D" w:rsidRDefault="00BE2C1D" w:rsidP="00BE2C1D">
      <w:pPr>
        <w:rPr>
          <w:rFonts w:ascii="Century Gothic" w:hAnsi="Century Gothic"/>
        </w:rPr>
      </w:pPr>
      <w:r w:rsidRPr="00BE2C1D">
        <w:rPr>
          <w:rFonts w:ascii="Century Gothic" w:hAnsi="Century Gothic"/>
        </w:rPr>
        <w:t xml:space="preserve">It is up to you and your parent(s)/guardian(s) whether you take part as a co-researcher or not. </w:t>
      </w:r>
    </w:p>
    <w:p w14:paraId="17341C59" w14:textId="77777777" w:rsidR="00BE2C1D" w:rsidRPr="00BE2C1D" w:rsidRDefault="00BE2C1D" w:rsidP="00BE2C1D">
      <w:pPr>
        <w:rPr>
          <w:rFonts w:ascii="Century Gothic" w:hAnsi="Century Gothic"/>
        </w:rPr>
      </w:pPr>
    </w:p>
    <w:p w14:paraId="45302D44" w14:textId="77777777" w:rsidR="00BE2C1D" w:rsidRPr="00BE2C1D" w:rsidRDefault="00BE2C1D" w:rsidP="00BE2C1D">
      <w:pPr>
        <w:rPr>
          <w:rFonts w:ascii="Century Gothic" w:hAnsi="Century Gothic"/>
        </w:rPr>
      </w:pPr>
    </w:p>
    <w:p w14:paraId="6445669D" w14:textId="77777777" w:rsidR="00BE2C1D" w:rsidRPr="00BE2C1D" w:rsidRDefault="00BE2C1D" w:rsidP="00BE2C1D">
      <w:pPr>
        <w:rPr>
          <w:rFonts w:ascii="Century Gothic" w:hAnsi="Century Gothic"/>
        </w:rPr>
      </w:pPr>
    </w:p>
    <w:p w14:paraId="557E77DD" w14:textId="77777777" w:rsidR="00BE2C1D" w:rsidRPr="00BE2C1D" w:rsidRDefault="00BE2C1D" w:rsidP="00BE2C1D">
      <w:pPr>
        <w:rPr>
          <w:rFonts w:ascii="Century Gothic" w:hAnsi="Century Gothic"/>
        </w:rPr>
      </w:pPr>
    </w:p>
    <w:p w14:paraId="6FC94986" w14:textId="77777777" w:rsidR="00BE2C1D" w:rsidRPr="00BE2C1D" w:rsidRDefault="00BE2C1D" w:rsidP="00BE2C1D">
      <w:pPr>
        <w:rPr>
          <w:rFonts w:ascii="Century Gothic" w:hAnsi="Century Gothic"/>
        </w:rPr>
      </w:pPr>
    </w:p>
    <w:p w14:paraId="18169DA2" w14:textId="77777777" w:rsidR="00BE2C1D" w:rsidRPr="00BE2C1D" w:rsidRDefault="00BE2C1D" w:rsidP="00BE2C1D">
      <w:pPr>
        <w:rPr>
          <w:rFonts w:ascii="Century Gothic" w:hAnsi="Century Gothic"/>
        </w:rPr>
      </w:pPr>
      <w:r w:rsidRPr="00BE2C1D">
        <w:rPr>
          <w:rFonts w:ascii="Century Gothic" w:hAnsi="Century Gothic"/>
          <w:noProof/>
          <w:lang w:eastAsia="en-GB"/>
        </w:rPr>
        <w:drawing>
          <wp:anchor distT="0" distB="0" distL="114300" distR="114300" simplePos="0" relativeHeight="251678720" behindDoc="0" locked="0" layoutInCell="1" allowOverlap="1" wp14:anchorId="7723B6DA" wp14:editId="302AB77E">
            <wp:simplePos x="0" y="0"/>
            <wp:positionH relativeFrom="column">
              <wp:posOffset>-5080</wp:posOffset>
            </wp:positionH>
            <wp:positionV relativeFrom="paragraph">
              <wp:posOffset>-38735</wp:posOffset>
            </wp:positionV>
            <wp:extent cx="943610" cy="991235"/>
            <wp:effectExtent l="25400" t="25400" r="21590" b="24765"/>
            <wp:wrapSquare wrapText="bothSides"/>
            <wp:docPr id="82" name="Picture 82" descr="Macintosh HD:Users:kirstyliddiard:Downloads:fill-in-for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kirstyliddiard:Downloads:fill-in-form.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943610" cy="991235"/>
                    </a:xfrm>
                    <a:prstGeom prst="rect">
                      <a:avLst/>
                    </a:prstGeom>
                    <a:noFill/>
                    <a:ln w="19050" cmpd="sng">
                      <a:solidFill>
                        <a:sysClr val="windowText" lastClr="000000"/>
                      </a:solidFill>
                    </a:ln>
                  </pic:spPr>
                </pic:pic>
              </a:graphicData>
            </a:graphic>
          </wp:anchor>
        </w:drawing>
      </w:r>
      <w:r w:rsidRPr="00BE2C1D">
        <w:rPr>
          <w:rFonts w:ascii="Century Gothic" w:hAnsi="Century Gothic"/>
        </w:rPr>
        <w:t xml:space="preserve">If you do want to take part, you and your parent(s)/guardian(s) will be asked to sign a form. </w:t>
      </w:r>
    </w:p>
    <w:p w14:paraId="36A9FE62" w14:textId="77777777" w:rsidR="00BE2C1D" w:rsidRPr="00BE2C1D" w:rsidRDefault="00BE2C1D" w:rsidP="00BE2C1D">
      <w:pPr>
        <w:rPr>
          <w:rFonts w:ascii="Century Gothic" w:hAnsi="Century Gothic"/>
        </w:rPr>
      </w:pPr>
    </w:p>
    <w:p w14:paraId="3290C7B9" w14:textId="77777777" w:rsidR="00BE2C1D" w:rsidRPr="00BE2C1D" w:rsidRDefault="00BE2C1D" w:rsidP="00BE2C1D">
      <w:pPr>
        <w:rPr>
          <w:rFonts w:ascii="Century Gothic" w:hAnsi="Century Gothic"/>
        </w:rPr>
      </w:pPr>
    </w:p>
    <w:p w14:paraId="774AE10A" w14:textId="77777777" w:rsidR="00BE2C1D" w:rsidRPr="00BE2C1D" w:rsidRDefault="00BE2C1D" w:rsidP="00BE2C1D">
      <w:pPr>
        <w:rPr>
          <w:rFonts w:ascii="Century Gothic" w:hAnsi="Century Gothic"/>
        </w:rPr>
      </w:pPr>
    </w:p>
    <w:p w14:paraId="0EA83EDD" w14:textId="77777777" w:rsidR="00BE2C1D" w:rsidRPr="00BE2C1D" w:rsidRDefault="00BE2C1D" w:rsidP="00BE2C1D">
      <w:pPr>
        <w:rPr>
          <w:rFonts w:ascii="Century Gothic" w:hAnsi="Century Gothic"/>
        </w:rPr>
      </w:pPr>
    </w:p>
    <w:p w14:paraId="67804C12" w14:textId="77777777" w:rsidR="00BE2C1D" w:rsidRPr="00BE2C1D" w:rsidRDefault="00BE2C1D" w:rsidP="00BE2C1D">
      <w:pPr>
        <w:rPr>
          <w:rFonts w:ascii="Century Gothic" w:hAnsi="Century Gothic"/>
        </w:rPr>
      </w:pPr>
      <w:r w:rsidRPr="00BE2C1D">
        <w:rPr>
          <w:rFonts w:ascii="Century Gothic" w:hAnsi="Century Gothic"/>
          <w:noProof/>
          <w:lang w:eastAsia="en-GB"/>
        </w:rPr>
        <w:drawing>
          <wp:anchor distT="0" distB="0" distL="114300" distR="114300" simplePos="0" relativeHeight="251679744" behindDoc="0" locked="0" layoutInCell="1" allowOverlap="1" wp14:anchorId="71CE1EA2" wp14:editId="0B7A2018">
            <wp:simplePos x="0" y="0"/>
            <wp:positionH relativeFrom="column">
              <wp:posOffset>-7620</wp:posOffset>
            </wp:positionH>
            <wp:positionV relativeFrom="paragraph">
              <wp:posOffset>26670</wp:posOffset>
            </wp:positionV>
            <wp:extent cx="1005840" cy="1005840"/>
            <wp:effectExtent l="0" t="0" r="10160" b="10160"/>
            <wp:wrapSquare wrapText="bothSides"/>
            <wp:docPr id="83" name="Picture 83" descr="Macintosh HD:Users:kirstyliddiard:Downloads:choose-repo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kirstyliddiard:Downloads:choose-report.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005840" cy="1005840"/>
                    </a:xfrm>
                    <a:prstGeom prst="rect">
                      <a:avLst/>
                    </a:prstGeom>
                    <a:noFill/>
                    <a:ln>
                      <a:noFill/>
                    </a:ln>
                  </pic:spPr>
                </pic:pic>
              </a:graphicData>
            </a:graphic>
          </wp:anchor>
        </w:drawing>
      </w:r>
      <w:r w:rsidRPr="00BE2C1D">
        <w:rPr>
          <w:rFonts w:ascii="Century Gothic" w:hAnsi="Century Gothic"/>
        </w:rPr>
        <w:t>However, you can still change your mind and stop taking part at any time. You do not even have to give a reason.</w:t>
      </w:r>
    </w:p>
    <w:p w14:paraId="3FF339B0" w14:textId="77777777" w:rsidR="00BE2C1D" w:rsidRPr="00BE2C1D" w:rsidRDefault="00BE2C1D" w:rsidP="00BE2C1D">
      <w:pPr>
        <w:rPr>
          <w:rFonts w:ascii="Century Gothic" w:hAnsi="Century Gothic"/>
        </w:rPr>
      </w:pPr>
    </w:p>
    <w:p w14:paraId="70F8E508" w14:textId="77777777" w:rsidR="00BE2C1D" w:rsidRPr="00BE2C1D" w:rsidRDefault="00BE2C1D" w:rsidP="00BE2C1D">
      <w:pPr>
        <w:rPr>
          <w:rFonts w:ascii="Century Gothic" w:hAnsi="Century Gothic"/>
          <w:b/>
        </w:rPr>
      </w:pPr>
    </w:p>
    <w:p w14:paraId="17776AC8" w14:textId="77777777" w:rsidR="00BE2C1D" w:rsidRPr="00BE2C1D" w:rsidRDefault="00BE2C1D" w:rsidP="00BE2C1D">
      <w:pPr>
        <w:rPr>
          <w:rFonts w:ascii="Century Gothic" w:hAnsi="Century Gothic"/>
          <w:b/>
        </w:rPr>
      </w:pPr>
    </w:p>
    <w:p w14:paraId="5B482C55" w14:textId="77777777" w:rsidR="00BE2C1D" w:rsidRPr="00BE2C1D" w:rsidRDefault="00BE2C1D" w:rsidP="00BE2C1D">
      <w:pPr>
        <w:rPr>
          <w:rFonts w:ascii="Century Gothic" w:hAnsi="Century Gothic"/>
          <w:b/>
        </w:rPr>
      </w:pPr>
    </w:p>
    <w:p w14:paraId="7AD9A320" w14:textId="77777777" w:rsidR="00BE2C1D" w:rsidRPr="00BE2C1D" w:rsidRDefault="00BE2C1D" w:rsidP="00BE2C1D">
      <w:pPr>
        <w:rPr>
          <w:rFonts w:ascii="Century Gothic" w:hAnsi="Century Gothic"/>
          <w:b/>
        </w:rPr>
      </w:pPr>
      <w:r w:rsidRPr="00BE2C1D">
        <w:rPr>
          <w:rFonts w:ascii="Century Gothic" w:hAnsi="Century Gothic"/>
          <w:b/>
        </w:rPr>
        <w:t>What will happen to me if I become a participant?</w:t>
      </w:r>
    </w:p>
    <w:p w14:paraId="0A53F232" w14:textId="77777777" w:rsidR="00BE2C1D" w:rsidRPr="00BE2C1D" w:rsidRDefault="00BE2C1D" w:rsidP="00BE2C1D">
      <w:pPr>
        <w:rPr>
          <w:rFonts w:ascii="Century Gothic" w:hAnsi="Century Gothic"/>
        </w:rPr>
      </w:pPr>
    </w:p>
    <w:p w14:paraId="517F2D79" w14:textId="77777777" w:rsidR="00BE2C1D" w:rsidRPr="00BE2C1D" w:rsidRDefault="00BE2C1D" w:rsidP="00BE2C1D">
      <w:pPr>
        <w:rPr>
          <w:rFonts w:ascii="Century Gothic" w:hAnsi="Century Gothic"/>
        </w:rPr>
      </w:pPr>
      <w:r w:rsidRPr="00BE2C1D">
        <w:rPr>
          <w:rFonts w:ascii="Century Gothic" w:hAnsi="Century Gothic"/>
          <w:noProof/>
          <w:lang w:eastAsia="en-GB"/>
        </w:rPr>
        <w:drawing>
          <wp:anchor distT="0" distB="0" distL="114300" distR="114300" simplePos="0" relativeHeight="251680768" behindDoc="0" locked="0" layoutInCell="1" allowOverlap="1" wp14:anchorId="672DFA47" wp14:editId="69E77385">
            <wp:simplePos x="0" y="0"/>
            <wp:positionH relativeFrom="column">
              <wp:posOffset>2540</wp:posOffset>
            </wp:positionH>
            <wp:positionV relativeFrom="paragraph">
              <wp:posOffset>104775</wp:posOffset>
            </wp:positionV>
            <wp:extent cx="1390015" cy="668020"/>
            <wp:effectExtent l="25400" t="25400" r="32385" b="17780"/>
            <wp:wrapSquare wrapText="bothSides"/>
            <wp:docPr id="84" name="Picture 84" descr="Macintosh HD:Users:kirstyliddiard:Desktop:EASY READ image bank :friendly-frien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intosh HD:Users:kirstyliddiard:Desktop:EASY READ image bank :friendly-friends.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390015" cy="668020"/>
                    </a:xfrm>
                    <a:prstGeom prst="rect">
                      <a:avLst/>
                    </a:prstGeom>
                    <a:noFill/>
                    <a:ln w="19050" cmpd="sng">
                      <a:solidFill>
                        <a:sysClr val="windowText" lastClr="000000"/>
                      </a:solidFill>
                    </a:ln>
                  </pic:spPr>
                </pic:pic>
              </a:graphicData>
            </a:graphic>
          </wp:anchor>
        </w:drawing>
      </w:r>
    </w:p>
    <w:p w14:paraId="17005579" w14:textId="77777777" w:rsidR="00BE2C1D" w:rsidRPr="00BE2C1D" w:rsidRDefault="00BE2C1D" w:rsidP="00BE2C1D">
      <w:pPr>
        <w:rPr>
          <w:rFonts w:ascii="Century Gothic" w:hAnsi="Century Gothic"/>
        </w:rPr>
      </w:pPr>
      <w:r w:rsidRPr="00BE2C1D">
        <w:rPr>
          <w:rFonts w:ascii="Century Gothic" w:hAnsi="Century Gothic"/>
        </w:rPr>
        <w:t>I want 6 young people (aged 11-17) to be-come storytellers!</w:t>
      </w:r>
    </w:p>
    <w:p w14:paraId="02DBC69F" w14:textId="77777777" w:rsidR="00BE2C1D" w:rsidRPr="00BE2C1D" w:rsidRDefault="00BE2C1D" w:rsidP="00BE2C1D">
      <w:pPr>
        <w:rPr>
          <w:rFonts w:ascii="Century Gothic" w:hAnsi="Century Gothic"/>
        </w:rPr>
      </w:pPr>
    </w:p>
    <w:p w14:paraId="445F7610" w14:textId="77777777" w:rsidR="00BE2C1D" w:rsidRPr="00BE2C1D" w:rsidRDefault="00BE2C1D" w:rsidP="00BE2C1D">
      <w:pPr>
        <w:rPr>
          <w:rFonts w:ascii="Century Gothic" w:hAnsi="Century Gothic"/>
        </w:rPr>
      </w:pPr>
    </w:p>
    <w:p w14:paraId="1D41156A" w14:textId="77777777" w:rsidR="00BE2C1D" w:rsidRPr="00BE2C1D" w:rsidRDefault="00BE2C1D" w:rsidP="00BE2C1D">
      <w:pPr>
        <w:rPr>
          <w:rFonts w:ascii="Century Gothic" w:hAnsi="Century Gothic"/>
          <w:color w:val="FF0000"/>
        </w:rPr>
      </w:pPr>
    </w:p>
    <w:p w14:paraId="64DF4691" w14:textId="77777777" w:rsidR="00BE2C1D" w:rsidRPr="00BE2C1D" w:rsidRDefault="00BE2C1D" w:rsidP="00BE2C1D">
      <w:pPr>
        <w:rPr>
          <w:rFonts w:ascii="Century Gothic" w:hAnsi="Century Gothic"/>
          <w:b/>
        </w:rPr>
      </w:pPr>
      <w:r w:rsidRPr="00BE2C1D">
        <w:rPr>
          <w:rFonts w:ascii="Century Gothic" w:hAnsi="Century Gothic"/>
          <w:b/>
        </w:rPr>
        <w:t>What do I have to do?</w:t>
      </w:r>
    </w:p>
    <w:p w14:paraId="64A31851" w14:textId="77777777" w:rsidR="00BE2C1D" w:rsidRPr="00BE2C1D" w:rsidRDefault="00BE2C1D" w:rsidP="00BE2C1D">
      <w:pPr>
        <w:rPr>
          <w:rFonts w:ascii="Century Gothic" w:hAnsi="Century Gothic"/>
        </w:rPr>
      </w:pPr>
    </w:p>
    <w:p w14:paraId="5FE8CDFD" w14:textId="77777777" w:rsidR="00BE2C1D" w:rsidRPr="00BE2C1D" w:rsidRDefault="00BE2C1D" w:rsidP="00BE2C1D">
      <w:pPr>
        <w:rPr>
          <w:rFonts w:ascii="Century Gothic" w:hAnsi="Century Gothic"/>
        </w:rPr>
      </w:pPr>
    </w:p>
    <w:p w14:paraId="013358B4" w14:textId="77777777" w:rsidR="00BE2C1D" w:rsidRPr="00BE2C1D" w:rsidRDefault="00BE2C1D" w:rsidP="00BE2C1D">
      <w:pPr>
        <w:rPr>
          <w:rFonts w:ascii="Century Gothic" w:hAnsi="Century Gothic"/>
        </w:rPr>
      </w:pPr>
      <w:r w:rsidRPr="00BE2C1D">
        <w:rPr>
          <w:rFonts w:ascii="Century Gothic" w:hAnsi="Century Gothic"/>
          <w:noProof/>
          <w:lang w:eastAsia="en-GB"/>
        </w:rPr>
        <w:drawing>
          <wp:inline distT="0" distB="0" distL="0" distR="0" wp14:anchorId="6F47AD93" wp14:editId="2BDACEB3">
            <wp:extent cx="5438775" cy="1800225"/>
            <wp:effectExtent l="19050" t="0" r="9525" b="0"/>
            <wp:docPr id="85" name="Picture 1" descr="C:\Users\MediaMarkt2-PC\Desktop\Sto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diaMarkt2-PC\Desktop\Stories.jpg"/>
                    <pic:cNvPicPr>
                      <a:picLocks noChangeAspect="1" noChangeArrowheads="1"/>
                    </pic:cNvPicPr>
                  </pic:nvPicPr>
                  <pic:blipFill>
                    <a:blip r:embed="rId55"/>
                    <a:srcRect/>
                    <a:stretch>
                      <a:fillRect/>
                    </a:stretch>
                  </pic:blipFill>
                  <pic:spPr bwMode="auto">
                    <a:xfrm>
                      <a:off x="0" y="0"/>
                      <a:ext cx="5438775" cy="1800225"/>
                    </a:xfrm>
                    <a:prstGeom prst="rect">
                      <a:avLst/>
                    </a:prstGeom>
                    <a:noFill/>
                    <a:ln w="9525">
                      <a:noFill/>
                      <a:miter lim="800000"/>
                      <a:headEnd/>
                      <a:tailEnd/>
                    </a:ln>
                  </pic:spPr>
                </pic:pic>
              </a:graphicData>
            </a:graphic>
          </wp:inline>
        </w:drawing>
      </w:r>
    </w:p>
    <w:p w14:paraId="29DE932F" w14:textId="77777777" w:rsidR="00BE2C1D" w:rsidRPr="00BE2C1D" w:rsidRDefault="00BE2C1D" w:rsidP="00BE2C1D">
      <w:pPr>
        <w:rPr>
          <w:rFonts w:ascii="Century Gothic" w:hAnsi="Century Gothic"/>
        </w:rPr>
      </w:pPr>
    </w:p>
    <w:p w14:paraId="5AC148D7" w14:textId="77777777" w:rsidR="00BE2C1D" w:rsidRPr="00BE2C1D" w:rsidRDefault="00BE2C1D" w:rsidP="00BE2C1D">
      <w:pPr>
        <w:rPr>
          <w:rFonts w:ascii="Century Gothic" w:hAnsi="Century Gothic"/>
        </w:rPr>
      </w:pPr>
      <w:r w:rsidRPr="00BE2C1D">
        <w:rPr>
          <w:rFonts w:ascii="Century Gothic" w:hAnsi="Century Gothic"/>
        </w:rPr>
        <w:lastRenderedPageBreak/>
        <w:t>Storytelling can take various forms, such as oral storytelling (basically, chatting), visual storytelling (pictures, comics), poetry, acting and so on. You can be as creative as you want!</w:t>
      </w:r>
    </w:p>
    <w:p w14:paraId="4414527C" w14:textId="77777777" w:rsidR="00BE2C1D" w:rsidRPr="00BE2C1D" w:rsidRDefault="00BE2C1D" w:rsidP="00BE2C1D">
      <w:pPr>
        <w:rPr>
          <w:rFonts w:ascii="Century Gothic" w:hAnsi="Century Gothic"/>
        </w:rPr>
      </w:pPr>
    </w:p>
    <w:p w14:paraId="5AAD3045" w14:textId="77777777" w:rsidR="00BE2C1D" w:rsidRPr="00BE2C1D" w:rsidRDefault="00BE2C1D" w:rsidP="00BE2C1D">
      <w:pPr>
        <w:rPr>
          <w:rFonts w:ascii="Century Gothic" w:hAnsi="Century Gothic"/>
        </w:rPr>
      </w:pPr>
      <w:r w:rsidRPr="00BE2C1D">
        <w:rPr>
          <w:rFonts w:ascii="Century Gothic" w:hAnsi="Century Gothic"/>
          <w:noProof/>
          <w:lang w:eastAsia="en-GB"/>
        </w:rPr>
        <w:drawing>
          <wp:inline distT="0" distB="0" distL="0" distR="0" wp14:anchorId="04386AE5" wp14:editId="036979B5">
            <wp:extent cx="5648325" cy="1628775"/>
            <wp:effectExtent l="19050" t="0" r="9525" b="0"/>
            <wp:docPr id="86" name="Picture 2" descr="C:\Users\MediaMarkt2-PC\Desktop\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ediaMarkt2-PC\Desktop\download.jpg"/>
                    <pic:cNvPicPr>
                      <a:picLocks noChangeAspect="1" noChangeArrowheads="1"/>
                    </pic:cNvPicPr>
                  </pic:nvPicPr>
                  <pic:blipFill>
                    <a:blip r:embed="rId56"/>
                    <a:srcRect/>
                    <a:stretch>
                      <a:fillRect/>
                    </a:stretch>
                  </pic:blipFill>
                  <pic:spPr bwMode="auto">
                    <a:xfrm>
                      <a:off x="0" y="0"/>
                      <a:ext cx="5648325" cy="1628775"/>
                    </a:xfrm>
                    <a:prstGeom prst="rect">
                      <a:avLst/>
                    </a:prstGeom>
                    <a:noFill/>
                    <a:ln w="9525">
                      <a:noFill/>
                      <a:miter lim="800000"/>
                      <a:headEnd/>
                      <a:tailEnd/>
                    </a:ln>
                  </pic:spPr>
                </pic:pic>
              </a:graphicData>
            </a:graphic>
          </wp:inline>
        </w:drawing>
      </w:r>
    </w:p>
    <w:p w14:paraId="41219D02" w14:textId="77777777" w:rsidR="00BE2C1D" w:rsidRPr="00BE2C1D" w:rsidRDefault="00BE2C1D" w:rsidP="00BE2C1D">
      <w:pPr>
        <w:rPr>
          <w:rFonts w:ascii="Century Gothic" w:hAnsi="Century Gothic"/>
        </w:rPr>
      </w:pPr>
    </w:p>
    <w:p w14:paraId="41913CAE" w14:textId="77777777" w:rsidR="00BE2C1D" w:rsidRPr="00BE2C1D" w:rsidRDefault="00BE2C1D" w:rsidP="00BE2C1D">
      <w:pPr>
        <w:rPr>
          <w:rFonts w:ascii="Century Gothic" w:hAnsi="Century Gothic"/>
        </w:rPr>
      </w:pPr>
      <w:r w:rsidRPr="00BE2C1D">
        <w:rPr>
          <w:rFonts w:ascii="Century Gothic" w:hAnsi="Century Gothic"/>
        </w:rPr>
        <w:t xml:space="preserve">Since we live in what is known as the ‘digital era’ (everything is taking place via Internet), I thought it would be nice to engage with some blogging and, in particular, digital storytelling. In a web-platform that I will set up, we can all share our stories (once more, in whatever way we wish: text, pictures, videos, a combination of everything). This weblog will be password protected (we are the only ones to know the password) and you can choose your nicknames. You can share as many stories as you feel like about a range of topics (a particular school day, an unexpected incident, something related to the past/present/future). It is up to you! </w:t>
      </w:r>
    </w:p>
    <w:p w14:paraId="7BD1A8B6" w14:textId="77777777" w:rsidR="00BE2C1D" w:rsidRPr="00BE2C1D" w:rsidRDefault="00BE2C1D" w:rsidP="00BE2C1D">
      <w:pPr>
        <w:rPr>
          <w:rFonts w:ascii="Century Gothic" w:hAnsi="Century Gothic"/>
        </w:rPr>
      </w:pPr>
    </w:p>
    <w:p w14:paraId="35425597" w14:textId="77777777" w:rsidR="00BE2C1D" w:rsidRPr="00BE2C1D" w:rsidRDefault="00BE2C1D" w:rsidP="00BE2C1D">
      <w:pPr>
        <w:rPr>
          <w:rFonts w:ascii="Century Gothic" w:hAnsi="Century Gothic"/>
          <w:b/>
        </w:rPr>
      </w:pPr>
      <w:r w:rsidRPr="00BE2C1D">
        <w:rPr>
          <w:rFonts w:ascii="Century Gothic" w:hAnsi="Century Gothic"/>
        </w:rPr>
        <w:t xml:space="preserve">The weblog will run from the beginning of January 2018 until the end of February 2018 unless agreed differently.  </w:t>
      </w:r>
    </w:p>
    <w:p w14:paraId="4CDA44EA" w14:textId="77777777" w:rsidR="00BE2C1D" w:rsidRPr="00BE2C1D" w:rsidRDefault="00BE2C1D" w:rsidP="00BE2C1D">
      <w:pPr>
        <w:rPr>
          <w:rFonts w:ascii="Century Gothic" w:hAnsi="Century Gothic"/>
          <w:b/>
        </w:rPr>
      </w:pPr>
    </w:p>
    <w:p w14:paraId="6C92B4A6" w14:textId="77777777" w:rsidR="00BE2C1D" w:rsidRPr="00BE2C1D" w:rsidRDefault="00BE2C1D" w:rsidP="00BE2C1D">
      <w:pPr>
        <w:rPr>
          <w:rFonts w:ascii="Century Gothic" w:hAnsi="Century Gothic"/>
          <w:b/>
        </w:rPr>
      </w:pPr>
    </w:p>
    <w:p w14:paraId="532936DF" w14:textId="77777777" w:rsidR="00BE2C1D" w:rsidRPr="00BE2C1D" w:rsidRDefault="00BE2C1D" w:rsidP="00BE2C1D">
      <w:pPr>
        <w:rPr>
          <w:rFonts w:ascii="Century Gothic" w:hAnsi="Century Gothic"/>
          <w:b/>
        </w:rPr>
      </w:pPr>
    </w:p>
    <w:p w14:paraId="6F2AD882" w14:textId="77777777" w:rsidR="00BE2C1D" w:rsidRPr="00BE2C1D" w:rsidRDefault="00BE2C1D" w:rsidP="00BE2C1D">
      <w:pPr>
        <w:rPr>
          <w:rFonts w:ascii="Century Gothic" w:hAnsi="Century Gothic"/>
          <w:b/>
        </w:rPr>
      </w:pPr>
    </w:p>
    <w:p w14:paraId="59C0E8B6" w14:textId="77777777" w:rsidR="00BE2C1D" w:rsidRPr="00BE2C1D" w:rsidRDefault="00BE2C1D" w:rsidP="00BE2C1D">
      <w:pPr>
        <w:rPr>
          <w:rFonts w:ascii="Century Gothic" w:hAnsi="Century Gothic"/>
          <w:b/>
        </w:rPr>
      </w:pPr>
    </w:p>
    <w:p w14:paraId="58AC8720" w14:textId="77777777" w:rsidR="00BE2C1D" w:rsidRPr="00BE2C1D" w:rsidRDefault="00BE2C1D" w:rsidP="00BE2C1D">
      <w:pPr>
        <w:rPr>
          <w:rFonts w:ascii="Century Gothic" w:hAnsi="Century Gothic"/>
          <w:b/>
        </w:rPr>
      </w:pPr>
      <w:r w:rsidRPr="00BE2C1D">
        <w:rPr>
          <w:rFonts w:ascii="Century Gothic" w:hAnsi="Century Gothic"/>
          <w:b/>
        </w:rPr>
        <w:t>What are the possible disadvantages and risks of taking part?</w:t>
      </w:r>
    </w:p>
    <w:p w14:paraId="6DC8BDE0" w14:textId="77777777" w:rsidR="00BE2C1D" w:rsidRPr="00BE2C1D" w:rsidRDefault="00BE2C1D" w:rsidP="00BE2C1D">
      <w:pPr>
        <w:rPr>
          <w:rFonts w:ascii="Century Gothic" w:hAnsi="Century Gothic"/>
          <w:b/>
        </w:rPr>
      </w:pPr>
    </w:p>
    <w:p w14:paraId="49291FC1" w14:textId="77777777" w:rsidR="00BE2C1D" w:rsidRPr="00BE2C1D" w:rsidRDefault="00BE2C1D" w:rsidP="00BE2C1D">
      <w:pPr>
        <w:rPr>
          <w:rFonts w:ascii="Century Gothic" w:hAnsi="Century Gothic"/>
        </w:rPr>
      </w:pPr>
      <w:r w:rsidRPr="00BE2C1D">
        <w:rPr>
          <w:rFonts w:ascii="Century Gothic" w:hAnsi="Century Gothic"/>
          <w:noProof/>
          <w:lang w:eastAsia="en-GB"/>
        </w:rPr>
        <w:drawing>
          <wp:anchor distT="0" distB="0" distL="114300" distR="114300" simplePos="0" relativeHeight="251681792" behindDoc="0" locked="0" layoutInCell="1" allowOverlap="1" wp14:anchorId="006ED62C" wp14:editId="371AF90D">
            <wp:simplePos x="0" y="0"/>
            <wp:positionH relativeFrom="column">
              <wp:posOffset>10160</wp:posOffset>
            </wp:positionH>
            <wp:positionV relativeFrom="paragraph">
              <wp:posOffset>31750</wp:posOffset>
            </wp:positionV>
            <wp:extent cx="1205865" cy="935355"/>
            <wp:effectExtent l="25400" t="25400" r="13335" b="29845"/>
            <wp:wrapSquare wrapText="bothSides"/>
            <wp:docPr id="42" name="Picture 42" descr="Macintosh HD:Users:kirstyliddiard:Desktop:EASY READ image bank :risk+assess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Macintosh HD:Users:kirstyliddiard:Desktop:EASY READ image bank :risk+assessment.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205865" cy="935355"/>
                    </a:xfrm>
                    <a:prstGeom prst="rect">
                      <a:avLst/>
                    </a:prstGeom>
                    <a:noFill/>
                    <a:ln w="19050" cmpd="sng">
                      <a:solidFill>
                        <a:sysClr val="windowText" lastClr="000000"/>
                      </a:solidFill>
                    </a:ln>
                  </pic:spPr>
                </pic:pic>
              </a:graphicData>
            </a:graphic>
          </wp:anchor>
        </w:drawing>
      </w:r>
    </w:p>
    <w:p w14:paraId="49B3FFD0" w14:textId="77777777" w:rsidR="00BE2C1D" w:rsidRPr="00BE2C1D" w:rsidRDefault="00BE2C1D" w:rsidP="00BE2C1D">
      <w:pPr>
        <w:rPr>
          <w:rFonts w:ascii="Century Gothic" w:hAnsi="Century Gothic"/>
        </w:rPr>
      </w:pPr>
    </w:p>
    <w:p w14:paraId="19699A18" w14:textId="77777777" w:rsidR="00BE2C1D" w:rsidRPr="00BE2C1D" w:rsidRDefault="00BE2C1D" w:rsidP="00BE2C1D">
      <w:pPr>
        <w:rPr>
          <w:rFonts w:ascii="Century Gothic" w:hAnsi="Century Gothic"/>
        </w:rPr>
      </w:pPr>
      <w:r w:rsidRPr="00BE2C1D">
        <w:rPr>
          <w:rFonts w:ascii="Century Gothic" w:hAnsi="Century Gothic"/>
        </w:rPr>
        <w:t>I don’t see any serious disadvantages or risks in participating in Be-Coming Storytellers: Stories of Secondary Education.</w:t>
      </w:r>
    </w:p>
    <w:p w14:paraId="034941CC" w14:textId="77777777" w:rsidR="00BE2C1D" w:rsidRPr="00BE2C1D" w:rsidRDefault="00BE2C1D" w:rsidP="00BE2C1D">
      <w:pPr>
        <w:rPr>
          <w:rFonts w:ascii="Century Gothic" w:hAnsi="Century Gothic"/>
        </w:rPr>
      </w:pPr>
    </w:p>
    <w:p w14:paraId="2C6DCFA1" w14:textId="77777777" w:rsidR="00BE2C1D" w:rsidRPr="00BE2C1D" w:rsidRDefault="00BE2C1D" w:rsidP="00BE2C1D">
      <w:pPr>
        <w:rPr>
          <w:rFonts w:ascii="Century Gothic" w:hAnsi="Century Gothic"/>
        </w:rPr>
      </w:pPr>
    </w:p>
    <w:p w14:paraId="0BC326E4" w14:textId="77777777" w:rsidR="00BE2C1D" w:rsidRPr="00BE2C1D" w:rsidRDefault="00BE2C1D" w:rsidP="00BE2C1D">
      <w:pPr>
        <w:rPr>
          <w:rFonts w:ascii="Century Gothic" w:hAnsi="Century Gothic"/>
        </w:rPr>
      </w:pPr>
      <w:r w:rsidRPr="00BE2C1D">
        <w:rPr>
          <w:rFonts w:ascii="Century Gothic" w:hAnsi="Century Gothic"/>
          <w:noProof/>
          <w:lang w:eastAsia="en-GB"/>
        </w:rPr>
        <w:lastRenderedPageBreak/>
        <w:drawing>
          <wp:anchor distT="0" distB="0" distL="114300" distR="114300" simplePos="0" relativeHeight="251682816" behindDoc="0" locked="0" layoutInCell="1" allowOverlap="1" wp14:anchorId="20D141DD" wp14:editId="16D88DEF">
            <wp:simplePos x="0" y="0"/>
            <wp:positionH relativeFrom="column">
              <wp:posOffset>6350</wp:posOffset>
            </wp:positionH>
            <wp:positionV relativeFrom="paragraph">
              <wp:posOffset>119380</wp:posOffset>
            </wp:positionV>
            <wp:extent cx="857885" cy="956945"/>
            <wp:effectExtent l="0" t="0" r="5715" b="8255"/>
            <wp:wrapSquare wrapText="bothSides"/>
            <wp:docPr id="43" name="Picture 43" descr="Macintosh HD:Users:kirstyliddiard:Desktop:EASY READ image bank :Screen Shot 2015-11-08 at 15.40.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kirstyliddiard:Desktop:EASY READ image bank :Screen Shot 2015-11-08 at 15.40.59.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857885" cy="956945"/>
                    </a:xfrm>
                    <a:prstGeom prst="rect">
                      <a:avLst/>
                    </a:prstGeom>
                    <a:noFill/>
                    <a:ln>
                      <a:noFill/>
                    </a:ln>
                  </pic:spPr>
                </pic:pic>
              </a:graphicData>
            </a:graphic>
          </wp:anchor>
        </w:drawing>
      </w:r>
    </w:p>
    <w:p w14:paraId="58B7A350" w14:textId="77777777" w:rsidR="00BE2C1D" w:rsidRPr="00BE2C1D" w:rsidRDefault="00BE2C1D" w:rsidP="00BE2C1D">
      <w:pPr>
        <w:rPr>
          <w:rFonts w:ascii="Century Gothic" w:hAnsi="Century Gothic"/>
        </w:rPr>
      </w:pPr>
      <w:r w:rsidRPr="00BE2C1D">
        <w:rPr>
          <w:rFonts w:ascii="Century Gothic" w:hAnsi="Century Gothic"/>
        </w:rPr>
        <w:t>However, sometimes thinking about our lives can be upsetting or sad. You might also feel sad for other young people and their stories.</w:t>
      </w:r>
    </w:p>
    <w:p w14:paraId="18010D88" w14:textId="77777777" w:rsidR="00BE2C1D" w:rsidRPr="00BE2C1D" w:rsidRDefault="00BE2C1D" w:rsidP="00BE2C1D">
      <w:pPr>
        <w:rPr>
          <w:rFonts w:ascii="Century Gothic" w:hAnsi="Century Gothic"/>
        </w:rPr>
      </w:pPr>
    </w:p>
    <w:p w14:paraId="7B70C93C" w14:textId="77777777" w:rsidR="00BE2C1D" w:rsidRPr="00BE2C1D" w:rsidRDefault="00BE2C1D" w:rsidP="00BE2C1D">
      <w:pPr>
        <w:rPr>
          <w:rFonts w:ascii="Century Gothic" w:hAnsi="Century Gothic"/>
        </w:rPr>
      </w:pPr>
    </w:p>
    <w:p w14:paraId="30E4F0CB" w14:textId="77777777" w:rsidR="00BE2C1D" w:rsidRPr="00BE2C1D" w:rsidRDefault="00BE2C1D" w:rsidP="00BE2C1D">
      <w:pPr>
        <w:rPr>
          <w:rFonts w:ascii="Century Gothic" w:hAnsi="Century Gothic"/>
        </w:rPr>
      </w:pPr>
    </w:p>
    <w:p w14:paraId="59F66819" w14:textId="77777777" w:rsidR="00BE2C1D" w:rsidRPr="00BE2C1D" w:rsidRDefault="00BE2C1D" w:rsidP="00BE2C1D">
      <w:pPr>
        <w:rPr>
          <w:rFonts w:ascii="Century Gothic" w:hAnsi="Century Gothic"/>
        </w:rPr>
      </w:pPr>
    </w:p>
    <w:p w14:paraId="5D046471" w14:textId="77777777" w:rsidR="00BE2C1D" w:rsidRPr="00BE2C1D" w:rsidRDefault="00BE2C1D" w:rsidP="00BE2C1D">
      <w:pPr>
        <w:rPr>
          <w:rFonts w:ascii="Century Gothic" w:hAnsi="Century Gothic"/>
        </w:rPr>
      </w:pPr>
      <w:r w:rsidRPr="00BE2C1D">
        <w:rPr>
          <w:rFonts w:ascii="Century Gothic" w:hAnsi="Century Gothic"/>
          <w:noProof/>
          <w:lang w:eastAsia="en-GB"/>
        </w:rPr>
        <w:drawing>
          <wp:anchor distT="0" distB="0" distL="114300" distR="114300" simplePos="0" relativeHeight="251683840" behindDoc="0" locked="0" layoutInCell="1" allowOverlap="1" wp14:anchorId="0CC9CAB7" wp14:editId="34728D7F">
            <wp:simplePos x="0" y="0"/>
            <wp:positionH relativeFrom="column">
              <wp:posOffset>38100</wp:posOffset>
            </wp:positionH>
            <wp:positionV relativeFrom="paragraph">
              <wp:posOffset>-88265</wp:posOffset>
            </wp:positionV>
            <wp:extent cx="1097280" cy="1029335"/>
            <wp:effectExtent l="25400" t="25400" r="20320" b="37465"/>
            <wp:wrapSquare wrapText="bothSides"/>
            <wp:docPr id="44" name="Picture 44" descr="Macintosh HD:Users:kirstyliddiard:Desktop:EASY READ image bank :teamwo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Macintosh HD:Users:kirstyliddiard:Desktop:EASY READ image bank :teamwork.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097280" cy="1029335"/>
                    </a:xfrm>
                    <a:prstGeom prst="rect">
                      <a:avLst/>
                    </a:prstGeom>
                    <a:noFill/>
                    <a:ln w="19050" cmpd="sng">
                      <a:solidFill>
                        <a:sysClr val="windowText" lastClr="000000"/>
                      </a:solidFill>
                    </a:ln>
                  </pic:spPr>
                </pic:pic>
              </a:graphicData>
            </a:graphic>
          </wp:anchor>
        </w:drawing>
      </w:r>
    </w:p>
    <w:p w14:paraId="0C8E2955" w14:textId="77777777" w:rsidR="00BE2C1D" w:rsidRPr="00BE2C1D" w:rsidRDefault="00BE2C1D" w:rsidP="00BE2C1D">
      <w:pPr>
        <w:rPr>
          <w:rFonts w:ascii="Century Gothic" w:hAnsi="Century Gothic"/>
        </w:rPr>
      </w:pPr>
      <w:r w:rsidRPr="00BE2C1D">
        <w:rPr>
          <w:rFonts w:ascii="Century Gothic" w:hAnsi="Century Gothic"/>
        </w:rPr>
        <w:t>However, you will be in a supportive, friendly environment.</w:t>
      </w:r>
    </w:p>
    <w:p w14:paraId="44D45308" w14:textId="77777777" w:rsidR="00BE2C1D" w:rsidRPr="00BE2C1D" w:rsidRDefault="00BE2C1D" w:rsidP="00BE2C1D">
      <w:pPr>
        <w:rPr>
          <w:rFonts w:ascii="Century Gothic" w:hAnsi="Century Gothic"/>
        </w:rPr>
      </w:pPr>
    </w:p>
    <w:p w14:paraId="208239BE" w14:textId="77777777" w:rsidR="00BE2C1D" w:rsidRPr="00BE2C1D" w:rsidRDefault="00BE2C1D" w:rsidP="00BE2C1D">
      <w:pPr>
        <w:rPr>
          <w:rFonts w:ascii="Century Gothic" w:hAnsi="Century Gothic"/>
        </w:rPr>
      </w:pPr>
    </w:p>
    <w:p w14:paraId="3EEDEDB6" w14:textId="77777777" w:rsidR="00BE2C1D" w:rsidRPr="00BE2C1D" w:rsidRDefault="00BE2C1D" w:rsidP="00BE2C1D">
      <w:pPr>
        <w:rPr>
          <w:rFonts w:ascii="Century Gothic" w:hAnsi="Century Gothic"/>
        </w:rPr>
      </w:pPr>
    </w:p>
    <w:p w14:paraId="48C54817" w14:textId="77777777" w:rsidR="00BE2C1D" w:rsidRPr="00BE2C1D" w:rsidRDefault="00BE2C1D" w:rsidP="00BE2C1D">
      <w:pPr>
        <w:rPr>
          <w:rFonts w:ascii="Century Gothic" w:hAnsi="Century Gothic"/>
        </w:rPr>
      </w:pPr>
      <w:r w:rsidRPr="00BE2C1D">
        <w:rPr>
          <w:rFonts w:ascii="Century Gothic" w:hAnsi="Century Gothic"/>
          <w:noProof/>
          <w:lang w:eastAsia="en-GB"/>
        </w:rPr>
        <w:drawing>
          <wp:anchor distT="0" distB="0" distL="114300" distR="114300" simplePos="0" relativeHeight="251702272" behindDoc="0" locked="0" layoutInCell="1" allowOverlap="1" wp14:anchorId="29AB11C3" wp14:editId="22D52A67">
            <wp:simplePos x="0" y="0"/>
            <wp:positionH relativeFrom="column">
              <wp:posOffset>40005</wp:posOffset>
            </wp:positionH>
            <wp:positionV relativeFrom="paragraph">
              <wp:posOffset>82550</wp:posOffset>
            </wp:positionV>
            <wp:extent cx="975360" cy="975360"/>
            <wp:effectExtent l="0" t="0" r="0" b="0"/>
            <wp:wrapSquare wrapText="bothSides"/>
            <wp:docPr id="87" name="Picture 87" descr="Macintosh HD:Users:kirstyliddiard:Desktop:EASY READ image bank :ti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kirstyliddiard:Desktop:EASY READ image bank :time.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975360" cy="975360"/>
                    </a:xfrm>
                    <a:prstGeom prst="rect">
                      <a:avLst/>
                    </a:prstGeom>
                    <a:noFill/>
                    <a:ln>
                      <a:noFill/>
                    </a:ln>
                  </pic:spPr>
                </pic:pic>
              </a:graphicData>
            </a:graphic>
          </wp:anchor>
        </w:drawing>
      </w:r>
    </w:p>
    <w:p w14:paraId="536B868D" w14:textId="77777777" w:rsidR="00BE2C1D" w:rsidRPr="00BE2C1D" w:rsidRDefault="00BE2C1D" w:rsidP="00BE2C1D">
      <w:pPr>
        <w:rPr>
          <w:rFonts w:ascii="Century Gothic" w:hAnsi="Century Gothic"/>
        </w:rPr>
      </w:pPr>
      <w:r w:rsidRPr="00BE2C1D">
        <w:rPr>
          <w:rFonts w:ascii="Century Gothic" w:hAnsi="Century Gothic"/>
        </w:rPr>
        <w:t>You can take time out whenever you wish.</w:t>
      </w:r>
    </w:p>
    <w:p w14:paraId="5F15B426" w14:textId="77777777" w:rsidR="00BE2C1D" w:rsidRPr="00BE2C1D" w:rsidRDefault="00BE2C1D" w:rsidP="00BE2C1D">
      <w:pPr>
        <w:rPr>
          <w:rFonts w:ascii="Century Gothic" w:hAnsi="Century Gothic"/>
          <w:color w:val="FF0000"/>
        </w:rPr>
      </w:pPr>
    </w:p>
    <w:p w14:paraId="5EAD0958" w14:textId="77777777" w:rsidR="00BE2C1D" w:rsidRPr="00BE2C1D" w:rsidRDefault="00BE2C1D" w:rsidP="00BE2C1D">
      <w:pPr>
        <w:rPr>
          <w:rFonts w:ascii="Century Gothic" w:hAnsi="Century Gothic"/>
          <w:b/>
        </w:rPr>
      </w:pPr>
    </w:p>
    <w:p w14:paraId="2F4C5241" w14:textId="77777777" w:rsidR="00BE2C1D" w:rsidRPr="00BE2C1D" w:rsidRDefault="00BE2C1D" w:rsidP="00BE2C1D">
      <w:pPr>
        <w:rPr>
          <w:rFonts w:ascii="Century Gothic" w:hAnsi="Century Gothic"/>
          <w:b/>
        </w:rPr>
      </w:pPr>
    </w:p>
    <w:p w14:paraId="1DFC66ED" w14:textId="77777777" w:rsidR="00BE2C1D" w:rsidRPr="00BE2C1D" w:rsidRDefault="00BE2C1D" w:rsidP="00BE2C1D">
      <w:pPr>
        <w:rPr>
          <w:rFonts w:ascii="Century Gothic" w:hAnsi="Century Gothic"/>
          <w:b/>
        </w:rPr>
      </w:pPr>
    </w:p>
    <w:p w14:paraId="7705475E" w14:textId="77777777" w:rsidR="00BE2C1D" w:rsidRPr="00BE2C1D" w:rsidRDefault="00BE2C1D" w:rsidP="00BE2C1D">
      <w:pPr>
        <w:rPr>
          <w:rFonts w:ascii="Century Gothic" w:hAnsi="Century Gothic"/>
          <w:b/>
        </w:rPr>
      </w:pPr>
    </w:p>
    <w:p w14:paraId="208FE6F9" w14:textId="77777777" w:rsidR="00BE2C1D" w:rsidRPr="00BE2C1D" w:rsidRDefault="00BE2C1D" w:rsidP="00BE2C1D">
      <w:pPr>
        <w:rPr>
          <w:rFonts w:ascii="Century Gothic" w:hAnsi="Century Gothic"/>
          <w:b/>
        </w:rPr>
      </w:pPr>
    </w:p>
    <w:p w14:paraId="4B9CA1D1" w14:textId="77777777" w:rsidR="00BE2C1D" w:rsidRPr="00BE2C1D" w:rsidRDefault="00BE2C1D" w:rsidP="00BE2C1D">
      <w:pPr>
        <w:rPr>
          <w:rFonts w:ascii="Century Gothic" w:hAnsi="Century Gothic"/>
          <w:b/>
        </w:rPr>
      </w:pPr>
      <w:r w:rsidRPr="00BE2C1D">
        <w:rPr>
          <w:rFonts w:ascii="Century Gothic" w:hAnsi="Century Gothic"/>
          <w:b/>
        </w:rPr>
        <w:t>What are the possible benefits of taking part?</w:t>
      </w:r>
    </w:p>
    <w:p w14:paraId="52F8B414" w14:textId="77777777" w:rsidR="00BE2C1D" w:rsidRPr="00BE2C1D" w:rsidRDefault="00BE2C1D" w:rsidP="00BE2C1D">
      <w:pPr>
        <w:rPr>
          <w:rFonts w:ascii="Century Gothic" w:hAnsi="Century Gothic"/>
          <w:b/>
        </w:rPr>
      </w:pPr>
      <w:r w:rsidRPr="00BE2C1D">
        <w:rPr>
          <w:rFonts w:ascii="Century Gothic" w:hAnsi="Century Gothic"/>
          <w:noProof/>
          <w:lang w:eastAsia="en-GB"/>
        </w:rPr>
        <w:drawing>
          <wp:anchor distT="0" distB="0" distL="114300" distR="114300" simplePos="0" relativeHeight="251684864" behindDoc="0" locked="0" layoutInCell="1" allowOverlap="1" wp14:anchorId="66C86C9C" wp14:editId="31FB898B">
            <wp:simplePos x="0" y="0"/>
            <wp:positionH relativeFrom="column">
              <wp:posOffset>31115</wp:posOffset>
            </wp:positionH>
            <wp:positionV relativeFrom="paragraph">
              <wp:posOffset>173355</wp:posOffset>
            </wp:positionV>
            <wp:extent cx="1075690" cy="1070610"/>
            <wp:effectExtent l="0" t="0" r="0" b="0"/>
            <wp:wrapSquare wrapText="bothSides"/>
            <wp:docPr id="45" name="Picture 45" descr="Macintosh HD:Users:kirstyliddiard:Desktop:EASY READ image bank :Screen Shot 2015-11-08 at 15.45.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Macintosh HD:Users:kirstyliddiard:Desktop:EASY READ image bank :Screen Shot 2015-11-08 at 15.45.00.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075690" cy="1070610"/>
                    </a:xfrm>
                    <a:prstGeom prst="rect">
                      <a:avLst/>
                    </a:prstGeom>
                    <a:noFill/>
                    <a:ln>
                      <a:noFill/>
                    </a:ln>
                  </pic:spPr>
                </pic:pic>
              </a:graphicData>
            </a:graphic>
          </wp:anchor>
        </w:drawing>
      </w:r>
    </w:p>
    <w:p w14:paraId="2A214559" w14:textId="77777777" w:rsidR="00BE2C1D" w:rsidRPr="00BE2C1D" w:rsidRDefault="00BE2C1D" w:rsidP="00BE2C1D">
      <w:pPr>
        <w:rPr>
          <w:rFonts w:ascii="Century Gothic" w:hAnsi="Century Gothic"/>
        </w:rPr>
      </w:pPr>
    </w:p>
    <w:p w14:paraId="596E3841" w14:textId="77777777" w:rsidR="00BE2C1D" w:rsidRPr="00BE2C1D" w:rsidRDefault="00BE2C1D" w:rsidP="00BE2C1D">
      <w:pPr>
        <w:rPr>
          <w:rFonts w:ascii="Century Gothic" w:hAnsi="Century Gothic"/>
        </w:rPr>
      </w:pPr>
      <w:r w:rsidRPr="00BE2C1D">
        <w:rPr>
          <w:rFonts w:ascii="Century Gothic" w:hAnsi="Century Gothic"/>
        </w:rPr>
        <w:t>Having the chance to use your creativity in storytelling and to share your stories as well as to listen to other young people’s stories.</w:t>
      </w:r>
    </w:p>
    <w:p w14:paraId="7470F60B" w14:textId="77777777" w:rsidR="00BE2C1D" w:rsidRPr="00BE2C1D" w:rsidRDefault="00BE2C1D" w:rsidP="00BE2C1D">
      <w:pPr>
        <w:rPr>
          <w:rFonts w:ascii="Century Gothic" w:hAnsi="Century Gothic"/>
        </w:rPr>
      </w:pPr>
    </w:p>
    <w:p w14:paraId="2C9BFB6F" w14:textId="77777777" w:rsidR="00BE2C1D" w:rsidRPr="00BE2C1D" w:rsidRDefault="00BE2C1D" w:rsidP="00BE2C1D">
      <w:pPr>
        <w:rPr>
          <w:rFonts w:ascii="Century Gothic" w:hAnsi="Century Gothic"/>
        </w:rPr>
      </w:pPr>
    </w:p>
    <w:p w14:paraId="7709997A" w14:textId="77777777" w:rsidR="00BE2C1D" w:rsidRPr="00BE2C1D" w:rsidRDefault="00BE2C1D" w:rsidP="00BE2C1D">
      <w:pPr>
        <w:rPr>
          <w:rFonts w:ascii="Century Gothic" w:hAnsi="Century Gothic"/>
        </w:rPr>
      </w:pPr>
    </w:p>
    <w:p w14:paraId="4651DA73" w14:textId="77777777" w:rsidR="00BE2C1D" w:rsidRPr="00BE2C1D" w:rsidRDefault="00BE2C1D" w:rsidP="00BE2C1D">
      <w:pPr>
        <w:rPr>
          <w:rFonts w:ascii="Century Gothic" w:hAnsi="Century Gothic"/>
        </w:rPr>
      </w:pPr>
      <w:r w:rsidRPr="00BE2C1D">
        <w:rPr>
          <w:rFonts w:ascii="Century Gothic" w:hAnsi="Century Gothic"/>
          <w:noProof/>
          <w:lang w:eastAsia="en-GB"/>
        </w:rPr>
        <w:lastRenderedPageBreak/>
        <w:drawing>
          <wp:anchor distT="0" distB="0" distL="114300" distR="114300" simplePos="0" relativeHeight="251686912" behindDoc="0" locked="0" layoutInCell="1" allowOverlap="1" wp14:anchorId="19D8706A" wp14:editId="1F5D60F6">
            <wp:simplePos x="0" y="0"/>
            <wp:positionH relativeFrom="column">
              <wp:posOffset>37465</wp:posOffset>
            </wp:positionH>
            <wp:positionV relativeFrom="paragraph">
              <wp:posOffset>52070</wp:posOffset>
            </wp:positionV>
            <wp:extent cx="927735" cy="927735"/>
            <wp:effectExtent l="0" t="0" r="12065" b="12065"/>
            <wp:wrapSquare wrapText="bothSides"/>
            <wp:docPr id="47" name="Picture 47" descr="Macintosh HD:Users:kirstyliddiard:Desktop:EASY READ image bank :things-to-do-V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Macintosh HD:Users:kirstyliddiard:Desktop:EASY READ image bank :things-to-do-V3.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927735" cy="927735"/>
                    </a:xfrm>
                    <a:prstGeom prst="rect">
                      <a:avLst/>
                    </a:prstGeom>
                    <a:noFill/>
                    <a:ln>
                      <a:noFill/>
                    </a:ln>
                  </pic:spPr>
                </pic:pic>
              </a:graphicData>
            </a:graphic>
          </wp:anchor>
        </w:drawing>
      </w:r>
    </w:p>
    <w:p w14:paraId="4D3654CE" w14:textId="77777777" w:rsidR="00BE2C1D" w:rsidRPr="00BE2C1D" w:rsidRDefault="00BE2C1D" w:rsidP="00BE2C1D">
      <w:pPr>
        <w:rPr>
          <w:rFonts w:ascii="Century Gothic" w:hAnsi="Century Gothic"/>
        </w:rPr>
      </w:pPr>
      <w:r w:rsidRPr="00BE2C1D">
        <w:rPr>
          <w:rFonts w:ascii="Century Gothic" w:hAnsi="Century Gothic"/>
        </w:rPr>
        <w:t>You might also gain technical, digital and artistic skills…</w:t>
      </w:r>
    </w:p>
    <w:p w14:paraId="3860334F" w14:textId="77777777" w:rsidR="00BE2C1D" w:rsidRPr="00BE2C1D" w:rsidRDefault="00BE2C1D" w:rsidP="00BE2C1D">
      <w:pPr>
        <w:rPr>
          <w:rFonts w:ascii="Century Gothic" w:hAnsi="Century Gothic"/>
        </w:rPr>
      </w:pPr>
    </w:p>
    <w:p w14:paraId="5D9D3AAF" w14:textId="77777777" w:rsidR="00BE2C1D" w:rsidRPr="00BE2C1D" w:rsidRDefault="00BE2C1D" w:rsidP="00BE2C1D">
      <w:pPr>
        <w:rPr>
          <w:rFonts w:ascii="Century Gothic" w:hAnsi="Century Gothic"/>
        </w:rPr>
      </w:pPr>
    </w:p>
    <w:p w14:paraId="73E1355F" w14:textId="77777777" w:rsidR="00BE2C1D" w:rsidRPr="00BE2C1D" w:rsidRDefault="00BE2C1D" w:rsidP="00BE2C1D">
      <w:pPr>
        <w:rPr>
          <w:rFonts w:ascii="Century Gothic" w:hAnsi="Century Gothic"/>
        </w:rPr>
      </w:pPr>
    </w:p>
    <w:p w14:paraId="21C969A3" w14:textId="77777777" w:rsidR="00BE2C1D" w:rsidRPr="00BE2C1D" w:rsidRDefault="00BE2C1D" w:rsidP="00BE2C1D">
      <w:pPr>
        <w:rPr>
          <w:rFonts w:ascii="Century Gothic" w:hAnsi="Century Gothic"/>
        </w:rPr>
      </w:pPr>
    </w:p>
    <w:p w14:paraId="46E649E3" w14:textId="77777777" w:rsidR="00BE2C1D" w:rsidRPr="00BE2C1D" w:rsidRDefault="00BE2C1D" w:rsidP="00BE2C1D">
      <w:pPr>
        <w:rPr>
          <w:rFonts w:ascii="Century Gothic" w:hAnsi="Century Gothic"/>
        </w:rPr>
      </w:pPr>
    </w:p>
    <w:p w14:paraId="0BAD61BC" w14:textId="77777777" w:rsidR="00BE2C1D" w:rsidRPr="00BE2C1D" w:rsidRDefault="00BE2C1D" w:rsidP="00BE2C1D">
      <w:pPr>
        <w:rPr>
          <w:rFonts w:ascii="Century Gothic" w:hAnsi="Century Gothic"/>
        </w:rPr>
      </w:pPr>
    </w:p>
    <w:p w14:paraId="158B1BBA" w14:textId="77777777" w:rsidR="00BE2C1D" w:rsidRPr="00BE2C1D" w:rsidRDefault="00BE2C1D" w:rsidP="00BE2C1D">
      <w:pPr>
        <w:rPr>
          <w:rFonts w:ascii="Century Gothic" w:hAnsi="Century Gothic"/>
        </w:rPr>
      </w:pPr>
    </w:p>
    <w:p w14:paraId="14B36B6A" w14:textId="77777777" w:rsidR="00BE2C1D" w:rsidRPr="00BE2C1D" w:rsidRDefault="00BE2C1D" w:rsidP="00BE2C1D">
      <w:pPr>
        <w:rPr>
          <w:rFonts w:ascii="Century Gothic" w:hAnsi="Century Gothic"/>
        </w:rPr>
      </w:pPr>
    </w:p>
    <w:p w14:paraId="422C87DE" w14:textId="77777777" w:rsidR="00BE2C1D" w:rsidRPr="00BE2C1D" w:rsidRDefault="00BE2C1D" w:rsidP="00BE2C1D">
      <w:pPr>
        <w:rPr>
          <w:rFonts w:ascii="Century Gothic" w:hAnsi="Century Gothic"/>
        </w:rPr>
      </w:pPr>
      <w:r w:rsidRPr="00BE2C1D">
        <w:rPr>
          <w:rFonts w:ascii="Century Gothic" w:hAnsi="Century Gothic"/>
          <w:noProof/>
          <w:lang w:eastAsia="en-GB"/>
        </w:rPr>
        <w:drawing>
          <wp:anchor distT="0" distB="0" distL="114300" distR="114300" simplePos="0" relativeHeight="251685888" behindDoc="0" locked="0" layoutInCell="1" allowOverlap="1" wp14:anchorId="5C5D77A9" wp14:editId="08C47460">
            <wp:simplePos x="0" y="0"/>
            <wp:positionH relativeFrom="column">
              <wp:posOffset>-504825</wp:posOffset>
            </wp:positionH>
            <wp:positionV relativeFrom="paragraph">
              <wp:posOffset>-759460</wp:posOffset>
            </wp:positionV>
            <wp:extent cx="1047750" cy="1047750"/>
            <wp:effectExtent l="19050" t="0" r="0" b="0"/>
            <wp:wrapSquare wrapText="bothSides"/>
            <wp:docPr id="46" name="Picture 46" descr="Macintosh HD:Users:kirstyliddiard:Desktop:EASY READ image bank :meeting-peop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Macintosh HD:Users:kirstyliddiard:Desktop:EASY READ image bank :meeting-people.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047750" cy="1047750"/>
                    </a:xfrm>
                    <a:prstGeom prst="rect">
                      <a:avLst/>
                    </a:prstGeom>
                    <a:noFill/>
                    <a:ln>
                      <a:noFill/>
                    </a:ln>
                  </pic:spPr>
                </pic:pic>
              </a:graphicData>
            </a:graphic>
          </wp:anchor>
        </w:drawing>
      </w:r>
    </w:p>
    <w:p w14:paraId="416518A1" w14:textId="77777777" w:rsidR="00BE2C1D" w:rsidRPr="00BE2C1D" w:rsidRDefault="00BE2C1D" w:rsidP="00BE2C1D">
      <w:pPr>
        <w:rPr>
          <w:rFonts w:ascii="Century Gothic" w:hAnsi="Century Gothic"/>
        </w:rPr>
      </w:pPr>
      <w:r w:rsidRPr="00BE2C1D">
        <w:rPr>
          <w:rFonts w:ascii="Century Gothic" w:hAnsi="Century Gothic"/>
        </w:rPr>
        <w:t xml:space="preserve">     …and build confidence and self-esteem…</w:t>
      </w:r>
    </w:p>
    <w:p w14:paraId="5E6EAF2E" w14:textId="77777777" w:rsidR="00BE2C1D" w:rsidRPr="00BE2C1D" w:rsidRDefault="00BE2C1D" w:rsidP="00BE2C1D">
      <w:pPr>
        <w:rPr>
          <w:rFonts w:ascii="Century Gothic" w:hAnsi="Century Gothic"/>
        </w:rPr>
      </w:pPr>
    </w:p>
    <w:p w14:paraId="5743579E" w14:textId="77777777" w:rsidR="00BE2C1D" w:rsidRPr="00BE2C1D" w:rsidRDefault="00BE2C1D" w:rsidP="00BE2C1D">
      <w:pPr>
        <w:rPr>
          <w:rFonts w:ascii="Century Gothic" w:hAnsi="Century Gothic"/>
        </w:rPr>
      </w:pPr>
    </w:p>
    <w:p w14:paraId="4D85356B" w14:textId="77777777" w:rsidR="00BE2C1D" w:rsidRPr="00BE2C1D" w:rsidRDefault="00BE2C1D" w:rsidP="00BE2C1D">
      <w:pPr>
        <w:rPr>
          <w:rFonts w:ascii="Century Gothic" w:hAnsi="Century Gothic"/>
        </w:rPr>
      </w:pPr>
      <w:r w:rsidRPr="00BE2C1D">
        <w:rPr>
          <w:rFonts w:ascii="Century Gothic" w:hAnsi="Century Gothic"/>
          <w:noProof/>
          <w:lang w:eastAsia="en-GB"/>
        </w:rPr>
        <w:drawing>
          <wp:anchor distT="0" distB="0" distL="114300" distR="114300" simplePos="0" relativeHeight="251687936" behindDoc="0" locked="0" layoutInCell="1" allowOverlap="1" wp14:anchorId="73B14284" wp14:editId="7251B245">
            <wp:simplePos x="0" y="0"/>
            <wp:positionH relativeFrom="column">
              <wp:posOffset>-11430</wp:posOffset>
            </wp:positionH>
            <wp:positionV relativeFrom="paragraph">
              <wp:posOffset>142875</wp:posOffset>
            </wp:positionV>
            <wp:extent cx="1629410" cy="782955"/>
            <wp:effectExtent l="25400" t="25400" r="21590" b="29845"/>
            <wp:wrapSquare wrapText="bothSides"/>
            <wp:docPr id="48" name="Picture 48" descr="Macintosh HD:Users:kirstyliddiard:Desktop:EASY READ image bank :friendly-frien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Macintosh HD:Users:kirstyliddiard:Desktop:EASY READ image bank :friendly-friends.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629410" cy="782955"/>
                    </a:xfrm>
                    <a:prstGeom prst="rect">
                      <a:avLst/>
                    </a:prstGeom>
                    <a:noFill/>
                    <a:ln w="19050" cmpd="sng">
                      <a:solidFill>
                        <a:sysClr val="windowText" lastClr="000000"/>
                      </a:solidFill>
                    </a:ln>
                  </pic:spPr>
                </pic:pic>
              </a:graphicData>
            </a:graphic>
          </wp:anchor>
        </w:drawing>
      </w:r>
    </w:p>
    <w:p w14:paraId="0A5F2EBA" w14:textId="77777777" w:rsidR="00BE2C1D" w:rsidRPr="00BE2C1D" w:rsidRDefault="00BE2C1D" w:rsidP="00BE2C1D">
      <w:pPr>
        <w:rPr>
          <w:rFonts w:ascii="Century Gothic" w:hAnsi="Century Gothic"/>
        </w:rPr>
      </w:pPr>
    </w:p>
    <w:p w14:paraId="00905BC8" w14:textId="77777777" w:rsidR="00BE2C1D" w:rsidRPr="00BE2C1D" w:rsidRDefault="00BE2C1D" w:rsidP="00BE2C1D">
      <w:pPr>
        <w:rPr>
          <w:rFonts w:ascii="Century Gothic" w:hAnsi="Century Gothic"/>
        </w:rPr>
      </w:pPr>
      <w:r w:rsidRPr="00BE2C1D">
        <w:rPr>
          <w:rFonts w:ascii="Century Gothic" w:hAnsi="Century Gothic"/>
        </w:rPr>
        <w:t>…and make friends….</w:t>
      </w:r>
    </w:p>
    <w:p w14:paraId="3D1DC2B3" w14:textId="77777777" w:rsidR="00BE2C1D" w:rsidRPr="00BE2C1D" w:rsidRDefault="00BE2C1D" w:rsidP="00BE2C1D">
      <w:pPr>
        <w:rPr>
          <w:rFonts w:ascii="Century Gothic" w:hAnsi="Century Gothic"/>
        </w:rPr>
      </w:pPr>
    </w:p>
    <w:p w14:paraId="39C32BF7" w14:textId="77777777" w:rsidR="00BE2C1D" w:rsidRPr="00BE2C1D" w:rsidRDefault="00BE2C1D" w:rsidP="00BE2C1D">
      <w:pPr>
        <w:rPr>
          <w:rFonts w:ascii="Century Gothic" w:hAnsi="Century Gothic"/>
        </w:rPr>
      </w:pPr>
    </w:p>
    <w:p w14:paraId="0F7A66FE" w14:textId="77777777" w:rsidR="00BE2C1D" w:rsidRPr="00BE2C1D" w:rsidRDefault="00BE2C1D" w:rsidP="00BE2C1D">
      <w:pPr>
        <w:rPr>
          <w:rFonts w:ascii="Century Gothic" w:hAnsi="Century Gothic"/>
        </w:rPr>
      </w:pPr>
    </w:p>
    <w:p w14:paraId="65CDE3F4" w14:textId="77777777" w:rsidR="00BE2C1D" w:rsidRPr="00BE2C1D" w:rsidRDefault="00BE2C1D" w:rsidP="00BE2C1D">
      <w:pPr>
        <w:rPr>
          <w:rFonts w:ascii="Century Gothic" w:hAnsi="Century Gothic"/>
        </w:rPr>
      </w:pPr>
      <w:r w:rsidRPr="00BE2C1D">
        <w:rPr>
          <w:rFonts w:ascii="Century Gothic" w:hAnsi="Century Gothic"/>
          <w:noProof/>
          <w:lang w:eastAsia="en-GB"/>
        </w:rPr>
        <w:drawing>
          <wp:inline distT="0" distB="0" distL="0" distR="0" wp14:anchorId="4330E5B2" wp14:editId="45E8B568">
            <wp:extent cx="1371600" cy="1352550"/>
            <wp:effectExtent l="19050" t="0" r="0" b="0"/>
            <wp:docPr id="88" name="Picture 3" descr="C:\Users\MediaMarkt2-PC\Desktop\41721908-school-building-carto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ediaMarkt2-PC\Desktop\41721908-school-building-cartoon.jpg"/>
                    <pic:cNvPicPr>
                      <a:picLocks noChangeAspect="1" noChangeArrowheads="1"/>
                    </pic:cNvPicPr>
                  </pic:nvPicPr>
                  <pic:blipFill>
                    <a:blip r:embed="rId64" cstate="print"/>
                    <a:srcRect/>
                    <a:stretch>
                      <a:fillRect/>
                    </a:stretch>
                  </pic:blipFill>
                  <pic:spPr bwMode="auto">
                    <a:xfrm>
                      <a:off x="0" y="0"/>
                      <a:ext cx="1371600" cy="1352550"/>
                    </a:xfrm>
                    <a:prstGeom prst="rect">
                      <a:avLst/>
                    </a:prstGeom>
                    <a:noFill/>
                    <a:ln w="9525">
                      <a:noFill/>
                      <a:miter lim="800000"/>
                      <a:headEnd/>
                      <a:tailEnd/>
                    </a:ln>
                  </pic:spPr>
                </pic:pic>
              </a:graphicData>
            </a:graphic>
          </wp:inline>
        </w:drawing>
      </w:r>
      <w:r w:rsidRPr="00BE2C1D">
        <w:rPr>
          <w:rFonts w:ascii="Century Gothic" w:hAnsi="Century Gothic"/>
        </w:rPr>
        <w:t>…..and make schools a better place for everyone!</w:t>
      </w:r>
    </w:p>
    <w:p w14:paraId="26AF04FF" w14:textId="77777777" w:rsidR="00BE2C1D" w:rsidRPr="00BE2C1D" w:rsidRDefault="00BE2C1D" w:rsidP="00BE2C1D">
      <w:pPr>
        <w:rPr>
          <w:rFonts w:ascii="Century Gothic" w:hAnsi="Century Gothic"/>
          <w:b/>
        </w:rPr>
      </w:pPr>
    </w:p>
    <w:p w14:paraId="235F800F" w14:textId="77777777" w:rsidR="00BE2C1D" w:rsidRPr="00BE2C1D" w:rsidRDefault="00BE2C1D" w:rsidP="00BE2C1D">
      <w:pPr>
        <w:rPr>
          <w:rFonts w:ascii="Century Gothic" w:hAnsi="Century Gothic"/>
          <w:b/>
        </w:rPr>
      </w:pPr>
    </w:p>
    <w:p w14:paraId="21C075A0" w14:textId="77777777" w:rsidR="00BE2C1D" w:rsidRPr="00BE2C1D" w:rsidRDefault="00BE2C1D" w:rsidP="00BE2C1D">
      <w:pPr>
        <w:rPr>
          <w:rFonts w:ascii="Century Gothic" w:hAnsi="Century Gothic"/>
          <w:b/>
        </w:rPr>
      </w:pPr>
      <w:r w:rsidRPr="00BE2C1D">
        <w:rPr>
          <w:rFonts w:ascii="Century Gothic" w:hAnsi="Century Gothic"/>
          <w:b/>
        </w:rPr>
        <w:t>What if something goes wrong?</w:t>
      </w:r>
    </w:p>
    <w:p w14:paraId="6F6D3B1C" w14:textId="77777777" w:rsidR="00BE2C1D" w:rsidRPr="00BE2C1D" w:rsidRDefault="00BE2C1D" w:rsidP="00BE2C1D">
      <w:pPr>
        <w:rPr>
          <w:rFonts w:ascii="Century Gothic" w:hAnsi="Century Gothic"/>
        </w:rPr>
      </w:pPr>
    </w:p>
    <w:p w14:paraId="4C81A605" w14:textId="77777777" w:rsidR="00BE2C1D" w:rsidRPr="00BE2C1D" w:rsidRDefault="00BE2C1D" w:rsidP="00BE2C1D">
      <w:pPr>
        <w:rPr>
          <w:rFonts w:ascii="Century Gothic" w:hAnsi="Century Gothic"/>
        </w:rPr>
      </w:pPr>
      <w:r w:rsidRPr="00BE2C1D">
        <w:rPr>
          <w:rFonts w:ascii="Century Gothic" w:hAnsi="Century Gothic"/>
          <w:noProof/>
          <w:lang w:eastAsia="en-GB"/>
        </w:rPr>
        <w:lastRenderedPageBreak/>
        <w:drawing>
          <wp:anchor distT="0" distB="0" distL="114300" distR="114300" simplePos="0" relativeHeight="251688960" behindDoc="0" locked="0" layoutInCell="1" allowOverlap="1" wp14:anchorId="0B842529" wp14:editId="67924938">
            <wp:simplePos x="0" y="0"/>
            <wp:positionH relativeFrom="column">
              <wp:posOffset>1905</wp:posOffset>
            </wp:positionH>
            <wp:positionV relativeFrom="paragraph">
              <wp:posOffset>114300</wp:posOffset>
            </wp:positionV>
            <wp:extent cx="940435" cy="940435"/>
            <wp:effectExtent l="0" t="0" r="0" b="0"/>
            <wp:wrapSquare wrapText="bothSides"/>
            <wp:docPr id="51" name="Picture 51" descr="Macintosh HD:Users:kirstyliddiard:Desktop:EASY READ image bank :get-it-wrong-(fema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Macintosh HD:Users:kirstyliddiard:Desktop:EASY READ image bank :get-it-wrong-(female).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940435" cy="940435"/>
                    </a:xfrm>
                    <a:prstGeom prst="rect">
                      <a:avLst/>
                    </a:prstGeom>
                    <a:noFill/>
                    <a:ln>
                      <a:noFill/>
                    </a:ln>
                  </pic:spPr>
                </pic:pic>
              </a:graphicData>
            </a:graphic>
          </wp:anchor>
        </w:drawing>
      </w:r>
    </w:p>
    <w:p w14:paraId="24CAE99B" w14:textId="77777777" w:rsidR="00BE2C1D" w:rsidRPr="00BE2C1D" w:rsidRDefault="00BE2C1D" w:rsidP="00BE2C1D">
      <w:pPr>
        <w:rPr>
          <w:rFonts w:ascii="Century Gothic" w:hAnsi="Century Gothic" w:cs="Times New Roman"/>
        </w:rPr>
      </w:pPr>
      <w:r w:rsidRPr="00BE2C1D">
        <w:rPr>
          <w:rFonts w:ascii="Century Gothic" w:hAnsi="Century Gothic"/>
        </w:rPr>
        <w:t xml:space="preserve">If you feel something has gone wrong, you and your parent(s)/guardian(s) can make contact with </w:t>
      </w:r>
      <w:r w:rsidRPr="00BE2C1D">
        <w:rPr>
          <w:rFonts w:ascii="Century Gothic" w:hAnsi="Century Gothic" w:cs="Times New Roman"/>
        </w:rPr>
        <w:t xml:space="preserve">with Dr David Hyatt, Chair of Ethics of the School of Education University of Sheffield. </w:t>
      </w:r>
    </w:p>
    <w:p w14:paraId="1770A658" w14:textId="77777777" w:rsidR="00BE2C1D" w:rsidRPr="00BE2C1D" w:rsidRDefault="00BE2C1D" w:rsidP="00BE2C1D">
      <w:pPr>
        <w:rPr>
          <w:rFonts w:ascii="Century Gothic" w:hAnsi="Century Gothic" w:cs="Times New Roman"/>
        </w:rPr>
      </w:pPr>
    </w:p>
    <w:p w14:paraId="57AA38F0" w14:textId="77777777" w:rsidR="00BE2C1D" w:rsidRPr="00BE2C1D" w:rsidRDefault="00BE2C1D" w:rsidP="00BE2C1D">
      <w:pPr>
        <w:rPr>
          <w:rFonts w:ascii="Century Gothic" w:hAnsi="Century Gothic" w:cs="Times New Roman"/>
        </w:rPr>
      </w:pPr>
      <w:r w:rsidRPr="00BE2C1D">
        <w:rPr>
          <w:rFonts w:ascii="Century Gothic" w:hAnsi="Century Gothic" w:cs="Times New Roman"/>
        </w:rPr>
        <w:t>His contact details are:</w:t>
      </w:r>
    </w:p>
    <w:p w14:paraId="38572727" w14:textId="77777777" w:rsidR="00BE2C1D" w:rsidRPr="00BE2C1D" w:rsidRDefault="00BE2C1D" w:rsidP="00BE2C1D">
      <w:pPr>
        <w:rPr>
          <w:rFonts w:ascii="Century Gothic" w:hAnsi="Century Gothic" w:cs="Times New Roman"/>
        </w:rPr>
      </w:pPr>
      <w:r w:rsidRPr="00BE2C1D">
        <w:rPr>
          <w:rFonts w:ascii="Century Gothic" w:hAnsi="Century Gothic" w:cs="Times New Roman"/>
        </w:rPr>
        <w:t xml:space="preserve">Dr David Hyatt </w:t>
      </w:r>
    </w:p>
    <w:p w14:paraId="0285E674" w14:textId="77777777" w:rsidR="00BE2C1D" w:rsidRPr="00BE2C1D" w:rsidRDefault="00BE2C1D" w:rsidP="00BE2C1D">
      <w:pPr>
        <w:rPr>
          <w:rFonts w:ascii="Century Gothic" w:hAnsi="Century Gothic" w:cs="Times New Roman"/>
        </w:rPr>
      </w:pPr>
      <w:r w:rsidRPr="00BE2C1D">
        <w:rPr>
          <w:rFonts w:ascii="Century Gothic" w:hAnsi="Century Gothic" w:cs="Times New Roman"/>
        </w:rPr>
        <w:t>Lecturer in Education</w:t>
      </w:r>
    </w:p>
    <w:p w14:paraId="65E6971A" w14:textId="77777777" w:rsidR="00BE2C1D" w:rsidRPr="00BE2C1D" w:rsidRDefault="00BE2C1D" w:rsidP="00BE2C1D">
      <w:pPr>
        <w:rPr>
          <w:rFonts w:ascii="Century Gothic" w:hAnsi="Century Gothic" w:cs="Times New Roman"/>
        </w:rPr>
      </w:pPr>
      <w:r w:rsidRPr="00BE2C1D">
        <w:rPr>
          <w:rFonts w:ascii="Century Gothic" w:hAnsi="Century Gothic" w:cs="Times New Roman"/>
        </w:rPr>
        <w:t>School of Education, University of Sheffield</w:t>
      </w:r>
    </w:p>
    <w:p w14:paraId="5A3FABAB" w14:textId="77777777" w:rsidR="00BE2C1D" w:rsidRPr="00BE2C1D" w:rsidRDefault="00BE2C1D" w:rsidP="00BE2C1D">
      <w:pPr>
        <w:rPr>
          <w:rFonts w:ascii="Century Gothic" w:hAnsi="Century Gothic" w:cs="Times New Roman"/>
        </w:rPr>
      </w:pPr>
      <w:r w:rsidRPr="00BE2C1D">
        <w:rPr>
          <w:rFonts w:ascii="Century Gothic" w:hAnsi="Century Gothic" w:cs="Times New Roman"/>
        </w:rPr>
        <w:t>3</w:t>
      </w:r>
      <w:r w:rsidRPr="00BE2C1D">
        <w:rPr>
          <w:rFonts w:ascii="Century Gothic" w:hAnsi="Century Gothic" w:cs="Times New Roman"/>
          <w:vertAlign w:val="superscript"/>
        </w:rPr>
        <w:t>rd</w:t>
      </w:r>
      <w:r w:rsidRPr="00BE2C1D">
        <w:rPr>
          <w:rFonts w:ascii="Century Gothic" w:hAnsi="Century Gothic" w:cs="Times New Roman"/>
        </w:rPr>
        <w:t xml:space="preserve"> Floor Edgar Allan House</w:t>
      </w:r>
    </w:p>
    <w:p w14:paraId="57A9AD31" w14:textId="77777777" w:rsidR="00BE2C1D" w:rsidRPr="00BE2C1D" w:rsidRDefault="00BE2C1D" w:rsidP="00BE2C1D">
      <w:pPr>
        <w:rPr>
          <w:rFonts w:ascii="Century Gothic" w:hAnsi="Century Gothic"/>
        </w:rPr>
      </w:pPr>
      <w:r w:rsidRPr="00BE2C1D">
        <w:rPr>
          <w:rFonts w:ascii="Century Gothic" w:hAnsi="Century Gothic"/>
        </w:rPr>
        <w:t>241 Glossop Road, Sheffield, S10 2GW</w:t>
      </w:r>
    </w:p>
    <w:p w14:paraId="23660420" w14:textId="77777777" w:rsidR="00BE2C1D" w:rsidRPr="00BE2C1D" w:rsidRDefault="00BE2C1D" w:rsidP="00BE2C1D">
      <w:pPr>
        <w:rPr>
          <w:rFonts w:ascii="Century Gothic" w:hAnsi="Century Gothic"/>
        </w:rPr>
      </w:pPr>
      <w:r w:rsidRPr="00BE2C1D">
        <w:rPr>
          <w:rFonts w:ascii="Century Gothic" w:hAnsi="Century Gothic" w:cs="Arial"/>
          <w:b/>
          <w:bCs/>
          <w:shd w:val="clear" w:color="auto" w:fill="FFFFFF"/>
        </w:rPr>
        <w:t>Email:</w:t>
      </w:r>
      <w:r w:rsidRPr="00BE2C1D">
        <w:rPr>
          <w:rFonts w:ascii="Century Gothic" w:hAnsi="Century Gothic" w:cs="Arial"/>
          <w:shd w:val="clear" w:color="auto" w:fill="FFFFFF"/>
        </w:rPr>
        <w:t> </w:t>
      </w:r>
      <w:hyperlink r:id="rId66" w:history="1">
        <w:r w:rsidRPr="00BE2C1D">
          <w:rPr>
            <w:rFonts w:ascii="Century Gothic" w:hAnsi="Century Gothic" w:cs="Arial"/>
            <w:color w:val="4472C4" w:themeColor="accent1"/>
            <w:u w:val="single"/>
            <w:shd w:val="clear" w:color="auto" w:fill="FFFFFF"/>
          </w:rPr>
          <w:t>d.hyatt@sheffield.ac.uk</w:t>
        </w:r>
      </w:hyperlink>
    </w:p>
    <w:p w14:paraId="1BB8F281" w14:textId="77777777" w:rsidR="00BE2C1D" w:rsidRPr="00BE2C1D" w:rsidRDefault="00BE2C1D" w:rsidP="00BE2C1D">
      <w:pPr>
        <w:rPr>
          <w:rFonts w:ascii="Century Gothic" w:hAnsi="Century Gothic" w:cs="Times New Roman"/>
        </w:rPr>
      </w:pPr>
      <w:r w:rsidRPr="00BE2C1D">
        <w:rPr>
          <w:rFonts w:ascii="Century Gothic" w:hAnsi="Century Gothic" w:cs="Arial"/>
          <w:b/>
          <w:bCs/>
          <w:shd w:val="clear" w:color="auto" w:fill="FFFFFF"/>
        </w:rPr>
        <w:t>Tel:</w:t>
      </w:r>
      <w:r w:rsidRPr="00BE2C1D">
        <w:rPr>
          <w:rFonts w:ascii="Century Gothic" w:hAnsi="Century Gothic" w:cs="Arial"/>
          <w:shd w:val="clear" w:color="auto" w:fill="FFFFFF"/>
        </w:rPr>
        <w:t> (+44) (0)114 222 8126</w:t>
      </w:r>
    </w:p>
    <w:p w14:paraId="213BFF27" w14:textId="77777777" w:rsidR="00BE2C1D" w:rsidRPr="00BE2C1D" w:rsidRDefault="00BE2C1D" w:rsidP="00BE2C1D">
      <w:pPr>
        <w:rPr>
          <w:rFonts w:ascii="Century Gothic" w:hAnsi="Century Gothic"/>
          <w:color w:val="FF0000"/>
        </w:rPr>
      </w:pPr>
    </w:p>
    <w:p w14:paraId="15B84F2A" w14:textId="77777777" w:rsidR="00BE2C1D" w:rsidRPr="00BE2C1D" w:rsidRDefault="00BE2C1D" w:rsidP="00BE2C1D">
      <w:pPr>
        <w:rPr>
          <w:rFonts w:ascii="Century Gothic" w:hAnsi="Century Gothic"/>
          <w:b/>
        </w:rPr>
      </w:pPr>
      <w:r w:rsidRPr="00BE2C1D">
        <w:rPr>
          <w:rFonts w:ascii="Century Gothic" w:hAnsi="Century Gothic"/>
          <w:b/>
        </w:rPr>
        <w:t>Will my taking part in this project be kept confidential?</w:t>
      </w:r>
    </w:p>
    <w:p w14:paraId="5AC1C97C" w14:textId="77777777" w:rsidR="00BE2C1D" w:rsidRPr="00BE2C1D" w:rsidRDefault="00BE2C1D" w:rsidP="00BE2C1D">
      <w:pPr>
        <w:rPr>
          <w:rFonts w:ascii="Century Gothic" w:hAnsi="Century Gothic"/>
        </w:rPr>
      </w:pPr>
    </w:p>
    <w:p w14:paraId="575B81F9" w14:textId="77777777" w:rsidR="00BE2C1D" w:rsidRPr="00BE2C1D" w:rsidRDefault="00BE2C1D" w:rsidP="00BE2C1D">
      <w:pPr>
        <w:rPr>
          <w:rFonts w:ascii="Century Gothic" w:hAnsi="Century Gothic"/>
        </w:rPr>
      </w:pPr>
      <w:r w:rsidRPr="00BE2C1D">
        <w:rPr>
          <w:rFonts w:ascii="Century Gothic" w:hAnsi="Century Gothic"/>
          <w:noProof/>
          <w:lang w:eastAsia="en-GB"/>
        </w:rPr>
        <w:drawing>
          <wp:anchor distT="0" distB="0" distL="114300" distR="114300" simplePos="0" relativeHeight="251694080" behindDoc="0" locked="0" layoutInCell="1" allowOverlap="1" wp14:anchorId="720FD371" wp14:editId="642F77AE">
            <wp:simplePos x="0" y="0"/>
            <wp:positionH relativeFrom="column">
              <wp:posOffset>-26670</wp:posOffset>
            </wp:positionH>
            <wp:positionV relativeFrom="paragraph">
              <wp:posOffset>48260</wp:posOffset>
            </wp:positionV>
            <wp:extent cx="962025" cy="962025"/>
            <wp:effectExtent l="0" t="0" r="3175" b="3175"/>
            <wp:wrapSquare wrapText="bothSides"/>
            <wp:docPr id="58" name="Picture 58" descr="Macintosh HD:Users:kirstyliddiard:Desktop:EASY READ image bank :private-informatio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Macintosh HD:Users:kirstyliddiard:Desktop:EASY READ image bank :private-information-2.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962025" cy="962025"/>
                    </a:xfrm>
                    <a:prstGeom prst="rect">
                      <a:avLst/>
                    </a:prstGeom>
                    <a:noFill/>
                    <a:ln>
                      <a:noFill/>
                    </a:ln>
                  </pic:spPr>
                </pic:pic>
              </a:graphicData>
            </a:graphic>
          </wp:anchor>
        </w:drawing>
      </w:r>
    </w:p>
    <w:p w14:paraId="6C9604D2" w14:textId="77777777" w:rsidR="00BE2C1D" w:rsidRPr="00BE2C1D" w:rsidRDefault="00BE2C1D" w:rsidP="00BE2C1D">
      <w:pPr>
        <w:rPr>
          <w:rFonts w:ascii="Century Gothic" w:hAnsi="Century Gothic"/>
        </w:rPr>
      </w:pPr>
      <w:r w:rsidRPr="00BE2C1D">
        <w:rPr>
          <w:rFonts w:ascii="Century Gothic" w:hAnsi="Century Gothic"/>
        </w:rPr>
        <w:t>If you so choose, your participation in the project will be kept confidential, which means private.</w:t>
      </w:r>
    </w:p>
    <w:p w14:paraId="5243E48C" w14:textId="77777777" w:rsidR="00BE2C1D" w:rsidRPr="00BE2C1D" w:rsidRDefault="00BE2C1D" w:rsidP="00BE2C1D">
      <w:pPr>
        <w:rPr>
          <w:rFonts w:ascii="Century Gothic" w:hAnsi="Century Gothic"/>
        </w:rPr>
      </w:pPr>
    </w:p>
    <w:p w14:paraId="11A3BD3B" w14:textId="77777777" w:rsidR="00BE2C1D" w:rsidRPr="00BE2C1D" w:rsidRDefault="00BE2C1D" w:rsidP="00BE2C1D">
      <w:pPr>
        <w:rPr>
          <w:rFonts w:ascii="Century Gothic" w:hAnsi="Century Gothic"/>
        </w:rPr>
      </w:pPr>
    </w:p>
    <w:p w14:paraId="519F4943" w14:textId="77777777" w:rsidR="00BE2C1D" w:rsidRPr="00BE2C1D" w:rsidRDefault="00BE2C1D" w:rsidP="00BE2C1D">
      <w:pPr>
        <w:rPr>
          <w:rFonts w:ascii="Century Gothic" w:hAnsi="Century Gothic"/>
        </w:rPr>
      </w:pPr>
    </w:p>
    <w:p w14:paraId="66CA7E75" w14:textId="77777777" w:rsidR="00BE2C1D" w:rsidRPr="00BE2C1D" w:rsidRDefault="00BE2C1D" w:rsidP="00BE2C1D">
      <w:pPr>
        <w:rPr>
          <w:rFonts w:ascii="Century Gothic" w:hAnsi="Century Gothic"/>
        </w:rPr>
      </w:pPr>
    </w:p>
    <w:p w14:paraId="016236A9" w14:textId="77777777" w:rsidR="00BE2C1D" w:rsidRPr="00BE2C1D" w:rsidRDefault="00BE2C1D" w:rsidP="00BE2C1D">
      <w:pPr>
        <w:rPr>
          <w:rFonts w:ascii="Century Gothic" w:hAnsi="Century Gothic"/>
        </w:rPr>
      </w:pPr>
      <w:r w:rsidRPr="00BE2C1D">
        <w:rPr>
          <w:rFonts w:ascii="Century Gothic" w:hAnsi="Century Gothic"/>
          <w:noProof/>
          <w:lang w:eastAsia="en-GB"/>
        </w:rPr>
        <w:drawing>
          <wp:anchor distT="0" distB="0" distL="114300" distR="114300" simplePos="0" relativeHeight="251695104" behindDoc="0" locked="0" layoutInCell="1" allowOverlap="1" wp14:anchorId="0C0F4221" wp14:editId="40689F64">
            <wp:simplePos x="0" y="0"/>
            <wp:positionH relativeFrom="column">
              <wp:posOffset>-244549</wp:posOffset>
            </wp:positionH>
            <wp:positionV relativeFrom="paragraph">
              <wp:posOffset>170830</wp:posOffset>
            </wp:positionV>
            <wp:extent cx="991870" cy="991870"/>
            <wp:effectExtent l="0" t="0" r="0" b="0"/>
            <wp:wrapSquare wrapText="bothSides"/>
            <wp:docPr id="61" name="Picture 61" descr="Macintosh HD:Users:kirstyliddiard:Desktop:EASY READ image bank :confidential-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Macintosh HD:Users:kirstyliddiard:Desktop:EASY READ image bank :confidential-V2.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991870" cy="991870"/>
                    </a:xfrm>
                    <a:prstGeom prst="rect">
                      <a:avLst/>
                    </a:prstGeom>
                    <a:noFill/>
                    <a:ln>
                      <a:noFill/>
                    </a:ln>
                  </pic:spPr>
                </pic:pic>
              </a:graphicData>
            </a:graphic>
          </wp:anchor>
        </w:drawing>
      </w:r>
    </w:p>
    <w:p w14:paraId="2FD790F1" w14:textId="77777777" w:rsidR="00BE2C1D" w:rsidRPr="00BE2C1D" w:rsidRDefault="00BE2C1D" w:rsidP="00BE2C1D">
      <w:pPr>
        <w:rPr>
          <w:rFonts w:ascii="Century Gothic" w:hAnsi="Century Gothic"/>
        </w:rPr>
      </w:pPr>
    </w:p>
    <w:p w14:paraId="7BE03315" w14:textId="77777777" w:rsidR="00BE2C1D" w:rsidRPr="00BE2C1D" w:rsidRDefault="00BE2C1D" w:rsidP="00BE2C1D">
      <w:pPr>
        <w:rPr>
          <w:rFonts w:ascii="Century Gothic" w:hAnsi="Century Gothic"/>
        </w:rPr>
      </w:pPr>
      <w:r w:rsidRPr="00BE2C1D">
        <w:rPr>
          <w:rFonts w:ascii="Century Gothic" w:hAnsi="Century Gothic"/>
        </w:rPr>
        <w:t xml:space="preserve">            You can also choose to not have your name in any reports I write.</w:t>
      </w:r>
    </w:p>
    <w:p w14:paraId="6314A78C" w14:textId="77777777" w:rsidR="00BE2C1D" w:rsidRPr="00BE2C1D" w:rsidRDefault="00BE2C1D" w:rsidP="00BE2C1D">
      <w:pPr>
        <w:rPr>
          <w:rFonts w:ascii="Century Gothic" w:hAnsi="Century Gothic"/>
        </w:rPr>
      </w:pPr>
    </w:p>
    <w:p w14:paraId="2A6C9248" w14:textId="77777777" w:rsidR="00BE2C1D" w:rsidRPr="00BE2C1D" w:rsidRDefault="00BE2C1D" w:rsidP="00BE2C1D">
      <w:pPr>
        <w:rPr>
          <w:rFonts w:ascii="Century Gothic" w:hAnsi="Century Gothic"/>
        </w:rPr>
      </w:pPr>
    </w:p>
    <w:p w14:paraId="2234A7A1" w14:textId="77777777" w:rsidR="00BE2C1D" w:rsidRPr="00BE2C1D" w:rsidRDefault="00BE2C1D" w:rsidP="00BE2C1D">
      <w:pPr>
        <w:rPr>
          <w:rFonts w:ascii="Century Gothic" w:hAnsi="Century Gothic"/>
        </w:rPr>
      </w:pPr>
    </w:p>
    <w:p w14:paraId="590F8C4D" w14:textId="77777777" w:rsidR="00BE2C1D" w:rsidRPr="00BE2C1D" w:rsidRDefault="00BE2C1D" w:rsidP="00BE2C1D">
      <w:pPr>
        <w:rPr>
          <w:rFonts w:ascii="Century Gothic" w:hAnsi="Century Gothic"/>
        </w:rPr>
      </w:pPr>
    </w:p>
    <w:p w14:paraId="44864462" w14:textId="77777777" w:rsidR="00BE2C1D" w:rsidRPr="00BE2C1D" w:rsidRDefault="00BE2C1D" w:rsidP="00BE2C1D">
      <w:pPr>
        <w:rPr>
          <w:rFonts w:ascii="Century Gothic" w:hAnsi="Century Gothic"/>
        </w:rPr>
      </w:pPr>
      <w:r w:rsidRPr="00BE2C1D">
        <w:rPr>
          <w:rFonts w:ascii="Century Gothic" w:hAnsi="Century Gothic"/>
          <w:noProof/>
          <w:lang w:eastAsia="en-GB"/>
        </w:rPr>
        <w:lastRenderedPageBreak/>
        <w:drawing>
          <wp:anchor distT="0" distB="0" distL="114300" distR="114300" simplePos="0" relativeHeight="251693056" behindDoc="0" locked="0" layoutInCell="1" allowOverlap="1" wp14:anchorId="08B78A09" wp14:editId="0437326C">
            <wp:simplePos x="0" y="0"/>
            <wp:positionH relativeFrom="column">
              <wp:posOffset>-33655</wp:posOffset>
            </wp:positionH>
            <wp:positionV relativeFrom="paragraph">
              <wp:posOffset>116205</wp:posOffset>
            </wp:positionV>
            <wp:extent cx="958215" cy="1047750"/>
            <wp:effectExtent l="0" t="0" r="6985" b="0"/>
            <wp:wrapSquare wrapText="bothSides"/>
            <wp:docPr id="57" name="Picture 57" descr="Macintosh HD:Users:kirstyliddiard:Desktop:EASY READ image bank :Screen Shot 2015-11-08 at 15.49.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Macintosh HD:Users:kirstyliddiard:Desktop:EASY READ image bank :Screen Shot 2015-11-08 at 15.49.45.pn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958215" cy="1047750"/>
                    </a:xfrm>
                    <a:prstGeom prst="rect">
                      <a:avLst/>
                    </a:prstGeom>
                    <a:noFill/>
                    <a:ln>
                      <a:noFill/>
                    </a:ln>
                  </pic:spPr>
                </pic:pic>
              </a:graphicData>
            </a:graphic>
          </wp:anchor>
        </w:drawing>
      </w:r>
    </w:p>
    <w:p w14:paraId="6DFA3858" w14:textId="77777777" w:rsidR="00BE2C1D" w:rsidRPr="00BE2C1D" w:rsidRDefault="00BE2C1D" w:rsidP="00BE2C1D">
      <w:pPr>
        <w:rPr>
          <w:rFonts w:ascii="Century Gothic" w:hAnsi="Century Gothic"/>
        </w:rPr>
      </w:pPr>
      <w:r w:rsidRPr="00BE2C1D">
        <w:rPr>
          <w:rFonts w:ascii="Century Gothic" w:hAnsi="Century Gothic"/>
        </w:rPr>
        <w:t>However, if you tell us something that worries us, then I might have to share it with someone else. I will let you know if I plan to do this.</w:t>
      </w:r>
    </w:p>
    <w:p w14:paraId="33507285" w14:textId="77777777" w:rsidR="00BE2C1D" w:rsidRPr="00BE2C1D" w:rsidRDefault="00BE2C1D" w:rsidP="00BE2C1D">
      <w:pPr>
        <w:rPr>
          <w:rFonts w:ascii="Century Gothic" w:hAnsi="Century Gothic"/>
        </w:rPr>
      </w:pPr>
    </w:p>
    <w:p w14:paraId="3046172F" w14:textId="77777777" w:rsidR="00BE2C1D" w:rsidRPr="00BE2C1D" w:rsidRDefault="00BE2C1D" w:rsidP="00BE2C1D">
      <w:pPr>
        <w:rPr>
          <w:rFonts w:ascii="Century Gothic" w:hAnsi="Century Gothic"/>
        </w:rPr>
      </w:pPr>
    </w:p>
    <w:p w14:paraId="0BF428C4" w14:textId="77777777" w:rsidR="00BE2C1D" w:rsidRPr="00BE2C1D" w:rsidRDefault="00BE2C1D" w:rsidP="00BE2C1D">
      <w:pPr>
        <w:rPr>
          <w:rFonts w:ascii="Century Gothic" w:hAnsi="Century Gothic"/>
          <w:b/>
        </w:rPr>
      </w:pPr>
    </w:p>
    <w:p w14:paraId="30CC8DA5" w14:textId="77777777" w:rsidR="00BE2C1D" w:rsidRPr="00BE2C1D" w:rsidRDefault="00BE2C1D" w:rsidP="00BE2C1D">
      <w:pPr>
        <w:rPr>
          <w:rFonts w:ascii="Century Gothic" w:hAnsi="Century Gothic"/>
          <w:b/>
        </w:rPr>
      </w:pPr>
    </w:p>
    <w:p w14:paraId="3262AD63" w14:textId="77777777" w:rsidR="00BE2C1D" w:rsidRPr="00BE2C1D" w:rsidRDefault="00BE2C1D" w:rsidP="00BE2C1D">
      <w:pPr>
        <w:rPr>
          <w:rFonts w:ascii="Century Gothic" w:hAnsi="Century Gothic"/>
          <w:b/>
        </w:rPr>
      </w:pPr>
      <w:r w:rsidRPr="00BE2C1D">
        <w:rPr>
          <w:rFonts w:ascii="Century Gothic" w:hAnsi="Century Gothic"/>
          <w:b/>
        </w:rPr>
        <w:t>What will happen to the results of the research project?</w:t>
      </w:r>
    </w:p>
    <w:p w14:paraId="0EA27C85" w14:textId="77777777" w:rsidR="00BE2C1D" w:rsidRPr="00BE2C1D" w:rsidRDefault="00BE2C1D" w:rsidP="00BE2C1D">
      <w:pPr>
        <w:rPr>
          <w:rFonts w:ascii="Century Gothic" w:hAnsi="Century Gothic"/>
          <w:color w:val="000000" w:themeColor="text1"/>
        </w:rPr>
      </w:pPr>
    </w:p>
    <w:p w14:paraId="0A8FADB9" w14:textId="77777777" w:rsidR="00BE2C1D" w:rsidRPr="00BE2C1D" w:rsidRDefault="00BE2C1D" w:rsidP="00BE2C1D">
      <w:pPr>
        <w:rPr>
          <w:rFonts w:ascii="Century Gothic" w:hAnsi="Century Gothic"/>
          <w:color w:val="000000" w:themeColor="text1"/>
        </w:rPr>
      </w:pPr>
      <w:r w:rsidRPr="00BE2C1D">
        <w:rPr>
          <w:rFonts w:ascii="Century Gothic" w:hAnsi="Century Gothic"/>
          <w:color w:val="000000" w:themeColor="text1"/>
        </w:rPr>
        <w:t>In the end of the project, I will be sharing what I have found:</w:t>
      </w:r>
    </w:p>
    <w:p w14:paraId="4508368C" w14:textId="77777777" w:rsidR="00BE2C1D" w:rsidRPr="00BE2C1D" w:rsidRDefault="00BE2C1D" w:rsidP="00BE2C1D">
      <w:pPr>
        <w:rPr>
          <w:rFonts w:ascii="Century Gothic" w:hAnsi="Century Gothic"/>
          <w:color w:val="000000" w:themeColor="text1"/>
        </w:rPr>
      </w:pPr>
      <w:r w:rsidRPr="00BE2C1D">
        <w:rPr>
          <w:rFonts w:ascii="Century Gothic" w:hAnsi="Century Gothic"/>
          <w:noProof/>
          <w:color w:val="000000" w:themeColor="text1"/>
          <w:lang w:eastAsia="en-GB"/>
        </w:rPr>
        <w:drawing>
          <wp:anchor distT="0" distB="0" distL="114300" distR="114300" simplePos="0" relativeHeight="251697152" behindDoc="0" locked="0" layoutInCell="1" allowOverlap="1" wp14:anchorId="549600B8" wp14:editId="19A6887C">
            <wp:simplePos x="0" y="0"/>
            <wp:positionH relativeFrom="column">
              <wp:posOffset>17145</wp:posOffset>
            </wp:positionH>
            <wp:positionV relativeFrom="paragraph">
              <wp:posOffset>179070</wp:posOffset>
            </wp:positionV>
            <wp:extent cx="889635" cy="1171575"/>
            <wp:effectExtent l="25400" t="25400" r="24765" b="22225"/>
            <wp:wrapSquare wrapText="bothSides"/>
            <wp:docPr id="65" name="Picture 65" descr="Macintosh HD:Users:kirstyliddiard:Desktop:EASY READ image bank :b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Macintosh HD:Users:kirstyliddiard:Desktop:EASY READ image bank :book.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889635" cy="1171575"/>
                    </a:xfrm>
                    <a:prstGeom prst="rect">
                      <a:avLst/>
                    </a:prstGeom>
                    <a:noFill/>
                    <a:ln w="19050" cmpd="sng">
                      <a:solidFill>
                        <a:sysClr val="windowText" lastClr="000000"/>
                      </a:solidFill>
                    </a:ln>
                  </pic:spPr>
                </pic:pic>
              </a:graphicData>
            </a:graphic>
          </wp:anchor>
        </w:drawing>
      </w:r>
    </w:p>
    <w:p w14:paraId="6721765E" w14:textId="77777777" w:rsidR="00BE2C1D" w:rsidRPr="00BE2C1D" w:rsidRDefault="00BE2C1D" w:rsidP="00BE2C1D">
      <w:pPr>
        <w:rPr>
          <w:rFonts w:ascii="Century Gothic" w:hAnsi="Century Gothic"/>
          <w:color w:val="000000" w:themeColor="text1"/>
        </w:rPr>
      </w:pPr>
    </w:p>
    <w:p w14:paraId="09C6E85E" w14:textId="77777777" w:rsidR="00BE2C1D" w:rsidRPr="00BE2C1D" w:rsidRDefault="00BE2C1D" w:rsidP="00BE2C1D">
      <w:pPr>
        <w:rPr>
          <w:rFonts w:ascii="Century Gothic" w:hAnsi="Century Gothic"/>
          <w:color w:val="000000" w:themeColor="text1"/>
        </w:rPr>
      </w:pPr>
    </w:p>
    <w:p w14:paraId="2ECD0710" w14:textId="77777777" w:rsidR="00BE2C1D" w:rsidRPr="00BE2C1D" w:rsidRDefault="00BE2C1D" w:rsidP="00BE2C1D">
      <w:pPr>
        <w:rPr>
          <w:rFonts w:ascii="Century Gothic" w:hAnsi="Century Gothic"/>
          <w:color w:val="000000" w:themeColor="text1"/>
        </w:rPr>
      </w:pPr>
      <w:r w:rsidRPr="00BE2C1D">
        <w:rPr>
          <w:rFonts w:ascii="Century Gothic" w:hAnsi="Century Gothic"/>
          <w:color w:val="000000" w:themeColor="text1"/>
        </w:rPr>
        <w:t>In academic journals</w:t>
      </w:r>
    </w:p>
    <w:p w14:paraId="0A94AB09" w14:textId="77777777" w:rsidR="00BE2C1D" w:rsidRPr="00BE2C1D" w:rsidRDefault="00BE2C1D" w:rsidP="00BE2C1D">
      <w:pPr>
        <w:rPr>
          <w:rFonts w:ascii="Century Gothic" w:hAnsi="Century Gothic"/>
          <w:color w:val="000000" w:themeColor="text1"/>
        </w:rPr>
      </w:pPr>
    </w:p>
    <w:p w14:paraId="047230EB" w14:textId="77777777" w:rsidR="00BE2C1D" w:rsidRPr="00BE2C1D" w:rsidRDefault="00BE2C1D" w:rsidP="00BE2C1D">
      <w:pPr>
        <w:rPr>
          <w:rFonts w:ascii="Century Gothic" w:hAnsi="Century Gothic"/>
          <w:color w:val="000000" w:themeColor="text1"/>
        </w:rPr>
      </w:pPr>
    </w:p>
    <w:p w14:paraId="2BCB6723" w14:textId="77777777" w:rsidR="00BE2C1D" w:rsidRPr="00BE2C1D" w:rsidRDefault="00BE2C1D" w:rsidP="00BE2C1D">
      <w:pPr>
        <w:rPr>
          <w:rFonts w:ascii="Century Gothic" w:hAnsi="Century Gothic"/>
          <w:color w:val="000000" w:themeColor="text1"/>
        </w:rPr>
      </w:pPr>
    </w:p>
    <w:p w14:paraId="3540734C" w14:textId="77777777" w:rsidR="00BE2C1D" w:rsidRPr="00BE2C1D" w:rsidRDefault="00BE2C1D" w:rsidP="00BE2C1D">
      <w:pPr>
        <w:rPr>
          <w:rFonts w:ascii="Century Gothic" w:hAnsi="Century Gothic"/>
          <w:color w:val="000000" w:themeColor="text1"/>
        </w:rPr>
      </w:pPr>
    </w:p>
    <w:p w14:paraId="0493EC53" w14:textId="77777777" w:rsidR="00BE2C1D" w:rsidRPr="00BE2C1D" w:rsidRDefault="00BE2C1D" w:rsidP="00BE2C1D">
      <w:pPr>
        <w:rPr>
          <w:rFonts w:ascii="Century Gothic" w:hAnsi="Century Gothic"/>
          <w:color w:val="000000" w:themeColor="text1"/>
        </w:rPr>
      </w:pPr>
      <w:r w:rsidRPr="00BE2C1D">
        <w:rPr>
          <w:rFonts w:ascii="Century Gothic" w:hAnsi="Century Gothic"/>
          <w:noProof/>
          <w:color w:val="000000" w:themeColor="text1"/>
          <w:lang w:eastAsia="en-GB"/>
        </w:rPr>
        <w:drawing>
          <wp:anchor distT="0" distB="0" distL="114300" distR="114300" simplePos="0" relativeHeight="251698176" behindDoc="0" locked="0" layoutInCell="1" allowOverlap="1" wp14:anchorId="24CEB745" wp14:editId="29598AB7">
            <wp:simplePos x="0" y="0"/>
            <wp:positionH relativeFrom="column">
              <wp:posOffset>-4445</wp:posOffset>
            </wp:positionH>
            <wp:positionV relativeFrom="paragraph">
              <wp:posOffset>60960</wp:posOffset>
            </wp:positionV>
            <wp:extent cx="1097280" cy="1097280"/>
            <wp:effectExtent l="0" t="0" r="0" b="0"/>
            <wp:wrapSquare wrapText="bothSides"/>
            <wp:docPr id="66" name="Picture 66" descr="Macintosh HD:Users:kirstyliddiard:Desktop:EASY READ image bank :newspap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Macintosh HD:Users:kirstyliddiard:Desktop:EASY READ image bank :newspaper.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anchor>
        </w:drawing>
      </w:r>
    </w:p>
    <w:p w14:paraId="39DDEB18" w14:textId="77777777" w:rsidR="00BE2C1D" w:rsidRPr="00BE2C1D" w:rsidRDefault="00BE2C1D" w:rsidP="00BE2C1D">
      <w:pPr>
        <w:rPr>
          <w:rFonts w:ascii="Century Gothic" w:hAnsi="Century Gothic"/>
          <w:color w:val="000000" w:themeColor="text1"/>
        </w:rPr>
      </w:pPr>
    </w:p>
    <w:p w14:paraId="1190C160" w14:textId="77777777" w:rsidR="00BE2C1D" w:rsidRPr="00BE2C1D" w:rsidRDefault="00BE2C1D" w:rsidP="00BE2C1D">
      <w:pPr>
        <w:rPr>
          <w:rFonts w:ascii="Century Gothic" w:hAnsi="Century Gothic"/>
          <w:color w:val="000000" w:themeColor="text1"/>
        </w:rPr>
      </w:pPr>
      <w:r w:rsidRPr="00BE2C1D">
        <w:rPr>
          <w:rFonts w:ascii="Century Gothic" w:hAnsi="Century Gothic"/>
          <w:color w:val="000000" w:themeColor="text1"/>
        </w:rPr>
        <w:t>In magazines and newspapers</w:t>
      </w:r>
    </w:p>
    <w:p w14:paraId="7957488D" w14:textId="77777777" w:rsidR="00BE2C1D" w:rsidRPr="00BE2C1D" w:rsidRDefault="00BE2C1D" w:rsidP="00BE2C1D">
      <w:pPr>
        <w:rPr>
          <w:rFonts w:ascii="Century Gothic" w:hAnsi="Century Gothic"/>
          <w:color w:val="000000" w:themeColor="text1"/>
        </w:rPr>
      </w:pPr>
    </w:p>
    <w:p w14:paraId="248750C5" w14:textId="77777777" w:rsidR="00BE2C1D" w:rsidRPr="00BE2C1D" w:rsidRDefault="00BE2C1D" w:rsidP="00BE2C1D">
      <w:pPr>
        <w:rPr>
          <w:rFonts w:ascii="Century Gothic" w:hAnsi="Century Gothic"/>
          <w:color w:val="000000" w:themeColor="text1"/>
        </w:rPr>
      </w:pPr>
    </w:p>
    <w:p w14:paraId="76325FAB" w14:textId="77777777" w:rsidR="00BE2C1D" w:rsidRPr="00BE2C1D" w:rsidRDefault="00BE2C1D" w:rsidP="00BE2C1D">
      <w:pPr>
        <w:rPr>
          <w:rFonts w:ascii="Century Gothic" w:hAnsi="Century Gothic"/>
          <w:color w:val="000000" w:themeColor="text1"/>
        </w:rPr>
      </w:pPr>
    </w:p>
    <w:p w14:paraId="058D159E" w14:textId="77777777" w:rsidR="00BE2C1D" w:rsidRPr="00BE2C1D" w:rsidRDefault="00BE2C1D" w:rsidP="00BE2C1D">
      <w:pPr>
        <w:rPr>
          <w:rFonts w:ascii="Century Gothic" w:hAnsi="Century Gothic"/>
          <w:color w:val="000000" w:themeColor="text1"/>
        </w:rPr>
      </w:pPr>
      <w:r w:rsidRPr="00BE2C1D">
        <w:rPr>
          <w:rFonts w:ascii="Century Gothic" w:hAnsi="Century Gothic"/>
          <w:noProof/>
          <w:color w:val="000000" w:themeColor="text1"/>
          <w:lang w:eastAsia="en-GB"/>
        </w:rPr>
        <w:drawing>
          <wp:anchor distT="0" distB="0" distL="114300" distR="114300" simplePos="0" relativeHeight="251699200" behindDoc="0" locked="0" layoutInCell="1" allowOverlap="1" wp14:anchorId="6B2B4E3E" wp14:editId="77659077">
            <wp:simplePos x="0" y="0"/>
            <wp:positionH relativeFrom="column">
              <wp:posOffset>2540</wp:posOffset>
            </wp:positionH>
            <wp:positionV relativeFrom="paragraph">
              <wp:posOffset>38735</wp:posOffset>
            </wp:positionV>
            <wp:extent cx="1001395" cy="803275"/>
            <wp:effectExtent l="0" t="0" r="0" b="9525"/>
            <wp:wrapSquare wrapText="bothSides"/>
            <wp:docPr id="71" name="Picture 71" descr="Macintosh HD:Users:kirstyliddiard:Desktop:EASY READ image bank :big+mee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Macintosh HD:Users:kirstyliddiard:Desktop:EASY READ image bank :big+meeting.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001395" cy="803275"/>
                    </a:xfrm>
                    <a:prstGeom prst="rect">
                      <a:avLst/>
                    </a:prstGeom>
                    <a:noFill/>
                    <a:ln>
                      <a:noFill/>
                    </a:ln>
                  </pic:spPr>
                </pic:pic>
              </a:graphicData>
            </a:graphic>
          </wp:anchor>
        </w:drawing>
      </w:r>
    </w:p>
    <w:p w14:paraId="1082F07E" w14:textId="77777777" w:rsidR="00BE2C1D" w:rsidRPr="00BE2C1D" w:rsidRDefault="00BE2C1D" w:rsidP="00BE2C1D">
      <w:pPr>
        <w:rPr>
          <w:rFonts w:ascii="Century Gothic" w:hAnsi="Century Gothic"/>
          <w:color w:val="000000" w:themeColor="text1"/>
        </w:rPr>
      </w:pPr>
      <w:r w:rsidRPr="00BE2C1D">
        <w:rPr>
          <w:rFonts w:ascii="Century Gothic" w:hAnsi="Century Gothic"/>
          <w:color w:val="000000" w:themeColor="text1"/>
        </w:rPr>
        <w:t>At conferences (a meeting of people) in the UK and overseas</w:t>
      </w:r>
    </w:p>
    <w:p w14:paraId="0A50DE0E" w14:textId="77777777" w:rsidR="00BE2C1D" w:rsidRPr="00BE2C1D" w:rsidRDefault="00BE2C1D" w:rsidP="00BE2C1D">
      <w:pPr>
        <w:rPr>
          <w:rFonts w:ascii="Century Gothic" w:hAnsi="Century Gothic"/>
          <w:color w:val="000000" w:themeColor="text1"/>
        </w:rPr>
      </w:pPr>
    </w:p>
    <w:p w14:paraId="5B636F1D" w14:textId="77777777" w:rsidR="00BE2C1D" w:rsidRPr="00BE2C1D" w:rsidRDefault="00BE2C1D" w:rsidP="00BE2C1D">
      <w:pPr>
        <w:rPr>
          <w:rFonts w:ascii="Century Gothic" w:hAnsi="Century Gothic"/>
          <w:color w:val="000000" w:themeColor="text1"/>
        </w:rPr>
      </w:pPr>
    </w:p>
    <w:p w14:paraId="10AA95F0" w14:textId="77777777" w:rsidR="00BE2C1D" w:rsidRPr="00BE2C1D" w:rsidRDefault="00BE2C1D" w:rsidP="00BE2C1D">
      <w:pPr>
        <w:rPr>
          <w:rFonts w:ascii="Century Gothic" w:hAnsi="Century Gothic"/>
          <w:color w:val="000000" w:themeColor="text1"/>
        </w:rPr>
      </w:pPr>
    </w:p>
    <w:p w14:paraId="7B46C8F6" w14:textId="77777777" w:rsidR="00BE2C1D" w:rsidRPr="00BE2C1D" w:rsidRDefault="00BE2C1D" w:rsidP="00BE2C1D">
      <w:pPr>
        <w:rPr>
          <w:rFonts w:ascii="Century Gothic" w:hAnsi="Century Gothic"/>
          <w:color w:val="000000" w:themeColor="text1"/>
        </w:rPr>
      </w:pPr>
      <w:r w:rsidRPr="00BE2C1D">
        <w:rPr>
          <w:rFonts w:ascii="Century Gothic" w:hAnsi="Century Gothic"/>
          <w:noProof/>
          <w:color w:val="000000" w:themeColor="text1"/>
          <w:lang w:eastAsia="en-GB"/>
        </w:rPr>
        <w:lastRenderedPageBreak/>
        <w:drawing>
          <wp:anchor distT="0" distB="0" distL="114300" distR="114300" simplePos="0" relativeHeight="251696128" behindDoc="0" locked="0" layoutInCell="1" allowOverlap="1" wp14:anchorId="0E640D76" wp14:editId="2F650E75">
            <wp:simplePos x="0" y="0"/>
            <wp:positionH relativeFrom="column">
              <wp:posOffset>52070</wp:posOffset>
            </wp:positionH>
            <wp:positionV relativeFrom="paragraph">
              <wp:posOffset>95885</wp:posOffset>
            </wp:positionV>
            <wp:extent cx="848995" cy="848995"/>
            <wp:effectExtent l="0" t="0" r="0" b="0"/>
            <wp:wrapSquare wrapText="bothSides"/>
            <wp:docPr id="64" name="Picture 64" descr="Macintosh HD:Users:kirstyliddiard:Desktop:EASY READ image bank :govern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Macintosh HD:Users:kirstyliddiard:Desktop:EASY READ image bank :government.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848995" cy="848995"/>
                    </a:xfrm>
                    <a:prstGeom prst="rect">
                      <a:avLst/>
                    </a:prstGeom>
                    <a:noFill/>
                    <a:ln>
                      <a:noFill/>
                    </a:ln>
                  </pic:spPr>
                </pic:pic>
              </a:graphicData>
            </a:graphic>
          </wp:anchor>
        </w:drawing>
      </w:r>
    </w:p>
    <w:p w14:paraId="65988F15" w14:textId="77777777" w:rsidR="00BE2C1D" w:rsidRPr="00BE2C1D" w:rsidRDefault="00BE2C1D" w:rsidP="00BE2C1D">
      <w:pPr>
        <w:rPr>
          <w:rFonts w:ascii="Century Gothic" w:hAnsi="Century Gothic"/>
          <w:color w:val="000000" w:themeColor="text1"/>
        </w:rPr>
      </w:pPr>
      <w:r w:rsidRPr="00BE2C1D">
        <w:rPr>
          <w:rFonts w:ascii="Century Gothic" w:hAnsi="Century Gothic"/>
          <w:color w:val="000000" w:themeColor="text1"/>
        </w:rPr>
        <w:t>I also want to let powerful people like politicians and policy makers know what I have found, so they can do things to improve stuff that might not being working well.</w:t>
      </w:r>
    </w:p>
    <w:p w14:paraId="28B61370" w14:textId="77777777" w:rsidR="00BE2C1D" w:rsidRPr="00BE2C1D" w:rsidRDefault="00BE2C1D" w:rsidP="00BE2C1D">
      <w:pPr>
        <w:rPr>
          <w:rFonts w:ascii="Century Gothic" w:hAnsi="Century Gothic"/>
          <w:color w:val="000000" w:themeColor="text1"/>
        </w:rPr>
      </w:pPr>
    </w:p>
    <w:p w14:paraId="6C147E5C" w14:textId="77777777" w:rsidR="00BE2C1D" w:rsidRPr="00BE2C1D" w:rsidRDefault="00BE2C1D" w:rsidP="00BE2C1D">
      <w:pPr>
        <w:rPr>
          <w:rFonts w:ascii="Century Gothic" w:hAnsi="Century Gothic"/>
          <w:color w:val="FF0000"/>
        </w:rPr>
      </w:pPr>
    </w:p>
    <w:p w14:paraId="694084FB" w14:textId="77777777" w:rsidR="00BE2C1D" w:rsidRPr="00BE2C1D" w:rsidRDefault="00BE2C1D" w:rsidP="00BE2C1D">
      <w:pPr>
        <w:rPr>
          <w:rFonts w:ascii="Century Gothic" w:hAnsi="Century Gothic"/>
          <w:b/>
        </w:rPr>
      </w:pPr>
      <w:r w:rsidRPr="00BE2C1D">
        <w:rPr>
          <w:rFonts w:ascii="Century Gothic" w:hAnsi="Century Gothic"/>
          <w:b/>
        </w:rPr>
        <w:t>15. Who is organising and funding the research?</w:t>
      </w:r>
    </w:p>
    <w:p w14:paraId="6B3A913C" w14:textId="77777777" w:rsidR="00BE2C1D" w:rsidRPr="00BE2C1D" w:rsidRDefault="00BE2C1D" w:rsidP="00BE2C1D">
      <w:pPr>
        <w:rPr>
          <w:rFonts w:ascii="Century Gothic" w:hAnsi="Century Gothic"/>
        </w:rPr>
      </w:pPr>
    </w:p>
    <w:p w14:paraId="40E294E5" w14:textId="77777777" w:rsidR="00BE2C1D" w:rsidRPr="00BE2C1D" w:rsidRDefault="00BE2C1D" w:rsidP="00BE2C1D">
      <w:pPr>
        <w:rPr>
          <w:rFonts w:ascii="Century Gothic" w:hAnsi="Century Gothic"/>
        </w:rPr>
      </w:pPr>
      <w:r w:rsidRPr="00BE2C1D">
        <w:rPr>
          <w:rFonts w:ascii="Century Gothic" w:hAnsi="Century Gothic"/>
          <w:noProof/>
          <w:lang w:eastAsia="en-GB"/>
        </w:rPr>
        <w:drawing>
          <wp:anchor distT="0" distB="0" distL="114300" distR="114300" simplePos="0" relativeHeight="251689984" behindDoc="0" locked="0" layoutInCell="1" allowOverlap="1" wp14:anchorId="52E866E2" wp14:editId="38BFD7C6">
            <wp:simplePos x="0" y="0"/>
            <wp:positionH relativeFrom="column">
              <wp:posOffset>3175</wp:posOffset>
            </wp:positionH>
            <wp:positionV relativeFrom="paragraph">
              <wp:posOffset>106045</wp:posOffset>
            </wp:positionV>
            <wp:extent cx="1083310" cy="902335"/>
            <wp:effectExtent l="25400" t="25400" r="34290" b="37465"/>
            <wp:wrapSquare wrapText="bothSides"/>
            <wp:docPr id="53" name="Picture 53" descr="Macintosh HD:Users:kirstyliddiard:Pictures:iPhoto Library.photolibrary:Masters:2014:10:21:20141021-141839:Esrc_logo-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Macintosh HD:Users:kirstyliddiard:Pictures:iPhoto Library.photolibrary:Masters:2014:10:21:20141021-141839:Esrc_logo-2.pn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083310" cy="902335"/>
                    </a:xfrm>
                    <a:prstGeom prst="rect">
                      <a:avLst/>
                    </a:prstGeom>
                    <a:noFill/>
                    <a:ln w="28575" cmpd="sng">
                      <a:solidFill>
                        <a:sysClr val="windowText" lastClr="000000"/>
                      </a:solidFill>
                    </a:ln>
                  </pic:spPr>
                </pic:pic>
              </a:graphicData>
            </a:graphic>
          </wp:anchor>
        </w:drawing>
      </w:r>
    </w:p>
    <w:p w14:paraId="4F76F6D3" w14:textId="77777777" w:rsidR="00BE2C1D" w:rsidRPr="00BE2C1D" w:rsidRDefault="00BE2C1D" w:rsidP="00BE2C1D">
      <w:pPr>
        <w:rPr>
          <w:rFonts w:ascii="Century Gothic" w:hAnsi="Century Gothic"/>
        </w:rPr>
      </w:pPr>
      <w:r w:rsidRPr="00BE2C1D">
        <w:rPr>
          <w:rFonts w:ascii="Century Gothic" w:hAnsi="Century Gothic"/>
        </w:rPr>
        <w:t>Be-Coming Storytellers: Stories of Secondary Education is funded by the Economic and Social Science Research Council (ESRC).</w:t>
      </w:r>
    </w:p>
    <w:p w14:paraId="21E7CA21" w14:textId="77777777" w:rsidR="00BE2C1D" w:rsidRPr="00BE2C1D" w:rsidRDefault="00BE2C1D" w:rsidP="00BE2C1D">
      <w:pPr>
        <w:rPr>
          <w:rFonts w:ascii="Century Gothic" w:hAnsi="Century Gothic"/>
        </w:rPr>
      </w:pPr>
    </w:p>
    <w:p w14:paraId="544226C8" w14:textId="77777777" w:rsidR="00BE2C1D" w:rsidRPr="00BE2C1D" w:rsidRDefault="00BE2C1D" w:rsidP="00BE2C1D">
      <w:pPr>
        <w:rPr>
          <w:rFonts w:ascii="Century Gothic" w:hAnsi="Century Gothic"/>
        </w:rPr>
      </w:pPr>
    </w:p>
    <w:p w14:paraId="08D6BBD9" w14:textId="77777777" w:rsidR="00BE2C1D" w:rsidRPr="00BE2C1D" w:rsidRDefault="00BE2C1D" w:rsidP="00BE2C1D">
      <w:pPr>
        <w:rPr>
          <w:rFonts w:ascii="Century Gothic" w:hAnsi="Century Gothic"/>
        </w:rPr>
      </w:pPr>
    </w:p>
    <w:p w14:paraId="30F12A9B" w14:textId="77777777" w:rsidR="00BE2C1D" w:rsidRPr="00BE2C1D" w:rsidRDefault="00BE2C1D" w:rsidP="00BE2C1D">
      <w:pPr>
        <w:rPr>
          <w:rFonts w:ascii="Century Gothic" w:hAnsi="Century Gothic"/>
        </w:rPr>
      </w:pPr>
    </w:p>
    <w:p w14:paraId="2EFC4DAF" w14:textId="77777777" w:rsidR="00BE2C1D" w:rsidRPr="00BE2C1D" w:rsidRDefault="00BE2C1D" w:rsidP="00BE2C1D">
      <w:pPr>
        <w:rPr>
          <w:rFonts w:ascii="Century Gothic" w:hAnsi="Century Gothic"/>
          <w:color w:val="FF0000"/>
        </w:rPr>
      </w:pPr>
    </w:p>
    <w:p w14:paraId="203CF018" w14:textId="77777777" w:rsidR="00BE2C1D" w:rsidRPr="00BE2C1D" w:rsidRDefault="00BE2C1D" w:rsidP="00BE2C1D">
      <w:pPr>
        <w:rPr>
          <w:rFonts w:ascii="Century Gothic" w:hAnsi="Century Gothic"/>
          <w:b/>
        </w:rPr>
      </w:pPr>
    </w:p>
    <w:p w14:paraId="5CD38110" w14:textId="77777777" w:rsidR="00BE2C1D" w:rsidRPr="00BE2C1D" w:rsidRDefault="00BE2C1D" w:rsidP="00BE2C1D">
      <w:pPr>
        <w:rPr>
          <w:rFonts w:ascii="Century Gothic" w:hAnsi="Century Gothic"/>
          <w:b/>
        </w:rPr>
      </w:pPr>
    </w:p>
    <w:p w14:paraId="390B336E" w14:textId="77777777" w:rsidR="00BE2C1D" w:rsidRPr="00BE2C1D" w:rsidRDefault="00BE2C1D" w:rsidP="00BE2C1D">
      <w:pPr>
        <w:rPr>
          <w:rFonts w:ascii="Century Gothic" w:hAnsi="Century Gothic"/>
          <w:b/>
        </w:rPr>
      </w:pPr>
      <w:r w:rsidRPr="00BE2C1D">
        <w:rPr>
          <w:rFonts w:ascii="Century Gothic" w:hAnsi="Century Gothic"/>
          <w:b/>
          <w:noProof/>
          <w:lang w:eastAsia="en-GB"/>
        </w:rPr>
        <w:drawing>
          <wp:anchor distT="0" distB="0" distL="114300" distR="114300" simplePos="0" relativeHeight="251691008" behindDoc="0" locked="0" layoutInCell="1" allowOverlap="1" wp14:anchorId="32C5A172" wp14:editId="62CF5613">
            <wp:simplePos x="0" y="0"/>
            <wp:positionH relativeFrom="column">
              <wp:posOffset>47625</wp:posOffset>
            </wp:positionH>
            <wp:positionV relativeFrom="paragraph">
              <wp:posOffset>-713105</wp:posOffset>
            </wp:positionV>
            <wp:extent cx="1499235" cy="593725"/>
            <wp:effectExtent l="19050" t="19050" r="24765" b="15875"/>
            <wp:wrapSquare wrapText="bothSides"/>
            <wp:docPr id="55" name="Picture 55" descr="Macintosh HD:Users:kirstyliddiard:Pictures:iPhoto Library.photolibrary:Masters:2014:11:27:20141127-110027:k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Macintosh HD:Users:kirstyliddiard:Pictures:iPhoto Library.photolibrary:Masters:2014:11:27:20141127-110027:kfinal.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499235" cy="593725"/>
                    </a:xfrm>
                    <a:prstGeom prst="rect">
                      <a:avLst/>
                    </a:prstGeom>
                    <a:noFill/>
                    <a:ln w="19050" cmpd="sng">
                      <a:solidFill>
                        <a:sysClr val="windowText" lastClr="000000"/>
                      </a:solidFill>
                    </a:ln>
                  </pic:spPr>
                </pic:pic>
              </a:graphicData>
            </a:graphic>
          </wp:anchor>
        </w:drawing>
      </w:r>
    </w:p>
    <w:p w14:paraId="7DC0DD05" w14:textId="77777777" w:rsidR="00BE2C1D" w:rsidRPr="00BE2C1D" w:rsidRDefault="00BE2C1D" w:rsidP="00BE2C1D">
      <w:pPr>
        <w:rPr>
          <w:rFonts w:ascii="Century Gothic" w:hAnsi="Century Gothic"/>
          <w:b/>
        </w:rPr>
      </w:pPr>
    </w:p>
    <w:p w14:paraId="6AEC15C1" w14:textId="77777777" w:rsidR="00BE2C1D" w:rsidRPr="00BE2C1D" w:rsidRDefault="00BE2C1D" w:rsidP="00BE2C1D">
      <w:pPr>
        <w:rPr>
          <w:rFonts w:ascii="Century Gothic" w:hAnsi="Century Gothic"/>
          <w:b/>
        </w:rPr>
      </w:pPr>
    </w:p>
    <w:p w14:paraId="7E0B8093" w14:textId="77777777" w:rsidR="00BE2C1D" w:rsidRPr="00BE2C1D" w:rsidRDefault="00BE2C1D" w:rsidP="00BE2C1D">
      <w:pPr>
        <w:rPr>
          <w:rFonts w:ascii="Century Gothic" w:hAnsi="Century Gothic"/>
          <w:b/>
        </w:rPr>
      </w:pPr>
      <w:r w:rsidRPr="00BE2C1D">
        <w:rPr>
          <w:rFonts w:ascii="Century Gothic" w:hAnsi="Century Gothic"/>
          <w:b/>
        </w:rPr>
        <w:t>Who has said the project is safe?</w:t>
      </w:r>
    </w:p>
    <w:p w14:paraId="1A508429" w14:textId="77777777" w:rsidR="00BE2C1D" w:rsidRPr="00BE2C1D" w:rsidRDefault="00BE2C1D" w:rsidP="00BE2C1D">
      <w:pPr>
        <w:rPr>
          <w:rFonts w:ascii="Century Gothic" w:hAnsi="Century Gothic"/>
        </w:rPr>
      </w:pPr>
    </w:p>
    <w:p w14:paraId="1DEADD02" w14:textId="77777777" w:rsidR="00BE2C1D" w:rsidRPr="00BE2C1D" w:rsidRDefault="00BE2C1D" w:rsidP="00BE2C1D">
      <w:pPr>
        <w:rPr>
          <w:rFonts w:ascii="Century Gothic" w:hAnsi="Century Gothic"/>
        </w:rPr>
      </w:pPr>
      <w:r w:rsidRPr="00BE2C1D">
        <w:rPr>
          <w:rFonts w:ascii="Century Gothic" w:hAnsi="Century Gothic"/>
          <w:noProof/>
          <w:lang w:eastAsia="en-GB"/>
        </w:rPr>
        <w:drawing>
          <wp:anchor distT="0" distB="0" distL="114300" distR="114300" simplePos="0" relativeHeight="251692032" behindDoc="0" locked="0" layoutInCell="1" allowOverlap="1" wp14:anchorId="4725F191" wp14:editId="15B11947">
            <wp:simplePos x="0" y="0"/>
            <wp:positionH relativeFrom="column">
              <wp:posOffset>15875</wp:posOffset>
            </wp:positionH>
            <wp:positionV relativeFrom="paragraph">
              <wp:posOffset>51435</wp:posOffset>
            </wp:positionV>
            <wp:extent cx="949325" cy="949325"/>
            <wp:effectExtent l="0" t="0" r="0" b="0"/>
            <wp:wrapSquare wrapText="bothSides"/>
            <wp:docPr id="56" name="Picture 56" descr="Macintosh HD:Users:kirstyliddiard:Desktop:EASY READ image bank :check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Macintosh HD:Users:kirstyliddiard:Desktop:EASY READ image bank :checking.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949325" cy="949325"/>
                    </a:xfrm>
                    <a:prstGeom prst="rect">
                      <a:avLst/>
                    </a:prstGeom>
                    <a:noFill/>
                    <a:ln>
                      <a:noFill/>
                    </a:ln>
                  </pic:spPr>
                </pic:pic>
              </a:graphicData>
            </a:graphic>
          </wp:anchor>
        </w:drawing>
      </w:r>
    </w:p>
    <w:p w14:paraId="562D4D79" w14:textId="77777777" w:rsidR="00BE2C1D" w:rsidRPr="00BE2C1D" w:rsidRDefault="00BE2C1D" w:rsidP="00BE2C1D">
      <w:pPr>
        <w:rPr>
          <w:rFonts w:ascii="Century Gothic" w:hAnsi="Century Gothic"/>
        </w:rPr>
      </w:pPr>
      <w:r w:rsidRPr="00BE2C1D">
        <w:rPr>
          <w:rFonts w:ascii="Century Gothic" w:hAnsi="Century Gothic"/>
        </w:rPr>
        <w:t>This project has been reviewed by the University of Sheffield’s Research Ethics Committee to check that it is safe.</w:t>
      </w:r>
    </w:p>
    <w:p w14:paraId="2301FA31" w14:textId="77777777" w:rsidR="00BE2C1D" w:rsidRPr="00BE2C1D" w:rsidRDefault="00BE2C1D" w:rsidP="00BE2C1D">
      <w:pPr>
        <w:rPr>
          <w:rFonts w:ascii="Century Gothic" w:hAnsi="Century Gothic"/>
          <w:color w:val="FF0000"/>
        </w:rPr>
      </w:pPr>
    </w:p>
    <w:p w14:paraId="1DE7FE79" w14:textId="77777777" w:rsidR="00BE2C1D" w:rsidRPr="00BE2C1D" w:rsidRDefault="00BE2C1D" w:rsidP="00BE2C1D">
      <w:pPr>
        <w:rPr>
          <w:rFonts w:ascii="Century Gothic" w:hAnsi="Century Gothic"/>
          <w:color w:val="FF0000"/>
        </w:rPr>
      </w:pPr>
    </w:p>
    <w:p w14:paraId="681A252C" w14:textId="77777777" w:rsidR="00BE2C1D" w:rsidRPr="00BE2C1D" w:rsidRDefault="00BE2C1D" w:rsidP="00BE2C1D">
      <w:pPr>
        <w:rPr>
          <w:rFonts w:ascii="Century Gothic" w:hAnsi="Century Gothic"/>
          <w:color w:val="FF0000"/>
        </w:rPr>
      </w:pPr>
    </w:p>
    <w:p w14:paraId="4E10F22F" w14:textId="77777777" w:rsidR="00BE2C1D" w:rsidRPr="00BE2C1D" w:rsidRDefault="00BE2C1D" w:rsidP="00BE2C1D">
      <w:pPr>
        <w:rPr>
          <w:rFonts w:ascii="Century Gothic" w:hAnsi="Century Gothic"/>
          <w:color w:val="FF0000"/>
        </w:rPr>
      </w:pPr>
    </w:p>
    <w:p w14:paraId="7B27CFCF" w14:textId="77777777" w:rsidR="00BE2C1D" w:rsidRPr="00BE2C1D" w:rsidRDefault="00BE2C1D" w:rsidP="00BE2C1D">
      <w:pPr>
        <w:rPr>
          <w:rFonts w:ascii="Century Gothic" w:hAnsi="Century Gothic"/>
          <w:color w:val="FF0000"/>
        </w:rPr>
      </w:pPr>
    </w:p>
    <w:p w14:paraId="415C3721" w14:textId="77777777" w:rsidR="00BE2C1D" w:rsidRPr="00BE2C1D" w:rsidRDefault="00BE2C1D" w:rsidP="00BE2C1D">
      <w:pPr>
        <w:rPr>
          <w:rFonts w:ascii="Century Gothic" w:hAnsi="Century Gothic"/>
          <w:color w:val="FF0000"/>
        </w:rPr>
      </w:pPr>
    </w:p>
    <w:p w14:paraId="09BBBB71" w14:textId="77777777" w:rsidR="00BE2C1D" w:rsidRPr="00BE2C1D" w:rsidRDefault="00BE2C1D" w:rsidP="00BE2C1D">
      <w:pPr>
        <w:rPr>
          <w:rFonts w:ascii="Century Gothic" w:hAnsi="Century Gothic"/>
          <w:color w:val="FF0000"/>
        </w:rPr>
      </w:pPr>
    </w:p>
    <w:p w14:paraId="02129859" w14:textId="77777777" w:rsidR="00BE2C1D" w:rsidRPr="00BE2C1D" w:rsidRDefault="00BE2C1D" w:rsidP="00BE2C1D">
      <w:pPr>
        <w:rPr>
          <w:rFonts w:ascii="Century Gothic" w:hAnsi="Century Gothic"/>
          <w:color w:val="FF0000"/>
        </w:rPr>
      </w:pPr>
    </w:p>
    <w:p w14:paraId="1E6B4DF3" w14:textId="77777777" w:rsidR="00BE2C1D" w:rsidRPr="00BE2C1D" w:rsidRDefault="00BE2C1D" w:rsidP="00BE2C1D">
      <w:pPr>
        <w:rPr>
          <w:rFonts w:ascii="Century Gothic" w:hAnsi="Century Gothic"/>
          <w:color w:val="FF0000"/>
        </w:rPr>
      </w:pPr>
    </w:p>
    <w:p w14:paraId="159A1EED" w14:textId="77777777" w:rsidR="00BE2C1D" w:rsidRPr="00BE2C1D" w:rsidRDefault="00BE2C1D" w:rsidP="00BE2C1D">
      <w:pPr>
        <w:rPr>
          <w:rFonts w:ascii="Century Gothic" w:hAnsi="Century Gothic"/>
          <w:color w:val="FF0000"/>
        </w:rPr>
      </w:pPr>
    </w:p>
    <w:p w14:paraId="54A124B1" w14:textId="77777777" w:rsidR="00BE2C1D" w:rsidRPr="00BE2C1D" w:rsidRDefault="00BE2C1D" w:rsidP="00BE2C1D">
      <w:pPr>
        <w:rPr>
          <w:rFonts w:ascii="Century Gothic" w:hAnsi="Century Gothic"/>
          <w:b/>
        </w:rPr>
      </w:pPr>
      <w:r w:rsidRPr="00BE2C1D">
        <w:rPr>
          <w:rFonts w:ascii="Century Gothic" w:hAnsi="Century Gothic"/>
          <w:b/>
        </w:rPr>
        <w:t xml:space="preserve"> Contact for further information</w:t>
      </w:r>
    </w:p>
    <w:p w14:paraId="450975CA" w14:textId="77777777" w:rsidR="00BE2C1D" w:rsidRPr="00BE2C1D" w:rsidRDefault="00BE2C1D" w:rsidP="00BE2C1D">
      <w:pPr>
        <w:rPr>
          <w:rFonts w:ascii="Century Gothic" w:hAnsi="Century Gothic"/>
        </w:rPr>
      </w:pPr>
      <w:r w:rsidRPr="00BE2C1D">
        <w:rPr>
          <w:rFonts w:ascii="Century Gothic" w:hAnsi="Century Gothic"/>
        </w:rPr>
        <w:t>If you and your parent(s)/guardian(s) have any questions about the study, please contact either:</w:t>
      </w:r>
    </w:p>
    <w:p w14:paraId="16F897E8" w14:textId="77777777" w:rsidR="00BE2C1D" w:rsidRPr="00BE2C1D" w:rsidRDefault="00BE2C1D" w:rsidP="00BE2C1D">
      <w:pPr>
        <w:rPr>
          <w:rFonts w:ascii="Century Gothic" w:hAnsi="Century Gothic"/>
        </w:rPr>
      </w:pPr>
    </w:p>
    <w:p w14:paraId="59E86ABC" w14:textId="77777777" w:rsidR="00BE2C1D" w:rsidRPr="00BE2C1D" w:rsidRDefault="00BE2C1D" w:rsidP="00BE2C1D">
      <w:pPr>
        <w:rPr>
          <w:rFonts w:ascii="Century Gothic" w:hAnsi="Century Gothic"/>
        </w:rPr>
      </w:pPr>
      <w:r w:rsidRPr="00BE2C1D">
        <w:rPr>
          <w:rFonts w:ascii="Century Gothic" w:hAnsi="Century Gothic"/>
          <w:b/>
        </w:rPr>
        <w:t xml:space="preserve">Antonios Ktenidis                  </w:t>
      </w:r>
      <w:r w:rsidRPr="00BE2C1D">
        <w:rPr>
          <w:rFonts w:ascii="Century Gothic" w:hAnsi="Century Gothic"/>
          <w:noProof/>
        </w:rPr>
        <w:t xml:space="preserve">                                                            </w:t>
      </w:r>
      <w:r w:rsidRPr="00BE2C1D">
        <w:rPr>
          <w:rFonts w:ascii="Century Gothic" w:hAnsi="Century Gothic"/>
          <w:noProof/>
          <w:lang w:eastAsia="en-GB"/>
        </w:rPr>
        <w:drawing>
          <wp:inline distT="0" distB="0" distL="0" distR="0" wp14:anchorId="462364DA" wp14:editId="56E0D18A">
            <wp:extent cx="1660894" cy="1265274"/>
            <wp:effectExtent l="19050" t="0" r="0" b="0"/>
            <wp:docPr id="89" name="Picture 1" descr="C:\Users\MediaMarkt2-PC\Downloads\20986347_1993201530923253_43085648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diaMarkt2-PC\Downloads\20986347_1993201530923253_430856488_n.jpg"/>
                    <pic:cNvPicPr>
                      <a:picLocks noChangeAspect="1" noChangeArrowheads="1"/>
                    </pic:cNvPicPr>
                  </pic:nvPicPr>
                  <pic:blipFill>
                    <a:blip r:embed="rId36"/>
                    <a:srcRect/>
                    <a:stretch>
                      <a:fillRect/>
                    </a:stretch>
                  </pic:blipFill>
                  <pic:spPr bwMode="auto">
                    <a:xfrm>
                      <a:off x="0" y="0"/>
                      <a:ext cx="1691137" cy="1288313"/>
                    </a:xfrm>
                    <a:prstGeom prst="rect">
                      <a:avLst/>
                    </a:prstGeom>
                    <a:noFill/>
                    <a:ln w="9525">
                      <a:noFill/>
                      <a:miter lim="800000"/>
                      <a:headEnd/>
                      <a:tailEnd/>
                    </a:ln>
                  </pic:spPr>
                </pic:pic>
              </a:graphicData>
            </a:graphic>
          </wp:inline>
        </w:drawing>
      </w:r>
      <w:r w:rsidRPr="00BE2C1D">
        <w:rPr>
          <w:rFonts w:ascii="Century Gothic" w:hAnsi="Century Gothic"/>
        </w:rPr>
        <w:t xml:space="preserve">                                                                                                                      </w:t>
      </w:r>
    </w:p>
    <w:p w14:paraId="445384C4" w14:textId="77777777" w:rsidR="00BE2C1D" w:rsidRPr="00BE2C1D" w:rsidRDefault="00BE2C1D" w:rsidP="00BE2C1D">
      <w:pPr>
        <w:rPr>
          <w:rFonts w:ascii="Century Gothic" w:hAnsi="Century Gothic"/>
        </w:rPr>
      </w:pPr>
      <w:r w:rsidRPr="00BE2C1D">
        <w:rPr>
          <w:rFonts w:ascii="Century Gothic" w:hAnsi="Century Gothic"/>
        </w:rPr>
        <w:t>PhD Candidate</w:t>
      </w:r>
    </w:p>
    <w:p w14:paraId="53191E35" w14:textId="77777777" w:rsidR="00BE2C1D" w:rsidRPr="00BE2C1D" w:rsidRDefault="00BE2C1D" w:rsidP="00BE2C1D">
      <w:pPr>
        <w:rPr>
          <w:rFonts w:ascii="Century Gothic" w:hAnsi="Century Gothic"/>
        </w:rPr>
      </w:pPr>
      <w:r w:rsidRPr="00BE2C1D">
        <w:rPr>
          <w:rFonts w:ascii="Century Gothic" w:hAnsi="Century Gothic"/>
        </w:rPr>
        <w:t>School of Education, University of Sheffield</w:t>
      </w:r>
    </w:p>
    <w:p w14:paraId="05A8AA47" w14:textId="77777777" w:rsidR="00BE2C1D" w:rsidRPr="00BE2C1D" w:rsidRDefault="00BE2C1D" w:rsidP="00BE2C1D">
      <w:pPr>
        <w:rPr>
          <w:rFonts w:ascii="Century Gothic" w:hAnsi="Century Gothic"/>
        </w:rPr>
      </w:pPr>
      <w:r w:rsidRPr="00BE2C1D">
        <w:rPr>
          <w:rFonts w:ascii="Century Gothic" w:hAnsi="Century Gothic"/>
        </w:rPr>
        <w:t xml:space="preserve">Edgar Allan House </w:t>
      </w:r>
    </w:p>
    <w:p w14:paraId="32992329" w14:textId="77777777" w:rsidR="00BE2C1D" w:rsidRPr="00BE2C1D" w:rsidRDefault="00BE2C1D" w:rsidP="00BE2C1D">
      <w:pPr>
        <w:rPr>
          <w:rFonts w:ascii="Century Gothic" w:hAnsi="Century Gothic"/>
        </w:rPr>
      </w:pPr>
      <w:r w:rsidRPr="00BE2C1D">
        <w:rPr>
          <w:rFonts w:ascii="Century Gothic" w:hAnsi="Century Gothic"/>
        </w:rPr>
        <w:t>241 Glossop Road, Sheffield, S10 2GW</w:t>
      </w:r>
    </w:p>
    <w:p w14:paraId="37E6ACAB" w14:textId="77777777" w:rsidR="00BE2C1D" w:rsidRPr="00BE2C1D" w:rsidRDefault="00BE2C1D" w:rsidP="00BE2C1D">
      <w:pPr>
        <w:rPr>
          <w:rFonts w:ascii="Century Gothic" w:hAnsi="Century Gothic"/>
        </w:rPr>
      </w:pPr>
      <w:r w:rsidRPr="00BE2C1D">
        <w:rPr>
          <w:rFonts w:ascii="Century Gothic" w:hAnsi="Century Gothic"/>
        </w:rPr>
        <w:t xml:space="preserve">Email: </w:t>
      </w:r>
      <w:hyperlink r:id="rId77" w:history="1">
        <w:r w:rsidRPr="00BE2C1D">
          <w:rPr>
            <w:rFonts w:ascii="Century Gothic" w:hAnsi="Century Gothic"/>
            <w:color w:val="0563C1" w:themeColor="hyperlink"/>
            <w:u w:val="single"/>
          </w:rPr>
          <w:t>aktenidis1@sheffield.ac.uk</w:t>
        </w:r>
      </w:hyperlink>
    </w:p>
    <w:p w14:paraId="277AEE9E" w14:textId="77777777" w:rsidR="00BE2C1D" w:rsidRPr="00BE2C1D" w:rsidRDefault="00BE2C1D" w:rsidP="00BE2C1D">
      <w:pPr>
        <w:rPr>
          <w:rFonts w:ascii="Century Gothic" w:hAnsi="Century Gothic"/>
        </w:rPr>
      </w:pPr>
    </w:p>
    <w:p w14:paraId="3220FCB7" w14:textId="77777777" w:rsidR="00BE2C1D" w:rsidRPr="00BE2C1D" w:rsidRDefault="00BE2C1D" w:rsidP="00BE2C1D">
      <w:pPr>
        <w:rPr>
          <w:rFonts w:ascii="Century Gothic" w:hAnsi="Century Gothic"/>
        </w:rPr>
      </w:pPr>
    </w:p>
    <w:p w14:paraId="368BBFBD" w14:textId="77777777" w:rsidR="00BE2C1D" w:rsidRPr="00BE2C1D" w:rsidRDefault="00BE2C1D" w:rsidP="00BE2C1D">
      <w:pPr>
        <w:rPr>
          <w:rFonts w:ascii="Century Gothic" w:hAnsi="Century Gothic"/>
        </w:rPr>
      </w:pPr>
      <w:r w:rsidRPr="00BE2C1D">
        <w:rPr>
          <w:rFonts w:ascii="Century Gothic" w:hAnsi="Century Gothic"/>
          <w:noProof/>
          <w:lang w:eastAsia="en-GB"/>
        </w:rPr>
        <w:drawing>
          <wp:anchor distT="0" distB="0" distL="114300" distR="114300" simplePos="0" relativeHeight="251671552" behindDoc="0" locked="0" layoutInCell="1" allowOverlap="1" wp14:anchorId="09D38CE1" wp14:editId="13D03CE0">
            <wp:simplePos x="0" y="0"/>
            <wp:positionH relativeFrom="column">
              <wp:posOffset>241935</wp:posOffset>
            </wp:positionH>
            <wp:positionV relativeFrom="paragraph">
              <wp:posOffset>23495</wp:posOffset>
            </wp:positionV>
            <wp:extent cx="899160" cy="1218565"/>
            <wp:effectExtent l="558800" t="127000" r="142240" b="178435"/>
            <wp:wrapSquare wrapText="bothSides"/>
            <wp:docPr id="90" name="Picture 90" descr="Macintosh HD:Users:kirstyliddiard:Pictures:iPhoto Library.photolibrary:Masters:2016:11:17:20161117-175637:liddiard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kirstyliddiard:Pictures:iPhoto Library.photolibrary:Masters:2016:11:17:20161117-175637:liddiardk.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899160" cy="1218565"/>
                    </a:xfrm>
                    <a:prstGeom prst="rect">
                      <a:avLst/>
                    </a:prstGeom>
                    <a:ln w="127000" cap="rnd">
                      <a:solidFill>
                        <a:srgbClr val="FFFFFF"/>
                      </a:solidFill>
                    </a:ln>
                    <a:effectLst>
                      <a:outerShdw blurRad="76200" dist="95250" dir="10500000" sx="97000" sy="23000" kx="900000" algn="br" rotWithShape="0">
                        <a:srgbClr val="000000">
                          <a:alpha val="20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r w:rsidRPr="00BE2C1D">
        <w:rPr>
          <w:rFonts w:ascii="Century Gothic" w:hAnsi="Century Gothic"/>
        </w:rPr>
        <w:t>Dr. Kirsty Liddiard</w:t>
      </w:r>
    </w:p>
    <w:p w14:paraId="2A478589" w14:textId="77777777" w:rsidR="00BE2C1D" w:rsidRPr="00BE2C1D" w:rsidRDefault="00BE2C1D" w:rsidP="00BE2C1D">
      <w:pPr>
        <w:rPr>
          <w:rFonts w:ascii="Century Gothic" w:hAnsi="Century Gothic"/>
        </w:rPr>
      </w:pPr>
      <w:r w:rsidRPr="00BE2C1D">
        <w:rPr>
          <w:rFonts w:ascii="Century Gothic" w:hAnsi="Century Gothic"/>
        </w:rPr>
        <w:t>Research Fellow</w:t>
      </w:r>
    </w:p>
    <w:p w14:paraId="14DAA460" w14:textId="77777777" w:rsidR="00BE2C1D" w:rsidRPr="00BE2C1D" w:rsidRDefault="00BE2C1D" w:rsidP="00BE2C1D">
      <w:pPr>
        <w:rPr>
          <w:rFonts w:ascii="Century Gothic" w:hAnsi="Century Gothic"/>
        </w:rPr>
      </w:pPr>
      <w:r w:rsidRPr="00BE2C1D">
        <w:rPr>
          <w:rFonts w:ascii="Century Gothic" w:hAnsi="Century Gothic"/>
        </w:rPr>
        <w:t>School of Education</w:t>
      </w:r>
    </w:p>
    <w:p w14:paraId="22E0B4EB" w14:textId="77777777" w:rsidR="00BE2C1D" w:rsidRPr="00BE2C1D" w:rsidRDefault="00BE2C1D" w:rsidP="00BE2C1D">
      <w:pPr>
        <w:rPr>
          <w:rFonts w:ascii="Century Gothic" w:hAnsi="Century Gothic"/>
        </w:rPr>
      </w:pPr>
      <w:r w:rsidRPr="00BE2C1D">
        <w:rPr>
          <w:rFonts w:ascii="Century Gothic" w:hAnsi="Century Gothic"/>
        </w:rPr>
        <w:t>Room 1.07, 388 Glossop Road</w:t>
      </w:r>
    </w:p>
    <w:p w14:paraId="21895E22" w14:textId="77777777" w:rsidR="00BE2C1D" w:rsidRPr="00BE2C1D" w:rsidRDefault="00BE2C1D" w:rsidP="00BE2C1D">
      <w:pPr>
        <w:rPr>
          <w:rFonts w:ascii="Century Gothic" w:hAnsi="Century Gothic"/>
        </w:rPr>
      </w:pPr>
      <w:r w:rsidRPr="00BE2C1D">
        <w:rPr>
          <w:rFonts w:ascii="Century Gothic" w:hAnsi="Century Gothic"/>
        </w:rPr>
        <w:t>Sheffield, S10 2JA</w:t>
      </w:r>
    </w:p>
    <w:p w14:paraId="2DED121F" w14:textId="77777777" w:rsidR="00BE2C1D" w:rsidRPr="00BE2C1D" w:rsidRDefault="00BE2C1D" w:rsidP="00BE2C1D">
      <w:pPr>
        <w:rPr>
          <w:rFonts w:ascii="Century Gothic" w:hAnsi="Century Gothic"/>
        </w:rPr>
      </w:pPr>
      <w:r w:rsidRPr="00BE2C1D">
        <w:rPr>
          <w:rFonts w:ascii="Century Gothic" w:hAnsi="Century Gothic"/>
        </w:rPr>
        <w:t xml:space="preserve">Email: </w:t>
      </w:r>
      <w:hyperlink r:id="rId79" w:history="1">
        <w:r w:rsidRPr="00BE2C1D">
          <w:rPr>
            <w:rFonts w:ascii="Century Gothic" w:hAnsi="Century Gothic"/>
            <w:color w:val="0563C1" w:themeColor="hyperlink"/>
            <w:u w:val="single"/>
          </w:rPr>
          <w:t>k.liddiard@sheffield.ac.uk</w:t>
        </w:r>
      </w:hyperlink>
    </w:p>
    <w:p w14:paraId="7ADD0BF2" w14:textId="77777777" w:rsidR="00BE2C1D" w:rsidRPr="00BE2C1D" w:rsidRDefault="00BE2C1D" w:rsidP="00BE2C1D">
      <w:pPr>
        <w:rPr>
          <w:rFonts w:ascii="Century Gothic" w:hAnsi="Century Gothic"/>
        </w:rPr>
      </w:pPr>
      <w:r w:rsidRPr="00BE2C1D">
        <w:rPr>
          <w:rFonts w:ascii="Century Gothic" w:hAnsi="Century Gothic"/>
        </w:rPr>
        <w:t>Tel: (+44) (0)114 222 8111</w:t>
      </w:r>
    </w:p>
    <w:p w14:paraId="0D203735" w14:textId="77777777" w:rsidR="00BE2C1D" w:rsidRPr="00BE2C1D" w:rsidRDefault="00BE2C1D" w:rsidP="00BE2C1D">
      <w:pPr>
        <w:rPr>
          <w:rFonts w:ascii="Century Gothic" w:hAnsi="Century Gothic"/>
        </w:rPr>
      </w:pPr>
      <w:r w:rsidRPr="00BE2C1D">
        <w:rPr>
          <w:rFonts w:ascii="Century Gothic" w:hAnsi="Century Gothic"/>
        </w:rPr>
        <w:t>Professor Dan Goodley:</w:t>
      </w:r>
    </w:p>
    <w:p w14:paraId="27F29C23" w14:textId="77777777" w:rsidR="00BE2C1D" w:rsidRPr="00BE2C1D" w:rsidRDefault="00BE2C1D" w:rsidP="00BE2C1D">
      <w:pPr>
        <w:rPr>
          <w:rFonts w:ascii="Century Gothic" w:hAnsi="Century Gothic"/>
        </w:rPr>
      </w:pPr>
    </w:p>
    <w:p w14:paraId="215CA0D1" w14:textId="77777777" w:rsidR="00BE2C1D" w:rsidRPr="00BE2C1D" w:rsidRDefault="00BE2C1D" w:rsidP="00BE2C1D">
      <w:pPr>
        <w:rPr>
          <w:rFonts w:ascii="Century Gothic" w:hAnsi="Century Gothic"/>
        </w:rPr>
      </w:pPr>
      <w:r w:rsidRPr="00BE2C1D">
        <w:rPr>
          <w:rFonts w:ascii="Century Gothic" w:hAnsi="Century Gothic"/>
          <w:noProof/>
          <w:lang w:eastAsia="en-GB"/>
        </w:rPr>
        <w:lastRenderedPageBreak/>
        <w:drawing>
          <wp:anchor distT="0" distB="0" distL="114300" distR="114300" simplePos="0" relativeHeight="251670528" behindDoc="0" locked="0" layoutInCell="1" allowOverlap="1" wp14:anchorId="36BC2C80" wp14:editId="6C03FD25">
            <wp:simplePos x="0" y="0"/>
            <wp:positionH relativeFrom="column">
              <wp:posOffset>267970</wp:posOffset>
            </wp:positionH>
            <wp:positionV relativeFrom="paragraph">
              <wp:posOffset>41275</wp:posOffset>
            </wp:positionV>
            <wp:extent cx="846455" cy="1240155"/>
            <wp:effectExtent l="152400" t="152400" r="169545" b="182245"/>
            <wp:wrapSquare wrapText="bothSides"/>
            <wp:docPr id="91" name="Picture 91" descr="Macintosh HD:Users:kirstyliddiard:Pictures:iPhoto Library.photolibrary:Masters:2017:01:31:20170131-094752:dangoodl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kirstyliddiard:Pictures:iPhoto Library.photolibrary:Masters:2017:01:31:20170131-094752:dangoodley.jp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846455" cy="12401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BE2C1D">
        <w:rPr>
          <w:rFonts w:ascii="Century Gothic" w:hAnsi="Century Gothic" w:cs="Times"/>
          <w:color w:val="323133"/>
          <w:lang w:val="en-US"/>
        </w:rPr>
        <w:t>Chair in Education and Director of Research</w:t>
      </w:r>
    </w:p>
    <w:p w14:paraId="79922AF1" w14:textId="77777777" w:rsidR="00BE2C1D" w:rsidRPr="00BE2C1D" w:rsidRDefault="00BE2C1D" w:rsidP="00BE2C1D">
      <w:pPr>
        <w:rPr>
          <w:rFonts w:ascii="Century Gothic" w:hAnsi="Century Gothic"/>
        </w:rPr>
      </w:pPr>
      <w:r w:rsidRPr="00BE2C1D">
        <w:rPr>
          <w:rFonts w:ascii="Century Gothic" w:hAnsi="Century Gothic"/>
        </w:rPr>
        <w:t>School of Education</w:t>
      </w:r>
    </w:p>
    <w:p w14:paraId="77866884" w14:textId="77777777" w:rsidR="00BE2C1D" w:rsidRPr="00BE2C1D" w:rsidRDefault="00BE2C1D" w:rsidP="00BE2C1D">
      <w:pPr>
        <w:rPr>
          <w:rFonts w:ascii="Century Gothic" w:hAnsi="Century Gothic"/>
        </w:rPr>
      </w:pPr>
      <w:r w:rsidRPr="00BE2C1D">
        <w:rPr>
          <w:rFonts w:ascii="Century Gothic" w:hAnsi="Century Gothic"/>
        </w:rPr>
        <w:t>Room 8.05</w:t>
      </w:r>
    </w:p>
    <w:p w14:paraId="7A6491A7" w14:textId="77777777" w:rsidR="00BE2C1D" w:rsidRPr="00BE2C1D" w:rsidRDefault="00BE2C1D" w:rsidP="00BE2C1D">
      <w:pPr>
        <w:rPr>
          <w:rFonts w:ascii="Century Gothic" w:hAnsi="Century Gothic"/>
        </w:rPr>
      </w:pPr>
      <w:r w:rsidRPr="00BE2C1D">
        <w:rPr>
          <w:rFonts w:ascii="Century Gothic" w:hAnsi="Century Gothic"/>
        </w:rPr>
        <w:t>388 Glossop Road</w:t>
      </w:r>
    </w:p>
    <w:p w14:paraId="7F349DB0" w14:textId="77777777" w:rsidR="00BE2C1D" w:rsidRPr="00BE2C1D" w:rsidRDefault="00BE2C1D" w:rsidP="00BE2C1D">
      <w:pPr>
        <w:rPr>
          <w:rFonts w:ascii="Century Gothic" w:hAnsi="Century Gothic"/>
        </w:rPr>
      </w:pPr>
      <w:r w:rsidRPr="00BE2C1D">
        <w:rPr>
          <w:rFonts w:ascii="Century Gothic" w:hAnsi="Century Gothic"/>
        </w:rPr>
        <w:t>Sheffield, S10 2JA</w:t>
      </w:r>
    </w:p>
    <w:p w14:paraId="20926A0B" w14:textId="77777777" w:rsidR="00BE2C1D" w:rsidRPr="00BE2C1D" w:rsidRDefault="00BE2C1D" w:rsidP="00BE2C1D">
      <w:pPr>
        <w:rPr>
          <w:rFonts w:ascii="Century Gothic" w:hAnsi="Century Gothic"/>
        </w:rPr>
      </w:pPr>
      <w:r w:rsidRPr="00BE2C1D">
        <w:rPr>
          <w:rFonts w:ascii="Century Gothic" w:hAnsi="Century Gothic"/>
        </w:rPr>
        <w:t>Email: d.goodley@sheffield.ac.uk</w:t>
      </w:r>
    </w:p>
    <w:p w14:paraId="2BFADA46" w14:textId="77777777" w:rsidR="00BE2C1D" w:rsidRPr="00BE2C1D" w:rsidRDefault="00BE2C1D" w:rsidP="00BE2C1D">
      <w:pPr>
        <w:rPr>
          <w:rFonts w:ascii="Century Gothic" w:hAnsi="Century Gothic"/>
        </w:rPr>
      </w:pPr>
      <w:r w:rsidRPr="00BE2C1D">
        <w:rPr>
          <w:rFonts w:ascii="Century Gothic" w:hAnsi="Century Gothic"/>
        </w:rPr>
        <w:t>Tel: (+44) (0)114 222 8185</w:t>
      </w:r>
    </w:p>
    <w:p w14:paraId="519484B3" w14:textId="77777777" w:rsidR="00BE2C1D" w:rsidRPr="00BE2C1D" w:rsidRDefault="00BE2C1D" w:rsidP="00BE2C1D">
      <w:pPr>
        <w:rPr>
          <w:rFonts w:ascii="Century Gothic" w:hAnsi="Century Gothic"/>
          <w:color w:val="FF0000"/>
        </w:rPr>
      </w:pPr>
    </w:p>
    <w:p w14:paraId="49B395A0" w14:textId="77777777" w:rsidR="00BE2C1D" w:rsidRPr="00BE2C1D" w:rsidRDefault="00BE2C1D" w:rsidP="00BE2C1D">
      <w:pPr>
        <w:rPr>
          <w:rFonts w:ascii="Century Gothic" w:hAnsi="Century Gothic"/>
        </w:rPr>
      </w:pPr>
    </w:p>
    <w:p w14:paraId="098009B9" w14:textId="77777777" w:rsidR="00BE2C1D" w:rsidRPr="00BE2C1D" w:rsidRDefault="00BE2C1D" w:rsidP="00BE2C1D">
      <w:pPr>
        <w:rPr>
          <w:rFonts w:ascii="Century Gothic" w:hAnsi="Century Gothic"/>
        </w:rPr>
      </w:pPr>
      <w:r w:rsidRPr="00BE2C1D">
        <w:rPr>
          <w:rFonts w:ascii="Century Gothic" w:hAnsi="Century Gothic"/>
        </w:rPr>
        <w:t xml:space="preserve">You and your parent(s)/guardian(s) will be given a copy of this information sheet and a signed consent form to keep. </w:t>
      </w:r>
    </w:p>
    <w:p w14:paraId="1001B595" w14:textId="77777777" w:rsidR="00BE2C1D" w:rsidRPr="00BE2C1D" w:rsidRDefault="00BE2C1D" w:rsidP="00BE2C1D">
      <w:pPr>
        <w:rPr>
          <w:rFonts w:ascii="Century Gothic" w:hAnsi="Century Gothic"/>
        </w:rPr>
      </w:pPr>
    </w:p>
    <w:p w14:paraId="2C9FD186" w14:textId="77777777" w:rsidR="00BE2C1D" w:rsidRPr="00BE2C1D" w:rsidRDefault="00BE2C1D" w:rsidP="00BE2C1D">
      <w:pPr>
        <w:rPr>
          <w:rFonts w:ascii="Century Gothic" w:hAnsi="Century Gothic"/>
        </w:rPr>
      </w:pPr>
    </w:p>
    <w:p w14:paraId="0A35C498" w14:textId="77777777" w:rsidR="00BE2C1D" w:rsidRPr="00BE2C1D" w:rsidRDefault="00BE2C1D" w:rsidP="00BE2C1D">
      <w:pPr>
        <w:jc w:val="center"/>
        <w:rPr>
          <w:rFonts w:ascii="Century Gothic" w:hAnsi="Century Gothic"/>
          <w:b/>
          <w:sz w:val="32"/>
          <w:szCs w:val="32"/>
        </w:rPr>
      </w:pPr>
      <w:r w:rsidRPr="00BE2C1D">
        <w:rPr>
          <w:rFonts w:ascii="Century Gothic" w:hAnsi="Century Gothic"/>
          <w:b/>
          <w:sz w:val="32"/>
          <w:szCs w:val="32"/>
        </w:rPr>
        <w:t>Thank you for taking the time to read about the Be-Coming Storytellers: Stories of Secondary Education</w:t>
      </w:r>
      <w:r w:rsidRPr="00BE2C1D">
        <w:rPr>
          <w:rFonts w:ascii="Century Gothic" w:hAnsi="Century Gothic"/>
          <w:b/>
          <w:sz w:val="32"/>
          <w:szCs w:val="32"/>
        </w:rPr>
        <w:sym w:font="Wingdings" w:char="F04A"/>
      </w:r>
    </w:p>
    <w:p w14:paraId="4BC3B690" w14:textId="77777777" w:rsidR="00BE2C1D" w:rsidRPr="00BE2C1D" w:rsidRDefault="00BE2C1D" w:rsidP="00BE2C1D"/>
    <w:p w14:paraId="2E3F86C2" w14:textId="77777777" w:rsidR="00BE2C1D" w:rsidRPr="00BE2C1D" w:rsidRDefault="00BE2C1D" w:rsidP="00BE2C1D"/>
    <w:p w14:paraId="56218F26" w14:textId="77777777" w:rsidR="00BE2C1D" w:rsidRPr="00BE2C1D" w:rsidRDefault="00BE2C1D" w:rsidP="00BE2C1D"/>
    <w:p w14:paraId="607D9A5E" w14:textId="77777777" w:rsidR="00BE2C1D" w:rsidRPr="00BE2C1D" w:rsidRDefault="00BE2C1D" w:rsidP="00BE2C1D"/>
    <w:p w14:paraId="4D97E1C3" w14:textId="77777777" w:rsidR="00BE2C1D" w:rsidRPr="00BE2C1D" w:rsidRDefault="00BE2C1D" w:rsidP="00BE2C1D"/>
    <w:p w14:paraId="56BCD8F8" w14:textId="77777777" w:rsidR="00BE2C1D" w:rsidRPr="00BE2C1D" w:rsidRDefault="00BE2C1D" w:rsidP="00BE2C1D"/>
    <w:p w14:paraId="25DC87D9" w14:textId="77777777" w:rsidR="00BE2C1D" w:rsidRPr="00BE2C1D" w:rsidRDefault="00BE2C1D" w:rsidP="00BE2C1D"/>
    <w:p w14:paraId="18545CF0" w14:textId="77777777" w:rsidR="00BE2C1D" w:rsidRPr="00BE2C1D" w:rsidRDefault="00BE2C1D" w:rsidP="00BE2C1D"/>
    <w:p w14:paraId="777E1323" w14:textId="77777777" w:rsidR="00BE2C1D" w:rsidRPr="00BE2C1D" w:rsidRDefault="00BE2C1D" w:rsidP="00BE2C1D"/>
    <w:p w14:paraId="3AB12F82" w14:textId="77777777" w:rsidR="00BE2C1D" w:rsidRPr="00BE2C1D" w:rsidRDefault="00BE2C1D" w:rsidP="00BE2C1D"/>
    <w:p w14:paraId="3A786991" w14:textId="77777777" w:rsidR="00BE2C1D" w:rsidRPr="00BE2C1D" w:rsidRDefault="00BE2C1D" w:rsidP="00BE2C1D"/>
    <w:p w14:paraId="3876A343" w14:textId="77777777" w:rsidR="00BE2C1D" w:rsidRPr="00BE2C1D" w:rsidRDefault="00BE2C1D" w:rsidP="00BE2C1D"/>
    <w:p w14:paraId="3A621509" w14:textId="77777777" w:rsidR="00BE2C1D" w:rsidRPr="00BE2C1D" w:rsidRDefault="00BE2C1D" w:rsidP="00BE2C1D"/>
    <w:p w14:paraId="5FCDCFFC" w14:textId="77777777" w:rsidR="00BE2C1D" w:rsidRPr="00BE2C1D" w:rsidRDefault="00BE2C1D" w:rsidP="00BE2C1D"/>
    <w:p w14:paraId="75B0EEF4" w14:textId="77777777" w:rsidR="00BE2C1D" w:rsidRPr="00BE2C1D" w:rsidRDefault="00BE2C1D" w:rsidP="00BE2C1D"/>
    <w:p w14:paraId="1FCC02E0" w14:textId="77777777" w:rsidR="00BE2C1D" w:rsidRPr="00BE2C1D" w:rsidRDefault="00BE2C1D" w:rsidP="00BE2C1D">
      <w:pPr>
        <w:keepNext/>
        <w:keepLines/>
        <w:spacing w:before="40" w:after="0"/>
        <w:outlineLvl w:val="1"/>
        <w:rPr>
          <w:rFonts w:asciiTheme="majorHAnsi" w:eastAsiaTheme="majorEastAsia" w:hAnsiTheme="majorHAnsi" w:cstheme="majorBidi"/>
          <w:color w:val="2F5496" w:themeColor="accent1" w:themeShade="BF"/>
          <w:sz w:val="26"/>
          <w:szCs w:val="26"/>
        </w:rPr>
      </w:pPr>
      <w:bookmarkStart w:id="210" w:name="_Toc39585309"/>
      <w:r w:rsidRPr="00BE2C1D">
        <w:rPr>
          <w:rFonts w:asciiTheme="majorHAnsi" w:eastAsiaTheme="majorEastAsia" w:hAnsiTheme="majorHAnsi" w:cstheme="majorBidi"/>
          <w:color w:val="2F5496" w:themeColor="accent1" w:themeShade="BF"/>
          <w:sz w:val="26"/>
          <w:szCs w:val="26"/>
        </w:rPr>
        <w:lastRenderedPageBreak/>
        <w:t>Appendix 6: Informed Consent Forms</w:t>
      </w:r>
      <w:bookmarkEnd w:id="210"/>
    </w:p>
    <w:p w14:paraId="70970524" w14:textId="77777777" w:rsidR="00BE2C1D" w:rsidRPr="00BE2C1D" w:rsidRDefault="00BE2C1D" w:rsidP="00BE2C1D"/>
    <w:p w14:paraId="6CAD3800" w14:textId="77777777" w:rsidR="00BE2C1D" w:rsidRPr="00BE2C1D" w:rsidRDefault="00BE2C1D" w:rsidP="00BE2C1D">
      <w:pPr>
        <w:keepNext/>
        <w:keepLines/>
        <w:spacing w:before="40" w:after="0"/>
        <w:outlineLvl w:val="2"/>
        <w:rPr>
          <w:rFonts w:asciiTheme="majorHAnsi" w:eastAsiaTheme="majorEastAsia" w:hAnsiTheme="majorHAnsi" w:cstheme="majorBidi"/>
          <w:color w:val="1F3763" w:themeColor="accent1" w:themeShade="7F"/>
          <w:sz w:val="24"/>
          <w:szCs w:val="24"/>
        </w:rPr>
      </w:pPr>
      <w:bookmarkStart w:id="211" w:name="_Toc39585310"/>
      <w:r w:rsidRPr="00BE2C1D">
        <w:rPr>
          <w:rFonts w:asciiTheme="majorHAnsi" w:eastAsiaTheme="majorEastAsia" w:hAnsiTheme="majorHAnsi" w:cstheme="majorBidi"/>
          <w:color w:val="1F3763" w:themeColor="accent1" w:themeShade="7F"/>
          <w:sz w:val="24"/>
          <w:szCs w:val="24"/>
        </w:rPr>
        <w:t>Informed Consent Form for Adult Participants</w:t>
      </w:r>
      <w:bookmarkEnd w:id="211"/>
    </w:p>
    <w:p w14:paraId="4C4A5701" w14:textId="77777777" w:rsidR="00BE2C1D" w:rsidRPr="00BE2C1D" w:rsidRDefault="00BE2C1D" w:rsidP="00BE2C1D"/>
    <w:p w14:paraId="5AF896B5" w14:textId="77777777" w:rsidR="00BE2C1D" w:rsidRPr="00BE2C1D" w:rsidRDefault="00BE2C1D" w:rsidP="00BE2C1D">
      <w:pPr>
        <w:jc w:val="center"/>
        <w:rPr>
          <w:rFonts w:ascii="TUOS Blake" w:hAnsi="TUOS Blake"/>
          <w:b/>
          <w:sz w:val="32"/>
          <w:szCs w:val="32"/>
        </w:rPr>
      </w:pPr>
      <w:r w:rsidRPr="00BE2C1D">
        <w:rPr>
          <w:rFonts w:ascii="TUOS Blake" w:hAnsi="TUOS Blake"/>
          <w:b/>
          <w:sz w:val="32"/>
          <w:szCs w:val="32"/>
        </w:rPr>
        <w:t>Be-Coming Storytellers-Stories of Secondary Education</w:t>
      </w:r>
    </w:p>
    <w:p w14:paraId="0DBA7353" w14:textId="77777777" w:rsidR="00BE2C1D" w:rsidRPr="00BE2C1D" w:rsidRDefault="00BE2C1D" w:rsidP="00BE2C1D">
      <w:pPr>
        <w:jc w:val="center"/>
        <w:rPr>
          <w:rFonts w:ascii="TUOS Blake" w:hAnsi="TUOS Blake"/>
          <w:b/>
          <w:sz w:val="28"/>
          <w:szCs w:val="28"/>
        </w:rPr>
      </w:pPr>
    </w:p>
    <w:p w14:paraId="44E6FB43" w14:textId="77777777" w:rsidR="00BE2C1D" w:rsidRPr="00BE2C1D" w:rsidRDefault="00BE2C1D" w:rsidP="00BE2C1D">
      <w:pPr>
        <w:jc w:val="center"/>
        <w:rPr>
          <w:rFonts w:ascii="TUOS Blake" w:hAnsi="TUOS Blake"/>
          <w:b/>
          <w:sz w:val="28"/>
          <w:szCs w:val="28"/>
        </w:rPr>
      </w:pPr>
      <w:r w:rsidRPr="00BE2C1D">
        <w:rPr>
          <w:rFonts w:ascii="TUOS Blake" w:hAnsi="TUOS Blake"/>
          <w:b/>
          <w:sz w:val="28"/>
          <w:szCs w:val="28"/>
        </w:rPr>
        <w:t>Voluntary Consent Form</w:t>
      </w:r>
    </w:p>
    <w:p w14:paraId="6C421773" w14:textId="77777777" w:rsidR="00BE2C1D" w:rsidRPr="00BE2C1D" w:rsidRDefault="00BE2C1D" w:rsidP="00BE2C1D">
      <w:pPr>
        <w:rPr>
          <w:rFonts w:ascii="TUOS Blake" w:hAnsi="TUOS Blake"/>
          <w:b/>
        </w:rPr>
      </w:pPr>
    </w:p>
    <w:p w14:paraId="3E8A7603" w14:textId="77777777" w:rsidR="00BE2C1D" w:rsidRPr="00BE2C1D" w:rsidRDefault="00BE2C1D" w:rsidP="00BE2C1D">
      <w:pPr>
        <w:rPr>
          <w:rFonts w:ascii="TUOS Blake" w:hAnsi="TUOS Blake"/>
          <w:b/>
        </w:rPr>
      </w:pPr>
      <w:r w:rsidRPr="00BE2C1D">
        <w:rPr>
          <w:rFonts w:ascii="TUOS Blake" w:hAnsi="TUOS Blake"/>
          <w:b/>
        </w:rPr>
        <w:t xml:space="preserve">This form is for a young person participant (18-30) </w:t>
      </w:r>
    </w:p>
    <w:p w14:paraId="60DE25D5" w14:textId="77777777" w:rsidR="00BE2C1D" w:rsidRPr="00BE2C1D" w:rsidRDefault="00BE2C1D" w:rsidP="00BE2C1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16"/>
      </w:tblGrid>
      <w:tr w:rsidR="00BE2C1D" w:rsidRPr="00BE2C1D" w14:paraId="78901048" w14:textId="77777777" w:rsidTr="00BE2C1D">
        <w:tc>
          <w:tcPr>
            <w:tcW w:w="9286" w:type="dxa"/>
          </w:tcPr>
          <w:p w14:paraId="455E46ED" w14:textId="77777777" w:rsidR="00BE2C1D" w:rsidRPr="00BE2C1D" w:rsidRDefault="00BE2C1D" w:rsidP="00BE2C1D">
            <w:pPr>
              <w:spacing w:after="0" w:line="240" w:lineRule="auto"/>
              <w:rPr>
                <w:rFonts w:ascii="TUOS Blake" w:eastAsia="Times New Roman" w:hAnsi="TUOS Blake" w:cs="Arial"/>
                <w:sz w:val="24"/>
                <w:szCs w:val="24"/>
              </w:rPr>
            </w:pPr>
          </w:p>
          <w:p w14:paraId="4CD3D72D" w14:textId="77777777" w:rsidR="00BE2C1D" w:rsidRPr="00BE2C1D" w:rsidRDefault="00BE2C1D" w:rsidP="00BE2C1D">
            <w:pPr>
              <w:jc w:val="both"/>
              <w:outlineLvl w:val="0"/>
              <w:rPr>
                <w:rFonts w:ascii="TUOS Blake" w:hAnsi="TUOS Blake" w:cs="Arial"/>
              </w:rPr>
            </w:pPr>
            <w:bookmarkStart w:id="212" w:name="_Toc37963618"/>
            <w:bookmarkStart w:id="213" w:name="_Toc39337427"/>
            <w:bookmarkStart w:id="214" w:name="_Toc39340177"/>
            <w:bookmarkStart w:id="215" w:name="_Toc39585311"/>
            <w:r w:rsidRPr="00BE2C1D">
              <w:rPr>
                <w:rFonts w:ascii="TUOS Blake" w:hAnsi="TUOS Blake" w:cs="Arial"/>
                <w:b/>
              </w:rPr>
              <w:t>Title of Research Project:</w:t>
            </w:r>
            <w:r w:rsidRPr="00BE2C1D">
              <w:rPr>
                <w:rFonts w:ascii="TUOS Blake" w:hAnsi="TUOS Blake" w:cs="Arial"/>
              </w:rPr>
              <w:t xml:space="preserve"> Be-Coming Storytellers: Stories of Secondary Education</w:t>
            </w:r>
            <w:bookmarkEnd w:id="212"/>
            <w:bookmarkEnd w:id="213"/>
            <w:bookmarkEnd w:id="214"/>
            <w:bookmarkEnd w:id="215"/>
          </w:p>
          <w:p w14:paraId="75F2B475" w14:textId="77777777" w:rsidR="00BE2C1D" w:rsidRPr="00BE2C1D" w:rsidRDefault="00BE2C1D" w:rsidP="00BE2C1D">
            <w:pPr>
              <w:rPr>
                <w:rFonts w:ascii="TUOS Blake" w:hAnsi="TUOS Blake" w:cs="Arial"/>
              </w:rPr>
            </w:pPr>
          </w:p>
          <w:p w14:paraId="7B01E7E8" w14:textId="77777777" w:rsidR="00BE2C1D" w:rsidRPr="00BE2C1D" w:rsidRDefault="00BE2C1D" w:rsidP="00BE2C1D">
            <w:pPr>
              <w:rPr>
                <w:rFonts w:ascii="TUOS Blake" w:hAnsi="TUOS Blake" w:cs="Arial"/>
              </w:rPr>
            </w:pPr>
            <w:r w:rsidRPr="00BE2C1D">
              <w:rPr>
                <w:rFonts w:ascii="TUOS Blake" w:hAnsi="TUOS Blake" w:cs="Arial"/>
                <w:b/>
              </w:rPr>
              <w:t>Name of Researcher:</w:t>
            </w:r>
            <w:r w:rsidRPr="00BE2C1D">
              <w:rPr>
                <w:rFonts w:ascii="TUOS Blake" w:hAnsi="TUOS Blake" w:cs="Arial"/>
              </w:rPr>
              <w:t xml:space="preserve">  Antonios Ktenidis</w:t>
            </w:r>
          </w:p>
          <w:p w14:paraId="132AB5C8" w14:textId="77777777" w:rsidR="00BE2C1D" w:rsidRPr="00BE2C1D" w:rsidRDefault="00BE2C1D" w:rsidP="00BE2C1D">
            <w:pPr>
              <w:rPr>
                <w:rFonts w:ascii="TUOS Blake" w:hAnsi="TUOS Blake" w:cs="Arial"/>
              </w:rPr>
            </w:pPr>
          </w:p>
          <w:p w14:paraId="688C6EEE" w14:textId="77777777" w:rsidR="00BE2C1D" w:rsidRPr="00BE2C1D" w:rsidRDefault="00BE2C1D" w:rsidP="00BE2C1D">
            <w:pPr>
              <w:spacing w:after="0" w:line="240" w:lineRule="auto"/>
              <w:rPr>
                <w:rFonts w:ascii="TUOS Blake" w:eastAsia="Times New Roman" w:hAnsi="TUOS Blake" w:cs="Arial"/>
                <w:b/>
                <w:bCs/>
                <w:sz w:val="24"/>
                <w:szCs w:val="24"/>
              </w:rPr>
            </w:pPr>
            <w:r w:rsidRPr="00BE2C1D">
              <w:rPr>
                <w:rFonts w:ascii="TUOS Blake" w:eastAsia="Times New Roman" w:hAnsi="TUOS Blake" w:cs="Times New Roman"/>
                <w:b/>
                <w:bCs/>
                <w:sz w:val="24"/>
                <w:szCs w:val="24"/>
              </w:rPr>
              <w:t>Participant Identification Number for this project:</w:t>
            </w:r>
            <w:r w:rsidRPr="00BE2C1D">
              <w:rPr>
                <w:rFonts w:ascii="TUOS Blake" w:eastAsia="Times New Roman" w:hAnsi="TUOS Blake" w:cs="Arial"/>
                <w:b/>
                <w:bCs/>
                <w:sz w:val="24"/>
                <w:szCs w:val="24"/>
              </w:rPr>
              <w:tab/>
              <w:t xml:space="preserve">           Please initial box</w:t>
            </w:r>
          </w:p>
          <w:p w14:paraId="6E887FEB" w14:textId="77777777" w:rsidR="00BE2C1D" w:rsidRPr="00BE2C1D" w:rsidRDefault="00BE2C1D" w:rsidP="00BE2C1D">
            <w:pPr>
              <w:spacing w:after="0" w:line="240" w:lineRule="auto"/>
              <w:rPr>
                <w:rFonts w:ascii="TUOS Blake" w:eastAsia="Times New Roman" w:hAnsi="TUOS Blake" w:cs="Arial"/>
                <w:b/>
                <w:bCs/>
                <w:sz w:val="24"/>
                <w:szCs w:val="24"/>
              </w:rPr>
            </w:pPr>
          </w:p>
          <w:p w14:paraId="05A043F3" w14:textId="77777777" w:rsidR="00BE2C1D" w:rsidRPr="00BE2C1D" w:rsidRDefault="00BE2C1D" w:rsidP="00BE2C1D">
            <w:pPr>
              <w:numPr>
                <w:ilvl w:val="0"/>
                <w:numId w:val="12"/>
              </w:numPr>
              <w:spacing w:after="0" w:line="240" w:lineRule="auto"/>
              <w:ind w:left="360"/>
              <w:rPr>
                <w:rFonts w:ascii="TUOS Blake" w:hAnsi="TUOS Blake" w:cs="Arial"/>
              </w:rPr>
            </w:pPr>
            <w:r w:rsidRPr="00BE2C1D">
              <w:rPr>
                <w:rFonts w:ascii="TUOS Blake" w:hAnsi="TUOS Blake" w:cs="Arial"/>
                <w:noProof/>
                <w:lang w:eastAsia="en-GB"/>
              </w:rPr>
              <mc:AlternateContent>
                <mc:Choice Requires="wps">
                  <w:drawing>
                    <wp:anchor distT="0" distB="0" distL="114300" distR="114300" simplePos="0" relativeHeight="251703296" behindDoc="0" locked="0" layoutInCell="1" allowOverlap="1" wp14:anchorId="70135BB1" wp14:editId="31B17AD4">
                      <wp:simplePos x="0" y="0"/>
                      <wp:positionH relativeFrom="column">
                        <wp:posOffset>5143500</wp:posOffset>
                      </wp:positionH>
                      <wp:positionV relativeFrom="paragraph">
                        <wp:posOffset>34925</wp:posOffset>
                      </wp:positionV>
                      <wp:extent cx="457200" cy="342900"/>
                      <wp:effectExtent l="9525" t="12065" r="9525" b="6985"/>
                      <wp:wrapNone/>
                      <wp:docPr id="49"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726CE9" id="Rectangle 49" o:spid="_x0000_s1026" style="position:absolute;margin-left:405pt;margin-top:2.75pt;width:36pt;height:27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xsGHgIAAD0EAAAOAAAAZHJzL2Uyb0RvYy54bWysU9tuEzEQfUfiHyy/k01CAs0qm6pKCUIq&#10;UFH4gInXu2vhG2Mnm/D1HXvTkAJPCD9YHs/4+MyZmeX1wWi2lxiUsxWfjMacSStcrWxb8W9fN6+u&#10;OAsRbA3aWVnxowz8evXyxbL3pZy6zulaIiMQG8reV7yL0ZdFEUQnDYSR89KSs3FoIJKJbVEj9IRu&#10;dDEdj98UvcPaoxMyBLq9HZx8lfGbRor4uWmCjExXnLjFvGPet2kvVksoWwTfKXGiAf/AwoCy9OkZ&#10;6hYisB2qP6CMEuiCa+JIOFO4plFC5hwom8n4t2weOvAy50LiBH+WKfw/WPFpf49M1RWfLTizYKhG&#10;X0g1sK2WjO5IoN6HkuIe/D2mFIO/c+J7YNatOwqTN4iu7yTURGuS4otnD5IR6Cnb9h9dTfCwiy5r&#10;dWjQJEBSgR1ySY7nkshDZIIuZ/O3VGbOBLlez6YLOqcfoHx67DHE99IZlg4VR+KewWF/F+IQ+hSS&#10;yTut6o3SOhvYbtca2R6oOzZ5ndDDZZi2rK/4Yj6dZ+RnvnAJMc7rbxBGRWpzrUzFr85BUCbV3tma&#10;aEIZQenhTNlpe5IxKTdUYOvqI6mIbuhhmjk6dA5/ctZT/1Y8/NgBSs70B0uVWExms9Tw2cgqcoaX&#10;nu2lB6wgqIpHzobjOg5DsvOo2o5+muTcrbuh6jUqK5sqO7A6kaUezbU5zVMagks7R/2a+tUjAAAA&#10;//8DAFBLAwQUAAYACAAAACEAqvzDsNwAAAAIAQAADwAAAGRycy9kb3ducmV2LnhtbEyPwU7DMBBE&#10;70j8g7VI3KjdoKA0xKkQqEgc2/TCzYmXJBCvo9hpA1/PcqLHp1nNvim2ixvECafQe9KwXikQSI23&#10;PbUajtXuLgMRoiFrBk+o4RsDbMvrq8Lk1p9pj6dDbAWXUMiNhi7GMZcyNB06E1Z+ROLsw0/ORMap&#10;lXYyZy53g0yUepDO9MQfOjPic4fN12F2Guo+OZqfffWq3GZ3H9+W6nN+f9H69mZ5egQRcYn/x/Cn&#10;z+pQslPtZ7JBDBqyteItUUOaguA8yxLmmnmTgiwLeTmg/AUAAP//AwBQSwECLQAUAAYACAAAACEA&#10;toM4kv4AAADhAQAAEwAAAAAAAAAAAAAAAAAAAAAAW0NvbnRlbnRfVHlwZXNdLnhtbFBLAQItABQA&#10;BgAIAAAAIQA4/SH/1gAAAJQBAAALAAAAAAAAAAAAAAAAAC8BAABfcmVscy8ucmVsc1BLAQItABQA&#10;BgAIAAAAIQDOoxsGHgIAAD0EAAAOAAAAAAAAAAAAAAAAAC4CAABkcnMvZTJvRG9jLnhtbFBLAQIt&#10;ABQABgAIAAAAIQCq/MOw3AAAAAgBAAAPAAAAAAAAAAAAAAAAAHgEAABkcnMvZG93bnJldi54bWxQ&#10;SwUGAAAAAAQABADzAAAAgQUAAAAA&#10;"/>
                  </w:pict>
                </mc:Fallback>
              </mc:AlternateContent>
            </w:r>
            <w:r w:rsidRPr="00BE2C1D">
              <w:rPr>
                <w:rFonts w:ascii="TUOS Blake" w:hAnsi="TUOS Blake" w:cs="Arial"/>
              </w:rPr>
              <w:t xml:space="preserve">I confirm that I have read and understand the information sheet </w:t>
            </w:r>
            <w:r w:rsidRPr="00BE2C1D">
              <w:rPr>
                <w:rFonts w:ascii="TUOS Blake" w:hAnsi="TUOS Blake" w:cs="Arial"/>
              </w:rPr>
              <w:br/>
              <w:t xml:space="preserve">dated </w:t>
            </w:r>
            <w:r w:rsidRPr="00BE2C1D">
              <w:rPr>
                <w:rFonts w:ascii="TUOS Blake" w:hAnsi="TUOS Blake" w:cs="Arial"/>
                <w:i/>
              </w:rPr>
              <w:t>[insert date]</w:t>
            </w:r>
            <w:r w:rsidRPr="00BE2C1D">
              <w:rPr>
                <w:rFonts w:ascii="TUOS Blake" w:hAnsi="TUOS Blake" w:cs="Arial"/>
              </w:rPr>
              <w:t xml:space="preserve"> explaining the above research project</w:t>
            </w:r>
            <w:r w:rsidRPr="00BE2C1D">
              <w:rPr>
                <w:rFonts w:ascii="TUOS Blake" w:hAnsi="TUOS Blake" w:cs="Arial"/>
              </w:rPr>
              <w:br/>
              <w:t>and I have had the opportunity to ask questions about the project.</w:t>
            </w:r>
          </w:p>
          <w:p w14:paraId="705B7234" w14:textId="77777777" w:rsidR="00BE2C1D" w:rsidRPr="00BE2C1D" w:rsidRDefault="00BE2C1D" w:rsidP="00BE2C1D">
            <w:pPr>
              <w:rPr>
                <w:rFonts w:ascii="TUOS Blake" w:hAnsi="TUOS Blake" w:cs="Arial"/>
              </w:rPr>
            </w:pPr>
          </w:p>
          <w:p w14:paraId="7F39262E" w14:textId="77777777" w:rsidR="00BE2C1D" w:rsidRPr="00BE2C1D" w:rsidRDefault="00BE2C1D" w:rsidP="00BE2C1D">
            <w:pPr>
              <w:numPr>
                <w:ilvl w:val="0"/>
                <w:numId w:val="12"/>
              </w:numPr>
              <w:spacing w:after="0" w:line="240" w:lineRule="auto"/>
              <w:ind w:left="360"/>
              <w:rPr>
                <w:rFonts w:ascii="TUOS Blake" w:hAnsi="TUOS Blake" w:cs="Arial"/>
              </w:rPr>
            </w:pPr>
            <w:r w:rsidRPr="00BE2C1D">
              <w:rPr>
                <w:rFonts w:ascii="TUOS Blake" w:hAnsi="TUOS Blake" w:cs="Arial"/>
                <w:noProof/>
                <w:lang w:eastAsia="en-GB"/>
              </w:rPr>
              <mc:AlternateContent>
                <mc:Choice Requires="wps">
                  <w:drawing>
                    <wp:anchor distT="0" distB="0" distL="114300" distR="114300" simplePos="0" relativeHeight="251704320" behindDoc="0" locked="0" layoutInCell="1" allowOverlap="1" wp14:anchorId="00C1F5A7" wp14:editId="2BF9CAF5">
                      <wp:simplePos x="0" y="0"/>
                      <wp:positionH relativeFrom="column">
                        <wp:posOffset>5136515</wp:posOffset>
                      </wp:positionH>
                      <wp:positionV relativeFrom="paragraph">
                        <wp:posOffset>114300</wp:posOffset>
                      </wp:positionV>
                      <wp:extent cx="457200" cy="342900"/>
                      <wp:effectExtent l="12065" t="10160" r="6985" b="8890"/>
                      <wp:wrapNone/>
                      <wp:docPr id="50"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330D4C" id="Rectangle 50" o:spid="_x0000_s1026" style="position:absolute;margin-left:404.45pt;margin-top:9pt;width:36pt;height:27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eoEHQIAAD0EAAAOAAAAZHJzL2Uyb0RvYy54bWysU8FuEzEQvSPxD5bvZJOQQLPKpqpSgpAK&#10;VBQ+wPF6dy1sjxk72YSv79ibhhQ4IXywPJ7x85s3M8vrgzVsrzBocBWfjMacKSeh1q6t+Levm1dX&#10;nIUoXC0MOFXxowr8evXyxbL3pZpCB6ZWyAjEhbL3Fe9i9GVRBNkpK8IIvHLkbACtiGRiW9QoekK3&#10;ppiOx2+KHrD2CFKFQLe3g5OvMn7TKBk/N01QkZmKE7eYd8z7Nu3FainKFoXvtDzREP/Awgrt6NMz&#10;1K2Igu1Q/wFltUQI0MSRBFtA02ipcg6UzWT8WzYPnfAq50LiBH+WKfw/WPlpf49M1xWfkzxOWKrR&#10;F1JNuNYoRnckUO9DSXEP/h5TisHfgfwemIN1R2HqBhH6TomaaE1SfPHsQTICPWXb/iPUBC92EbJW&#10;hwZtAiQV2CGX5HguiTpEJulyNn9LZeZMkuv1bLqgc/pBlE+PPYb4XoFl6VBxJO4ZXOzvQhxCn0Iy&#10;eTC63mhjsoHtdm2Q7QV1xyavE3q4DDOO9RVfzKfzjPzMFy4hxnn9DcLqSG1utK341TlIlEm1d64m&#10;mqKMQpvhTNkZd5IxKTdUYAv1kVREGHqYZo4OHeBPznrq34qHHzuBijPzwVElFpPZLDV8NrKKnOGl&#10;Z3vpEU4SVMUjZ8NxHYch2XnUbUc/TXLuDm6oeo3OyqbKDqxOZKlHc21O85SG4NLOUb+mfvUIAAD/&#10;/wMAUEsDBBQABgAIAAAAIQB9m/2f3AAAAAkBAAAPAAAAZHJzL2Rvd25yZXYueG1sTI/BTsMwEETv&#10;SPyDtUjcqE2QwA1xKgQqEsc2vXBz4iUJxOsodtrA17Oc6HFnnmZnis3iB3HEKfaBDNyuFAikJrie&#10;WgOHanujQcRkydkhEBr4xgib8vKisLkLJ9rhcZ9awSEUc2ugS2nMpYxNh97GVRiR2PsIk7eJz6mV&#10;brInDveDzJS6l972xB86O+Jzh83XfvYG6j472J9d9ar8enuX3pbqc35/Meb6anl6BJFwSf8w/NXn&#10;6lBypzrM5KIYDGil14yyoXkTA1orFmoDD5kCWRbyfEH5CwAA//8DAFBLAQItABQABgAIAAAAIQC2&#10;gziS/gAAAOEBAAATAAAAAAAAAAAAAAAAAAAAAABbQ29udGVudF9UeXBlc10ueG1sUEsBAi0AFAAG&#10;AAgAAAAhADj9If/WAAAAlAEAAAsAAAAAAAAAAAAAAAAALwEAAF9yZWxzLy5yZWxzUEsBAi0AFAAG&#10;AAgAAAAhABsZ6gQdAgAAPQQAAA4AAAAAAAAAAAAAAAAALgIAAGRycy9lMm9Eb2MueG1sUEsBAi0A&#10;FAAGAAgAAAAhAH2b/Z/cAAAACQEAAA8AAAAAAAAAAAAAAAAAdwQAAGRycy9kb3ducmV2LnhtbFBL&#10;BQYAAAAABAAEAPMAAACABQAAAAA=&#10;"/>
                  </w:pict>
                </mc:Fallback>
              </mc:AlternateContent>
            </w:r>
            <w:r w:rsidRPr="00BE2C1D">
              <w:rPr>
                <w:rFonts w:ascii="TUOS Blake" w:hAnsi="TUOS Blake" w:cs="Arial"/>
              </w:rPr>
              <w:t xml:space="preserve">I understand that my participation is voluntary and that I am free to </w:t>
            </w:r>
          </w:p>
          <w:p w14:paraId="4E7AA520" w14:textId="77777777" w:rsidR="00BE2C1D" w:rsidRPr="00BE2C1D" w:rsidRDefault="00BE2C1D" w:rsidP="00BE2C1D">
            <w:pPr>
              <w:ind w:left="360"/>
              <w:rPr>
                <w:rFonts w:ascii="TUOS Blake" w:hAnsi="TUOS Blake" w:cs="Arial"/>
              </w:rPr>
            </w:pPr>
            <w:r w:rsidRPr="00BE2C1D">
              <w:rPr>
                <w:rFonts w:ascii="TUOS Blake" w:hAnsi="TUOS Blake" w:cs="Arial"/>
              </w:rPr>
              <w:t xml:space="preserve">withdraw at any time without giving any reason and without there </w:t>
            </w:r>
          </w:p>
          <w:p w14:paraId="521DA48D" w14:textId="77777777" w:rsidR="00BE2C1D" w:rsidRPr="00BE2C1D" w:rsidRDefault="00BE2C1D" w:rsidP="00BE2C1D">
            <w:pPr>
              <w:ind w:left="360"/>
              <w:rPr>
                <w:rFonts w:ascii="TUOS Blake" w:hAnsi="TUOS Blake" w:cs="Arial"/>
              </w:rPr>
            </w:pPr>
            <w:r w:rsidRPr="00BE2C1D">
              <w:rPr>
                <w:rFonts w:ascii="TUOS Blake" w:hAnsi="TUOS Blake" w:cs="Arial"/>
              </w:rPr>
              <w:t xml:space="preserve">being any negative consequences. In addition, should I not wish to </w:t>
            </w:r>
          </w:p>
          <w:p w14:paraId="563E8C97" w14:textId="77777777" w:rsidR="00BE2C1D" w:rsidRPr="00BE2C1D" w:rsidRDefault="00BE2C1D" w:rsidP="00BE2C1D">
            <w:pPr>
              <w:ind w:left="360"/>
              <w:rPr>
                <w:rFonts w:ascii="TUOS Blake" w:hAnsi="TUOS Blake" w:cs="Arial"/>
              </w:rPr>
            </w:pPr>
            <w:r w:rsidRPr="00BE2C1D">
              <w:rPr>
                <w:rFonts w:ascii="TUOS Blake" w:hAnsi="TUOS Blake" w:cs="Arial"/>
              </w:rPr>
              <w:t xml:space="preserve">answer any particular question or questions, I am free to decline. I can </w:t>
            </w:r>
          </w:p>
          <w:p w14:paraId="38A44EC1" w14:textId="77777777" w:rsidR="00BE2C1D" w:rsidRPr="00BE2C1D" w:rsidRDefault="00BE2C1D" w:rsidP="00BE2C1D">
            <w:pPr>
              <w:ind w:left="360"/>
              <w:rPr>
                <w:rFonts w:ascii="TUOS Blake" w:hAnsi="TUOS Blake" w:cs="Arial"/>
              </w:rPr>
            </w:pPr>
            <w:r w:rsidRPr="00BE2C1D">
              <w:rPr>
                <w:rFonts w:ascii="TUOS Blake" w:hAnsi="TUOS Blake" w:cs="Arial"/>
              </w:rPr>
              <w:t xml:space="preserve">email </w:t>
            </w:r>
            <w:r w:rsidRPr="00BE2C1D">
              <w:rPr>
                <w:rFonts w:ascii="TUOS Blake" w:hAnsi="TUOS Blake" w:cs="Arial"/>
                <w:iCs/>
              </w:rPr>
              <w:t>Antonios Ktenidis(Email: aktenidis1@sheffield.ac.uk) if I wish to discuss withdrawal or have any questions pertaining to withdrawal.</w:t>
            </w:r>
          </w:p>
          <w:p w14:paraId="126E0A0C" w14:textId="77777777" w:rsidR="00BE2C1D" w:rsidRPr="00BE2C1D" w:rsidRDefault="00BE2C1D" w:rsidP="00BE2C1D">
            <w:pPr>
              <w:tabs>
                <w:tab w:val="left" w:pos="360"/>
              </w:tabs>
              <w:ind w:left="360"/>
              <w:rPr>
                <w:rFonts w:ascii="TUOS Blake" w:hAnsi="TUOS Blake" w:cs="Arial"/>
              </w:rPr>
            </w:pPr>
            <w:r w:rsidRPr="00BE2C1D">
              <w:rPr>
                <w:rFonts w:ascii="TUOS Blake" w:hAnsi="TUOS Blake" w:cs="Arial"/>
                <w:noProof/>
                <w:lang w:eastAsia="en-GB"/>
              </w:rPr>
              <w:lastRenderedPageBreak/>
              <mc:AlternateContent>
                <mc:Choice Requires="wps">
                  <w:drawing>
                    <wp:anchor distT="0" distB="0" distL="114300" distR="114300" simplePos="0" relativeHeight="251705344" behindDoc="0" locked="0" layoutInCell="1" allowOverlap="1" wp14:anchorId="28EBD0D4" wp14:editId="79B7205A">
                      <wp:simplePos x="0" y="0"/>
                      <wp:positionH relativeFrom="column">
                        <wp:posOffset>5143500</wp:posOffset>
                      </wp:positionH>
                      <wp:positionV relativeFrom="paragraph">
                        <wp:posOffset>121920</wp:posOffset>
                      </wp:positionV>
                      <wp:extent cx="457200" cy="342900"/>
                      <wp:effectExtent l="9525" t="7620" r="9525" b="11430"/>
                      <wp:wrapNone/>
                      <wp:docPr id="52"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6CFB19" id="Rectangle 52" o:spid="_x0000_s1026" style="position:absolute;margin-left:405pt;margin-top:9.6pt;width:36pt;height:27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Y4ZHgIAAD0EAAAOAAAAZHJzL2Uyb0RvYy54bWysU8FuEzEQvSPxD5bvZJOQQLPKpqpSgpAK&#10;VBQ+wPF6dy1sjxk72YSv79ibhhQ4IXywPJ7x85s3M8vrgzVsrzBocBWfjMacKSeh1q6t+Levm1dX&#10;nIUoXC0MOFXxowr8evXyxbL3pZpCB6ZWyAjEhbL3Fe9i9GVRBNkpK8IIvHLkbACtiGRiW9QoekK3&#10;ppiOx2+KHrD2CFKFQLe3g5OvMn7TKBk/N01QkZmKE7eYd8z7Nu3FainKFoXvtDzREP/Awgrt6NMz&#10;1K2Igu1Q/wFltUQI0MSRBFtA02ipcg6UzWT8WzYPnfAq50LiBH+WKfw/WPlpf49M1xWfTzlzwlKN&#10;vpBqwrVGMbojgXofSop78PeYUgz+DuT3wBysOwpTN4jQd0rURGuS4otnD5IR6Cnb9h+hJnixi5C1&#10;OjRoEyCpwA65JMdzSdQhMkmXs/lbKjNnklyvZ9MFndMPonx67DHE9wosS4eKI3HP4GJ/F+IQ+hSS&#10;yYPR9UYbkw1st2uDbC+oOzZ5ndDDZZhxrK/4Yj6dZ+RnvnAJMc7rbxBWR2pzo23Fr85BokyqvXM1&#10;0RRlFNoMZ8rOuJOMSbmhAluoj6QiwtDDNHN06AB/ctZT/1Y8/NgJVJyZD44qsZjMZqnhs5FV5Awv&#10;PdtLj3CSoCoeORuO6zgMyc6jbjv6aZJzd3BD1Wt0VjZVdmB1Iks9mmtzmqc0BJd2jvo19atHAAAA&#10;//8DAFBLAwQUAAYACAAAACEASB4ck94AAAAJAQAADwAAAGRycy9kb3ducmV2LnhtbEyPwU7DMBBE&#10;70j8g7VI3KjdVII0xKkQqEgc2/TCbRO7SUq8jmKnDXw9y4ked2Y0+ybfzK4XZzuGzpOG5UKBsFR7&#10;01Gj4VBuH1IQISIZ7D1ZDd82wKa4vckxM/5CO3vex0ZwCYUMNbQxDpmUoW6tw7DwgyX2jn50GPkc&#10;G2lGvHC562Wi1KN02BF/aHGwr62tv/aT01B1yQF/duW7cuvtKn7M5Wn6fNP6/m5+eQYR7Rz/w/CH&#10;z+hQMFPlJzJB9BrSpeItkY11AoIDaZqwUGl4WiUgi1xeLyh+AQAA//8DAFBLAQItABQABgAIAAAA&#10;IQC2gziS/gAAAOEBAAATAAAAAAAAAAAAAAAAAAAAAABbQ29udGVudF9UeXBlc10ueG1sUEsBAi0A&#10;FAAGAAgAAAAhADj9If/WAAAAlAEAAAsAAAAAAAAAAAAAAAAALwEAAF9yZWxzLy5yZWxzUEsBAi0A&#10;FAAGAAgAAAAhAAl5jhkeAgAAPQQAAA4AAAAAAAAAAAAAAAAALgIAAGRycy9lMm9Eb2MueG1sUEsB&#10;Ai0AFAAGAAgAAAAhAEgeHJPeAAAACQEAAA8AAAAAAAAAAAAAAAAAeAQAAGRycy9kb3ducmV2Lnht&#10;bFBLBQYAAAAABAAEAPMAAACDBQAAAAA=&#10;"/>
                  </w:pict>
                </mc:Fallback>
              </mc:AlternateContent>
            </w:r>
          </w:p>
          <w:p w14:paraId="22843039" w14:textId="77777777" w:rsidR="00BE2C1D" w:rsidRPr="00BE2C1D" w:rsidRDefault="00BE2C1D" w:rsidP="00BE2C1D">
            <w:pPr>
              <w:numPr>
                <w:ilvl w:val="0"/>
                <w:numId w:val="12"/>
              </w:numPr>
              <w:tabs>
                <w:tab w:val="left" w:pos="360"/>
              </w:tabs>
              <w:spacing w:after="0" w:line="240" w:lineRule="auto"/>
              <w:ind w:left="360"/>
              <w:rPr>
                <w:rFonts w:ascii="TUOS Blake" w:hAnsi="TUOS Blake" w:cs="Arial"/>
              </w:rPr>
            </w:pPr>
            <w:r w:rsidRPr="00BE2C1D">
              <w:rPr>
                <w:rFonts w:ascii="TUOS Blake" w:hAnsi="TUOS Blake" w:cs="Arial"/>
              </w:rPr>
              <w:t>I understand that my responses will be kept strictly confidential.</w:t>
            </w:r>
            <w:r w:rsidRPr="00BE2C1D">
              <w:rPr>
                <w:rFonts w:ascii="TUOS Blake" w:hAnsi="TUOS Blake" w:cs="Arial"/>
              </w:rPr>
              <w:br/>
              <w:t xml:space="preserve">I give permission to have access to my anonymised (if I choose anonymity) responses. I understand that my name will not be linked with the research materials, and I will not be identified or identifiable in the report or reports that result from the research.  </w:t>
            </w:r>
          </w:p>
          <w:p w14:paraId="443AC795" w14:textId="77777777" w:rsidR="00BE2C1D" w:rsidRPr="00BE2C1D" w:rsidRDefault="00BE2C1D" w:rsidP="00BE2C1D">
            <w:pPr>
              <w:tabs>
                <w:tab w:val="left" w:pos="360"/>
              </w:tabs>
              <w:rPr>
                <w:rFonts w:ascii="TUOS Blake" w:hAnsi="TUOS Blake" w:cs="Arial"/>
              </w:rPr>
            </w:pPr>
            <w:r w:rsidRPr="00BE2C1D">
              <w:rPr>
                <w:rFonts w:ascii="TUOS Blake" w:hAnsi="TUOS Blake" w:cs="Arial"/>
                <w:noProof/>
                <w:lang w:eastAsia="en-GB"/>
              </w:rPr>
              <mc:AlternateContent>
                <mc:Choice Requires="wps">
                  <w:drawing>
                    <wp:anchor distT="0" distB="0" distL="114300" distR="114300" simplePos="0" relativeHeight="251706368" behindDoc="0" locked="0" layoutInCell="1" allowOverlap="1" wp14:anchorId="01612242" wp14:editId="066BFC19">
                      <wp:simplePos x="0" y="0"/>
                      <wp:positionH relativeFrom="column">
                        <wp:posOffset>5114925</wp:posOffset>
                      </wp:positionH>
                      <wp:positionV relativeFrom="paragraph">
                        <wp:posOffset>142875</wp:posOffset>
                      </wp:positionV>
                      <wp:extent cx="457200" cy="342900"/>
                      <wp:effectExtent l="9525" t="7620" r="9525" b="11430"/>
                      <wp:wrapNone/>
                      <wp:docPr id="54"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29B0F5" id="Rectangle 54" o:spid="_x0000_s1026" style="position:absolute;margin-left:402.75pt;margin-top:11.25pt;width:36pt;height:27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I+HgIAAD0EAAAOAAAAZHJzL2Uyb0RvYy54bWysU9tuEzEQfUfiHyy/k01CAs0qm6pKCUIq&#10;UFH4gInXu2vhG2Mnm/D1HXvTkAJPCD9YHs/4+MyZmeX1wWi2lxiUsxWfjMacSStcrWxb8W9fN6+u&#10;OAsRbA3aWVnxowz8evXyxbL3pZy6zulaIiMQG8reV7yL0ZdFEUQnDYSR89KSs3FoIJKJbVEj9IRu&#10;dDEdj98UvcPaoxMyBLq9HZx8lfGbRor4uWmCjExXnLjFvGPet2kvVksoWwTfKXGiAf/AwoCy9OkZ&#10;6hYisB2qP6CMEuiCa+JIOFO4plFC5hwom8n4t2weOvAy50LiBH+WKfw/WPFpf49M1RWfzzizYKhG&#10;X0g1sK2WjO5IoN6HkuIe/D2mFIO/c+J7YNatOwqTN4iu7yTURGuS4otnD5IR6Cnb9h9dTfCwiy5r&#10;dWjQJEBSgR1ySY7nkshDZIIuZ/O3VGbOBLlez6YLOqcfoHx67DHE99IZlg4VR+KewWF/F+IQ+hSS&#10;yTut6o3SOhvYbtca2R6oOzZ5ndDDZZi2rK/4Yj6dZ+RnvnAJMc7rbxBGRWpzrUzFr85BUCbV3tma&#10;aEIZQenhTNlpe5IxKTdUYOvqI6mIbuhhmjk6dA5/ctZT/1Y8/NgBSs70B0uVWExms9Tw2cgqcoaX&#10;nu2lB6wgqIpHzobjOg5DsvOo2o5+muTcrbuh6jUqK5sqO7A6kaUezbU5zVMagks7R/2a+tUjAAAA&#10;//8DAFBLAwQUAAYACAAAACEAuIA+jN4AAAAJAQAADwAAAGRycy9kb3ducmV2LnhtbEyPwU7DMAyG&#10;70i8Q2QkbiylqGvp6k4INCSOW3fh5jZZW2iSqkm3wtNjTnCyLX/6/bnYLmYQZz353lmE+1UEQtvG&#10;qd62CMdqd5eB8IGsosFZjfClPWzL66uCcuUudq/Ph9AKDrE+J4QuhDGX0jedNuRXbtSWdyc3GQo8&#10;Tq1UE1043AwyjqK1NNRbvtDRqJ873XweZoNQ9/GRvvfVa2Qedw/hbak+5vcXxNub5WkDIugl/MHw&#10;q8/qULJT7WarvBgQsihJGEWIY64MZGnKTY2QrhOQZSH/f1D+AAAA//8DAFBLAQItABQABgAIAAAA&#10;IQC2gziS/gAAAOEBAAATAAAAAAAAAAAAAAAAAAAAAABbQ29udGVudF9UeXBlc10ueG1sUEsBAi0A&#10;FAAGAAgAAAAhADj9If/WAAAAlAEAAAsAAAAAAAAAAAAAAAAALwEAAF9yZWxzLy5yZWxzUEsBAi0A&#10;FAAGAAgAAAAhAD/ZIj4eAgAAPQQAAA4AAAAAAAAAAAAAAAAALgIAAGRycy9lMm9Eb2MueG1sUEsB&#10;Ai0AFAAGAAgAAAAhALiAPozeAAAACQEAAA8AAAAAAAAAAAAAAAAAeAQAAGRycy9kb3ducmV2Lnht&#10;bFBLBQYAAAAABAAEAPMAAACDBQAAAAA=&#10;"/>
                  </w:pict>
                </mc:Fallback>
              </mc:AlternateContent>
            </w:r>
          </w:p>
          <w:p w14:paraId="1E0786E8" w14:textId="77777777" w:rsidR="00BE2C1D" w:rsidRPr="00BE2C1D" w:rsidRDefault="00BE2C1D" w:rsidP="00BE2C1D">
            <w:pPr>
              <w:tabs>
                <w:tab w:val="left" w:pos="360"/>
              </w:tabs>
              <w:rPr>
                <w:rFonts w:ascii="TUOS Blake" w:hAnsi="TUOS Blake" w:cs="Arial"/>
              </w:rPr>
            </w:pPr>
            <w:r w:rsidRPr="00BE2C1D">
              <w:rPr>
                <w:rFonts w:ascii="TUOS Blake" w:hAnsi="TUOS Blake" w:cs="Arial"/>
              </w:rPr>
              <w:t xml:space="preserve">4.    I agree for the data collected from me to be used in future research, </w:t>
            </w:r>
          </w:p>
          <w:p w14:paraId="21CF3BB7" w14:textId="77777777" w:rsidR="00BE2C1D" w:rsidRPr="00BE2C1D" w:rsidRDefault="00BE2C1D" w:rsidP="00BE2C1D">
            <w:pPr>
              <w:tabs>
                <w:tab w:val="left" w:pos="360"/>
              </w:tabs>
              <w:rPr>
                <w:rFonts w:ascii="TUOS Blake" w:hAnsi="TUOS Blake" w:cs="Arial"/>
              </w:rPr>
            </w:pPr>
            <w:r w:rsidRPr="00BE2C1D">
              <w:rPr>
                <w:rFonts w:ascii="TUOS Blake" w:hAnsi="TUOS Blake" w:cs="Arial"/>
              </w:rPr>
              <w:t xml:space="preserve">      if necessary. </w:t>
            </w:r>
          </w:p>
          <w:p w14:paraId="26328F42" w14:textId="77777777" w:rsidR="00BE2C1D" w:rsidRPr="00BE2C1D" w:rsidRDefault="00BE2C1D" w:rsidP="00BE2C1D">
            <w:pPr>
              <w:tabs>
                <w:tab w:val="left" w:pos="360"/>
              </w:tabs>
              <w:rPr>
                <w:rFonts w:ascii="TUOS Blake" w:hAnsi="TUOS Blake" w:cs="Arial"/>
              </w:rPr>
            </w:pPr>
          </w:p>
          <w:p w14:paraId="7CAE9E28" w14:textId="77777777" w:rsidR="00BE2C1D" w:rsidRPr="00BE2C1D" w:rsidRDefault="00BE2C1D" w:rsidP="00BE2C1D">
            <w:pPr>
              <w:rPr>
                <w:rFonts w:ascii="TUOS Blake" w:hAnsi="TUOS Blake" w:cs="Arial"/>
              </w:rPr>
            </w:pPr>
          </w:p>
          <w:p w14:paraId="51F653CD" w14:textId="77777777" w:rsidR="00BE2C1D" w:rsidRPr="00BE2C1D" w:rsidRDefault="00BE2C1D" w:rsidP="00BE2C1D">
            <w:pPr>
              <w:rPr>
                <w:rFonts w:ascii="TUOS Blake" w:hAnsi="TUOS Blake" w:cs="Arial"/>
              </w:rPr>
            </w:pPr>
          </w:p>
          <w:p w14:paraId="71F9AF45" w14:textId="77777777" w:rsidR="00BE2C1D" w:rsidRPr="00BE2C1D" w:rsidRDefault="00BE2C1D" w:rsidP="00BE2C1D">
            <w:pPr>
              <w:tabs>
                <w:tab w:val="left" w:pos="3600"/>
                <w:tab w:val="left" w:pos="6480"/>
              </w:tabs>
              <w:rPr>
                <w:rFonts w:ascii="TUOS Blake" w:hAnsi="TUOS Blake" w:cs="Arial"/>
              </w:rPr>
            </w:pPr>
            <w:r w:rsidRPr="00BE2C1D">
              <w:rPr>
                <w:rFonts w:ascii="TUOS Blake" w:hAnsi="TUOS Blake" w:cs="Arial"/>
              </w:rPr>
              <w:t>________________________</w:t>
            </w:r>
            <w:r w:rsidRPr="00BE2C1D">
              <w:rPr>
                <w:rFonts w:ascii="TUOS Blake" w:hAnsi="TUOS Blake" w:cs="Arial"/>
              </w:rPr>
              <w:tab/>
              <w:t>________________         ____________________</w:t>
            </w:r>
          </w:p>
          <w:p w14:paraId="12C5D511" w14:textId="77777777" w:rsidR="00BE2C1D" w:rsidRPr="00BE2C1D" w:rsidRDefault="00BE2C1D" w:rsidP="00BE2C1D">
            <w:pPr>
              <w:tabs>
                <w:tab w:val="left" w:pos="3600"/>
                <w:tab w:val="left" w:pos="6480"/>
              </w:tabs>
              <w:rPr>
                <w:rFonts w:ascii="TUOS Blake" w:hAnsi="TUOS Blake" w:cs="Arial"/>
              </w:rPr>
            </w:pPr>
            <w:r w:rsidRPr="00BE2C1D">
              <w:rPr>
                <w:rFonts w:ascii="TUOS Blake" w:hAnsi="TUOS Blake" w:cs="Arial"/>
              </w:rPr>
              <w:t>Name of Participant</w:t>
            </w:r>
            <w:r w:rsidRPr="00BE2C1D">
              <w:rPr>
                <w:rFonts w:ascii="TUOS Blake" w:hAnsi="TUOS Blake" w:cs="Arial"/>
              </w:rPr>
              <w:tab/>
              <w:t>Date</w:t>
            </w:r>
            <w:r w:rsidRPr="00BE2C1D">
              <w:rPr>
                <w:rFonts w:ascii="TUOS Blake" w:hAnsi="TUOS Blake" w:cs="Arial"/>
              </w:rPr>
              <w:tab/>
              <w:t>Signature</w:t>
            </w:r>
          </w:p>
          <w:p w14:paraId="4A8BAF56" w14:textId="77777777" w:rsidR="00BE2C1D" w:rsidRPr="00BE2C1D" w:rsidRDefault="00BE2C1D" w:rsidP="00BE2C1D">
            <w:pPr>
              <w:rPr>
                <w:rFonts w:ascii="TUOS Blake" w:hAnsi="TUOS Blake" w:cs="Arial"/>
              </w:rPr>
            </w:pPr>
            <w:r w:rsidRPr="00BE2C1D">
              <w:rPr>
                <w:rFonts w:ascii="TUOS Blake" w:hAnsi="TUOS Blake" w:cs="Arial"/>
              </w:rPr>
              <w:t>(</w:t>
            </w:r>
            <w:r w:rsidRPr="00BE2C1D">
              <w:rPr>
                <w:rFonts w:ascii="TUOS Blake" w:hAnsi="TUOS Blake" w:cs="Arial"/>
                <w:i/>
                <w:iCs/>
              </w:rPr>
              <w:t>Or legal representative</w:t>
            </w:r>
            <w:r w:rsidRPr="00BE2C1D">
              <w:rPr>
                <w:rFonts w:ascii="TUOS Blake" w:hAnsi="TUOS Blake" w:cs="Arial"/>
              </w:rPr>
              <w:t>)</w:t>
            </w:r>
          </w:p>
          <w:p w14:paraId="6BD25EFD" w14:textId="77777777" w:rsidR="00BE2C1D" w:rsidRPr="00BE2C1D" w:rsidRDefault="00BE2C1D" w:rsidP="00BE2C1D">
            <w:pPr>
              <w:spacing w:after="0" w:line="240" w:lineRule="auto"/>
              <w:rPr>
                <w:rFonts w:ascii="TUOS Blake" w:eastAsia="Times New Roman" w:hAnsi="TUOS Blake" w:cs="Arial"/>
                <w:sz w:val="24"/>
                <w:szCs w:val="24"/>
              </w:rPr>
            </w:pPr>
          </w:p>
          <w:p w14:paraId="00930D92" w14:textId="77777777" w:rsidR="00BE2C1D" w:rsidRPr="00BE2C1D" w:rsidRDefault="00BE2C1D" w:rsidP="00BE2C1D">
            <w:pPr>
              <w:tabs>
                <w:tab w:val="left" w:pos="3600"/>
                <w:tab w:val="left" w:pos="6480"/>
              </w:tabs>
              <w:rPr>
                <w:rFonts w:ascii="TUOS Blake" w:hAnsi="TUOS Blake" w:cs="Arial"/>
              </w:rPr>
            </w:pPr>
            <w:r w:rsidRPr="00BE2C1D">
              <w:rPr>
                <w:rFonts w:ascii="TUOS Blake" w:hAnsi="TUOS Blake" w:cs="Arial"/>
              </w:rPr>
              <w:t>_________________________</w:t>
            </w:r>
            <w:r w:rsidRPr="00BE2C1D">
              <w:rPr>
                <w:rFonts w:ascii="TUOS Blake" w:hAnsi="TUOS Blake" w:cs="Arial"/>
              </w:rPr>
              <w:tab/>
              <w:t>________________         ____________________</w:t>
            </w:r>
          </w:p>
          <w:p w14:paraId="247C3EAE" w14:textId="77777777" w:rsidR="00BE2C1D" w:rsidRPr="00BE2C1D" w:rsidRDefault="00BE2C1D" w:rsidP="00BE2C1D">
            <w:pPr>
              <w:tabs>
                <w:tab w:val="left" w:pos="3600"/>
                <w:tab w:val="left" w:pos="6480"/>
              </w:tabs>
              <w:rPr>
                <w:rFonts w:ascii="TUOS Blake" w:hAnsi="TUOS Blake" w:cs="Arial"/>
              </w:rPr>
            </w:pPr>
            <w:r w:rsidRPr="00BE2C1D">
              <w:rPr>
                <w:rFonts w:ascii="TUOS Blake" w:hAnsi="TUOS Blake" w:cs="Arial"/>
              </w:rPr>
              <w:t>Name of Researcher                 Date</w:t>
            </w:r>
            <w:r w:rsidRPr="00BE2C1D">
              <w:rPr>
                <w:rFonts w:ascii="TUOS Blake" w:hAnsi="TUOS Blake" w:cs="Arial"/>
              </w:rPr>
              <w:tab/>
              <w:t xml:space="preserve">Signature                        </w:t>
            </w:r>
          </w:p>
          <w:p w14:paraId="4D7D6C3B" w14:textId="77777777" w:rsidR="00BE2C1D" w:rsidRPr="00BE2C1D" w:rsidRDefault="00BE2C1D" w:rsidP="00BE2C1D">
            <w:pPr>
              <w:rPr>
                <w:rFonts w:ascii="TUOS Blake" w:hAnsi="TUOS Blake" w:cs="Arial"/>
              </w:rPr>
            </w:pPr>
          </w:p>
          <w:p w14:paraId="5FAE02AA" w14:textId="77777777" w:rsidR="00BE2C1D" w:rsidRPr="00BE2C1D" w:rsidRDefault="00BE2C1D" w:rsidP="00BE2C1D">
            <w:pPr>
              <w:rPr>
                <w:rFonts w:ascii="TUOS Blake" w:hAnsi="TUOS Blake" w:cs="Arial"/>
                <w:i/>
                <w:iCs/>
              </w:rPr>
            </w:pPr>
            <w:r w:rsidRPr="00BE2C1D">
              <w:rPr>
                <w:rFonts w:ascii="TUOS Blake" w:hAnsi="TUOS Blake" w:cs="Arial"/>
                <w:i/>
                <w:iCs/>
              </w:rPr>
              <w:t>To be signed and dated in presence of the participant</w:t>
            </w:r>
          </w:p>
          <w:p w14:paraId="31A91338" w14:textId="77777777" w:rsidR="00BE2C1D" w:rsidRPr="00BE2C1D" w:rsidRDefault="00BE2C1D" w:rsidP="00BE2C1D">
            <w:pPr>
              <w:rPr>
                <w:rFonts w:ascii="TUOS Blake" w:hAnsi="TUOS Blake" w:cs="Arial"/>
              </w:rPr>
            </w:pPr>
          </w:p>
          <w:p w14:paraId="3E530E8E" w14:textId="77777777" w:rsidR="00BE2C1D" w:rsidRPr="00BE2C1D" w:rsidRDefault="00BE2C1D" w:rsidP="00BE2C1D">
            <w:pPr>
              <w:rPr>
                <w:rFonts w:ascii="TUOS Blake" w:hAnsi="TUOS Blake" w:cs="Arial"/>
              </w:rPr>
            </w:pPr>
          </w:p>
          <w:p w14:paraId="136234CE" w14:textId="77777777" w:rsidR="00BE2C1D" w:rsidRPr="00BE2C1D" w:rsidRDefault="00BE2C1D" w:rsidP="00BE2C1D">
            <w:pPr>
              <w:spacing w:after="0" w:line="240" w:lineRule="auto"/>
              <w:rPr>
                <w:rFonts w:ascii="TUOS Blake" w:eastAsia="Times New Roman" w:hAnsi="TUOS Blake" w:cs="Arial"/>
                <w:sz w:val="24"/>
                <w:szCs w:val="24"/>
              </w:rPr>
            </w:pPr>
            <w:r w:rsidRPr="00BE2C1D">
              <w:rPr>
                <w:rFonts w:ascii="TUOS Blake" w:eastAsia="Times New Roman" w:hAnsi="TUOS Blake" w:cs="Arial"/>
                <w:sz w:val="24"/>
                <w:szCs w:val="24"/>
              </w:rPr>
              <w:t>Copies:</w:t>
            </w:r>
          </w:p>
          <w:p w14:paraId="399086CC" w14:textId="77777777" w:rsidR="00BE2C1D" w:rsidRPr="00BE2C1D" w:rsidRDefault="00BE2C1D" w:rsidP="00BE2C1D">
            <w:pPr>
              <w:spacing w:after="0" w:line="240" w:lineRule="auto"/>
              <w:jc w:val="both"/>
              <w:rPr>
                <w:rFonts w:ascii="TUOS Blake" w:eastAsia="Times New Roman" w:hAnsi="TUOS Blake" w:cs="Arial"/>
                <w:i/>
                <w:iCs/>
                <w:sz w:val="24"/>
                <w:szCs w:val="24"/>
              </w:rPr>
            </w:pPr>
            <w:r w:rsidRPr="00BE2C1D">
              <w:rPr>
                <w:rFonts w:ascii="TUOS Blake" w:eastAsia="Times New Roman" w:hAnsi="TUOS Blake" w:cs="Arial"/>
                <w:i/>
                <w:iCs/>
              </w:rPr>
              <w:t>Once all parties have signed this form the participant should receive a copy of the signed and dated participant consent form, the letter/pre-written script/information sheet and any other written information provided to the participants. A copy of the signed and dated consent form should be placed in the project’s main record (e.g. a site file), which must be kept in a secure location.</w:t>
            </w:r>
            <w:r w:rsidRPr="00BE2C1D">
              <w:rPr>
                <w:rFonts w:ascii="TUOS Blake" w:eastAsia="Times New Roman" w:hAnsi="TUOS Blake" w:cs="Arial"/>
                <w:i/>
                <w:iCs/>
                <w:sz w:val="24"/>
                <w:szCs w:val="24"/>
              </w:rPr>
              <w:t xml:space="preserve"> </w:t>
            </w:r>
          </w:p>
        </w:tc>
      </w:tr>
    </w:tbl>
    <w:p w14:paraId="49CD81A2" w14:textId="77777777" w:rsidR="00BE2C1D" w:rsidRPr="00BE2C1D" w:rsidRDefault="00BE2C1D" w:rsidP="00BE2C1D"/>
    <w:p w14:paraId="6BF2F7D8" w14:textId="77777777" w:rsidR="00BE2C1D" w:rsidRPr="00BE2C1D" w:rsidRDefault="00BE2C1D" w:rsidP="00BE2C1D">
      <w:pPr>
        <w:keepNext/>
        <w:keepLines/>
        <w:spacing w:before="40" w:after="0"/>
        <w:outlineLvl w:val="2"/>
        <w:rPr>
          <w:rFonts w:asciiTheme="majorHAnsi" w:eastAsiaTheme="majorEastAsia" w:hAnsiTheme="majorHAnsi" w:cstheme="majorBidi"/>
          <w:color w:val="1F3763" w:themeColor="accent1" w:themeShade="7F"/>
          <w:sz w:val="24"/>
          <w:szCs w:val="24"/>
        </w:rPr>
      </w:pPr>
      <w:bookmarkStart w:id="216" w:name="_Toc39585312"/>
      <w:r w:rsidRPr="00BE2C1D">
        <w:rPr>
          <w:rFonts w:asciiTheme="majorHAnsi" w:eastAsiaTheme="majorEastAsia" w:hAnsiTheme="majorHAnsi" w:cstheme="majorBidi"/>
          <w:color w:val="1F3763" w:themeColor="accent1" w:themeShade="7F"/>
          <w:sz w:val="24"/>
          <w:szCs w:val="24"/>
        </w:rPr>
        <w:t>Informed Consent For Parents</w:t>
      </w:r>
      <w:bookmarkEnd w:id="216"/>
      <w:r w:rsidRPr="00BE2C1D">
        <w:rPr>
          <w:rFonts w:asciiTheme="majorHAnsi" w:eastAsiaTheme="majorEastAsia" w:hAnsiTheme="majorHAnsi" w:cstheme="majorBidi"/>
          <w:color w:val="1F3763" w:themeColor="accent1" w:themeShade="7F"/>
          <w:sz w:val="24"/>
          <w:szCs w:val="24"/>
        </w:rPr>
        <w:t xml:space="preserve"> </w:t>
      </w:r>
    </w:p>
    <w:p w14:paraId="631B0B0F" w14:textId="77777777" w:rsidR="00BE2C1D" w:rsidRPr="00BE2C1D" w:rsidRDefault="00BE2C1D" w:rsidP="00BE2C1D">
      <w:pPr>
        <w:keepNext/>
        <w:keepLines/>
        <w:spacing w:before="40" w:after="0"/>
        <w:jc w:val="center"/>
        <w:outlineLvl w:val="3"/>
        <w:rPr>
          <w:rFonts w:ascii="TUOS Blake" w:eastAsiaTheme="majorEastAsia" w:hAnsi="TUOS Blake" w:cstheme="majorBidi"/>
          <w:i/>
          <w:iCs/>
          <w:color w:val="0099FF"/>
          <w:sz w:val="32"/>
        </w:rPr>
      </w:pPr>
    </w:p>
    <w:p w14:paraId="1F842661" w14:textId="77777777" w:rsidR="00BE2C1D" w:rsidRPr="00BE2C1D" w:rsidRDefault="00BE2C1D" w:rsidP="00BE2C1D">
      <w:pPr>
        <w:jc w:val="center"/>
        <w:rPr>
          <w:rFonts w:ascii="TUOS Blake" w:hAnsi="TUOS Blake"/>
          <w:b/>
          <w:sz w:val="32"/>
          <w:szCs w:val="32"/>
        </w:rPr>
      </w:pPr>
      <w:r w:rsidRPr="00BE2C1D">
        <w:rPr>
          <w:rFonts w:ascii="TUOS Blake" w:hAnsi="TUOS Blake"/>
          <w:b/>
          <w:sz w:val="32"/>
          <w:szCs w:val="32"/>
        </w:rPr>
        <w:t>Be-Coming Storytellers-Stories of Secondary Education</w:t>
      </w:r>
    </w:p>
    <w:p w14:paraId="2BC1083E" w14:textId="77777777" w:rsidR="00BE2C1D" w:rsidRPr="00BE2C1D" w:rsidRDefault="00BE2C1D" w:rsidP="00BE2C1D">
      <w:pPr>
        <w:jc w:val="center"/>
        <w:rPr>
          <w:rFonts w:ascii="TUOS Blake" w:hAnsi="TUOS Blake"/>
          <w:b/>
          <w:sz w:val="28"/>
          <w:szCs w:val="28"/>
        </w:rPr>
      </w:pPr>
    </w:p>
    <w:p w14:paraId="2766046C" w14:textId="77777777" w:rsidR="00BE2C1D" w:rsidRPr="00BE2C1D" w:rsidRDefault="00BE2C1D" w:rsidP="00BE2C1D">
      <w:pPr>
        <w:jc w:val="center"/>
        <w:rPr>
          <w:rFonts w:ascii="TUOS Blake" w:hAnsi="TUOS Blake"/>
          <w:b/>
          <w:sz w:val="28"/>
          <w:szCs w:val="28"/>
        </w:rPr>
      </w:pPr>
      <w:r w:rsidRPr="00BE2C1D">
        <w:rPr>
          <w:rFonts w:ascii="TUOS Blake" w:hAnsi="TUOS Blake"/>
          <w:b/>
          <w:sz w:val="28"/>
          <w:szCs w:val="28"/>
        </w:rPr>
        <w:t>Consent Form</w:t>
      </w:r>
    </w:p>
    <w:p w14:paraId="0FC46B2B" w14:textId="77777777" w:rsidR="00BE2C1D" w:rsidRPr="00BE2C1D" w:rsidRDefault="00BE2C1D" w:rsidP="00BE2C1D">
      <w:pPr>
        <w:rPr>
          <w:rFonts w:ascii="TUOS Blake" w:hAnsi="TUOS Blake"/>
          <w:b/>
        </w:rPr>
      </w:pPr>
    </w:p>
    <w:p w14:paraId="7D50127B" w14:textId="77777777" w:rsidR="00BE2C1D" w:rsidRPr="00BE2C1D" w:rsidRDefault="00BE2C1D" w:rsidP="00BE2C1D">
      <w:pPr>
        <w:rPr>
          <w:rFonts w:ascii="TUOS Blake" w:hAnsi="TUOS Blake"/>
          <w:b/>
        </w:rPr>
      </w:pPr>
      <w:r w:rsidRPr="00BE2C1D">
        <w:rPr>
          <w:rFonts w:ascii="TUOS Blake" w:hAnsi="TUOS Blake"/>
          <w:b/>
        </w:rPr>
        <w:t xml:space="preserve">This form is for the parent(s)/guardian(s) of young participants (11-17) </w:t>
      </w:r>
    </w:p>
    <w:p w14:paraId="03E1EBED" w14:textId="77777777" w:rsidR="00BE2C1D" w:rsidRPr="00BE2C1D" w:rsidRDefault="00BE2C1D" w:rsidP="00BE2C1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16"/>
      </w:tblGrid>
      <w:tr w:rsidR="00BE2C1D" w:rsidRPr="00BE2C1D" w14:paraId="31E3C4A3" w14:textId="77777777" w:rsidTr="00BE2C1D">
        <w:tc>
          <w:tcPr>
            <w:tcW w:w="9286" w:type="dxa"/>
          </w:tcPr>
          <w:p w14:paraId="0D24A4AA" w14:textId="77777777" w:rsidR="00BE2C1D" w:rsidRPr="00BE2C1D" w:rsidRDefault="00BE2C1D" w:rsidP="00BE2C1D">
            <w:pPr>
              <w:spacing w:after="0" w:line="240" w:lineRule="auto"/>
              <w:rPr>
                <w:rFonts w:ascii="TUOS Blake" w:eastAsia="Times New Roman" w:hAnsi="TUOS Blake" w:cs="Arial"/>
                <w:sz w:val="24"/>
                <w:szCs w:val="24"/>
              </w:rPr>
            </w:pPr>
          </w:p>
          <w:p w14:paraId="51CDBEC3" w14:textId="77777777" w:rsidR="00BE2C1D" w:rsidRPr="00BE2C1D" w:rsidRDefault="00BE2C1D" w:rsidP="00BE2C1D">
            <w:pPr>
              <w:jc w:val="both"/>
              <w:outlineLvl w:val="0"/>
              <w:rPr>
                <w:rFonts w:ascii="TUOS Blake" w:hAnsi="TUOS Blake" w:cs="Arial"/>
              </w:rPr>
            </w:pPr>
            <w:bookmarkStart w:id="217" w:name="_Toc37963620"/>
            <w:bookmarkStart w:id="218" w:name="_Toc39337429"/>
            <w:bookmarkStart w:id="219" w:name="_Toc39340179"/>
            <w:bookmarkStart w:id="220" w:name="_Toc39585313"/>
            <w:r w:rsidRPr="00BE2C1D">
              <w:rPr>
                <w:rFonts w:ascii="TUOS Blake" w:hAnsi="TUOS Blake" w:cs="Arial"/>
                <w:b/>
              </w:rPr>
              <w:t>Title of Research Project:</w:t>
            </w:r>
            <w:r w:rsidRPr="00BE2C1D">
              <w:rPr>
                <w:rFonts w:ascii="TUOS Blake" w:hAnsi="TUOS Blake" w:cs="Arial"/>
              </w:rPr>
              <w:t xml:space="preserve"> Be-Coming Storytellers-Stories of Secondary Education</w:t>
            </w:r>
            <w:bookmarkEnd w:id="217"/>
            <w:bookmarkEnd w:id="218"/>
            <w:bookmarkEnd w:id="219"/>
            <w:bookmarkEnd w:id="220"/>
          </w:p>
          <w:p w14:paraId="5D1C10BC" w14:textId="77777777" w:rsidR="00BE2C1D" w:rsidRPr="00BE2C1D" w:rsidRDefault="00BE2C1D" w:rsidP="00BE2C1D">
            <w:pPr>
              <w:rPr>
                <w:rFonts w:ascii="TUOS Blake" w:hAnsi="TUOS Blake" w:cs="Arial"/>
              </w:rPr>
            </w:pPr>
          </w:p>
          <w:p w14:paraId="18BAEA98" w14:textId="77777777" w:rsidR="00BE2C1D" w:rsidRPr="00BE2C1D" w:rsidRDefault="00BE2C1D" w:rsidP="00BE2C1D">
            <w:pPr>
              <w:rPr>
                <w:rFonts w:ascii="TUOS Blake" w:hAnsi="TUOS Blake" w:cs="Arial"/>
              </w:rPr>
            </w:pPr>
            <w:r w:rsidRPr="00BE2C1D">
              <w:rPr>
                <w:rFonts w:ascii="TUOS Blake" w:hAnsi="TUOS Blake" w:cs="Arial"/>
                <w:b/>
              </w:rPr>
              <w:t>Name of Researcher:</w:t>
            </w:r>
            <w:r w:rsidRPr="00BE2C1D">
              <w:rPr>
                <w:rFonts w:ascii="TUOS Blake" w:hAnsi="TUOS Blake" w:cs="Arial"/>
              </w:rPr>
              <w:t xml:space="preserve">  Antonios Ktenidis</w:t>
            </w:r>
          </w:p>
          <w:p w14:paraId="55C68B14" w14:textId="77777777" w:rsidR="00BE2C1D" w:rsidRPr="00BE2C1D" w:rsidRDefault="00BE2C1D" w:rsidP="00BE2C1D">
            <w:pPr>
              <w:rPr>
                <w:rFonts w:ascii="TUOS Blake" w:hAnsi="TUOS Blake" w:cs="Arial"/>
              </w:rPr>
            </w:pPr>
          </w:p>
          <w:p w14:paraId="3CD27181" w14:textId="77777777" w:rsidR="00BE2C1D" w:rsidRPr="00BE2C1D" w:rsidRDefault="00BE2C1D" w:rsidP="00BE2C1D">
            <w:pPr>
              <w:spacing w:after="0" w:line="240" w:lineRule="auto"/>
              <w:rPr>
                <w:rFonts w:ascii="TUOS Blake" w:eastAsia="Times New Roman" w:hAnsi="TUOS Blake" w:cs="Arial"/>
                <w:b/>
                <w:bCs/>
                <w:sz w:val="24"/>
                <w:szCs w:val="24"/>
              </w:rPr>
            </w:pPr>
            <w:r w:rsidRPr="00BE2C1D">
              <w:rPr>
                <w:rFonts w:ascii="TUOS Blake" w:eastAsia="Times New Roman" w:hAnsi="TUOS Blake" w:cs="Times New Roman"/>
                <w:b/>
                <w:bCs/>
                <w:sz w:val="24"/>
                <w:szCs w:val="24"/>
              </w:rPr>
              <w:t>Participant Identification Number for this project:</w:t>
            </w:r>
            <w:r w:rsidRPr="00BE2C1D">
              <w:rPr>
                <w:rFonts w:ascii="TUOS Blake" w:eastAsia="Times New Roman" w:hAnsi="TUOS Blake" w:cs="Arial"/>
                <w:b/>
                <w:bCs/>
                <w:sz w:val="24"/>
                <w:szCs w:val="24"/>
              </w:rPr>
              <w:tab/>
              <w:t xml:space="preserve">           Please initial box</w:t>
            </w:r>
          </w:p>
          <w:p w14:paraId="705949A3" w14:textId="77777777" w:rsidR="00BE2C1D" w:rsidRPr="00BE2C1D" w:rsidRDefault="00BE2C1D" w:rsidP="00BE2C1D">
            <w:pPr>
              <w:spacing w:after="0" w:line="240" w:lineRule="auto"/>
              <w:rPr>
                <w:rFonts w:ascii="TUOS Blake" w:eastAsia="Times New Roman" w:hAnsi="TUOS Blake" w:cs="Arial"/>
                <w:b/>
                <w:bCs/>
                <w:sz w:val="24"/>
                <w:szCs w:val="24"/>
              </w:rPr>
            </w:pPr>
          </w:p>
          <w:p w14:paraId="2C6AE202" w14:textId="77777777" w:rsidR="00BE2C1D" w:rsidRPr="00BE2C1D" w:rsidRDefault="00BE2C1D" w:rsidP="00BE2C1D">
            <w:pPr>
              <w:numPr>
                <w:ilvl w:val="0"/>
                <w:numId w:val="12"/>
              </w:numPr>
              <w:spacing w:after="0" w:line="240" w:lineRule="auto"/>
              <w:ind w:left="360"/>
              <w:rPr>
                <w:rFonts w:ascii="TUOS Blake" w:hAnsi="TUOS Blake" w:cs="Arial"/>
              </w:rPr>
            </w:pPr>
            <w:r w:rsidRPr="00BE2C1D">
              <w:rPr>
                <w:rFonts w:ascii="TUOS Blake" w:hAnsi="TUOS Blake" w:cs="Arial"/>
                <w:noProof/>
                <w:lang w:eastAsia="en-GB"/>
              </w:rPr>
              <mc:AlternateContent>
                <mc:Choice Requires="wps">
                  <w:drawing>
                    <wp:anchor distT="0" distB="0" distL="114300" distR="114300" simplePos="0" relativeHeight="251720704" behindDoc="0" locked="0" layoutInCell="1" allowOverlap="1" wp14:anchorId="77B2EE72" wp14:editId="26728CED">
                      <wp:simplePos x="0" y="0"/>
                      <wp:positionH relativeFrom="column">
                        <wp:posOffset>5143500</wp:posOffset>
                      </wp:positionH>
                      <wp:positionV relativeFrom="paragraph">
                        <wp:posOffset>34925</wp:posOffset>
                      </wp:positionV>
                      <wp:extent cx="457200" cy="342900"/>
                      <wp:effectExtent l="9525" t="10795" r="9525" b="8255"/>
                      <wp:wrapNone/>
                      <wp:docPr id="59"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DA4C85" id="Rectangle 59" o:spid="_x0000_s1026" style="position:absolute;margin-left:405pt;margin-top:2.75pt;width:36pt;height:27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cl/HgIAAD0EAAAOAAAAZHJzL2Uyb0RvYy54bWysU8FuEzEQvSPxD5bvZJOQQLPKpqpSgpAK&#10;VBQ+wPF6dy1sjxk72YSv79ibhhQ4IXywPJ7x85s3M8vrgzVsrzBocBWfjMacKSeh1q6t+Levm1dX&#10;nIUoXC0MOFXxowr8evXyxbL3pZpCB6ZWyAjEhbL3Fe9i9GVRBNkpK8IIvHLkbACtiGRiW9QoekK3&#10;ppiOx2+KHrD2CFKFQLe3g5OvMn7TKBk/N01QkZmKE7eYd8z7Nu3FainKFoXvtDzREP/Awgrt6NMz&#10;1K2Igu1Q/wFltUQI0MSRBFtA02ipcg6UzWT8WzYPnfAq50LiBH+WKfw/WPlpf49M1xWfLzhzwlKN&#10;vpBqwrVGMbojgXofSop78PeYUgz+DuT3wBysOwpTN4jQd0rURGuS4otnD5IR6Cnb9h+hJnixi5C1&#10;OjRoEyCpwA65JMdzSdQhMkmXs/lbKjNnklyvZ9MFndMPonx67DHE9wosS4eKI3HP4GJ/F+IQ+hSS&#10;yYPR9UYbkw1st2uDbC+oOzZ5ndDDZZhxrK/4Yj6dZ+RnvnAJMc7rbxBWR2pzo23Fr85BokyqvXM1&#10;0RRlFNoMZ8rOuJOMSbmhAluoj6QiwtDDNHN06AB/ctZT/1Y8/NgJVJyZD44qsZjMZqnhs5FV5Awv&#10;PdtLj3CSoCoeORuO6zgMyc6jbjv6aZJzd3BD1Wt0VjZVdmB1Iks9mmtzmqc0BJd2jvo19atHAAAA&#10;//8DAFBLAwQUAAYACAAAACEAqvzDsNwAAAAIAQAADwAAAGRycy9kb3ducmV2LnhtbEyPwU7DMBBE&#10;70j8g7VI3KjdoKA0xKkQqEgc2/TCzYmXJBCvo9hpA1/PcqLHp1nNvim2ixvECafQe9KwXikQSI23&#10;PbUajtXuLgMRoiFrBk+o4RsDbMvrq8Lk1p9pj6dDbAWXUMiNhi7GMZcyNB06E1Z+ROLsw0/ORMap&#10;lXYyZy53g0yUepDO9MQfOjPic4fN12F2Guo+OZqfffWq3GZ3H9+W6nN+f9H69mZ5egQRcYn/x/Cn&#10;z+pQslPtZ7JBDBqyteItUUOaguA8yxLmmnmTgiwLeTmg/AUAAP//AwBQSwECLQAUAAYACAAAACEA&#10;toM4kv4AAADhAQAAEwAAAAAAAAAAAAAAAAAAAAAAW0NvbnRlbnRfVHlwZXNdLnhtbFBLAQItABQA&#10;BgAIAAAAIQA4/SH/1gAAAJQBAAALAAAAAAAAAAAAAAAAAC8BAABfcmVscy8ucmVsc1BLAQItABQA&#10;BgAIAAAAIQBaqcl/HgIAAD0EAAAOAAAAAAAAAAAAAAAAAC4CAABkcnMvZTJvRG9jLnhtbFBLAQIt&#10;ABQABgAIAAAAIQCq/MOw3AAAAAgBAAAPAAAAAAAAAAAAAAAAAHgEAABkcnMvZG93bnJldi54bWxQ&#10;SwUGAAAAAAQABADzAAAAgQUAAAAA&#10;"/>
                  </w:pict>
                </mc:Fallback>
              </mc:AlternateContent>
            </w:r>
            <w:r w:rsidRPr="00BE2C1D">
              <w:rPr>
                <w:rFonts w:ascii="TUOS Blake" w:hAnsi="TUOS Blake" w:cs="Arial"/>
              </w:rPr>
              <w:t xml:space="preserve">I confirm that I have read and understand the information sheet </w:t>
            </w:r>
            <w:r w:rsidRPr="00BE2C1D">
              <w:rPr>
                <w:rFonts w:ascii="TUOS Blake" w:hAnsi="TUOS Blake" w:cs="Arial"/>
              </w:rPr>
              <w:br/>
              <w:t xml:space="preserve">dated </w:t>
            </w:r>
            <w:r w:rsidRPr="00BE2C1D">
              <w:rPr>
                <w:rFonts w:ascii="TUOS Blake" w:hAnsi="TUOS Blake" w:cs="Arial"/>
                <w:i/>
              </w:rPr>
              <w:t>[              ]</w:t>
            </w:r>
            <w:r w:rsidRPr="00BE2C1D">
              <w:rPr>
                <w:rFonts w:ascii="TUOS Blake" w:hAnsi="TUOS Blake" w:cs="Arial"/>
              </w:rPr>
              <w:t xml:space="preserve"> explaining the above research project</w:t>
            </w:r>
            <w:r w:rsidRPr="00BE2C1D">
              <w:rPr>
                <w:rFonts w:ascii="TUOS Blake" w:hAnsi="TUOS Blake" w:cs="Arial"/>
              </w:rPr>
              <w:br/>
              <w:t>and I have had the opportunity to ask questions about the project.</w:t>
            </w:r>
          </w:p>
          <w:p w14:paraId="1B6D40DE" w14:textId="77777777" w:rsidR="00BE2C1D" w:rsidRPr="00BE2C1D" w:rsidRDefault="00BE2C1D" w:rsidP="00BE2C1D">
            <w:pPr>
              <w:rPr>
                <w:rFonts w:ascii="TUOS Blake" w:hAnsi="TUOS Blake" w:cs="Arial"/>
              </w:rPr>
            </w:pPr>
          </w:p>
          <w:p w14:paraId="495E4BD4" w14:textId="77777777" w:rsidR="00BE2C1D" w:rsidRPr="00BE2C1D" w:rsidRDefault="00BE2C1D" w:rsidP="00BE2C1D">
            <w:pPr>
              <w:numPr>
                <w:ilvl w:val="0"/>
                <w:numId w:val="12"/>
              </w:numPr>
              <w:spacing w:after="0" w:line="240" w:lineRule="auto"/>
              <w:ind w:left="360"/>
              <w:rPr>
                <w:rFonts w:ascii="TUOS Blake" w:hAnsi="TUOS Blake" w:cs="Arial"/>
              </w:rPr>
            </w:pPr>
            <w:r w:rsidRPr="00BE2C1D">
              <w:rPr>
                <w:rFonts w:ascii="TUOS Blake" w:hAnsi="TUOS Blake" w:cs="Arial"/>
                <w:noProof/>
                <w:lang w:eastAsia="en-GB"/>
              </w:rPr>
              <mc:AlternateContent>
                <mc:Choice Requires="wps">
                  <w:drawing>
                    <wp:anchor distT="0" distB="0" distL="114300" distR="114300" simplePos="0" relativeHeight="251721728" behindDoc="0" locked="0" layoutInCell="1" allowOverlap="1" wp14:anchorId="13951DEB" wp14:editId="5AA96E3A">
                      <wp:simplePos x="0" y="0"/>
                      <wp:positionH relativeFrom="column">
                        <wp:posOffset>5136515</wp:posOffset>
                      </wp:positionH>
                      <wp:positionV relativeFrom="paragraph">
                        <wp:posOffset>114300</wp:posOffset>
                      </wp:positionV>
                      <wp:extent cx="457200" cy="342900"/>
                      <wp:effectExtent l="12065" t="8890" r="6985" b="10160"/>
                      <wp:wrapNone/>
                      <wp:docPr id="60"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023D78" id="Rectangle 60" o:spid="_x0000_s1026" style="position:absolute;margin-left:404.45pt;margin-top:9pt;width:36pt;height:27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pyOHQIAAD0EAAAOAAAAZHJzL2Uyb0RvYy54bWysU8FuEzEQvSPxD5bvZJOQlGaVTVWlBCEV&#10;qCh8gOP17lrYHjN2sglfz9ibhhQ4IXywPJ7x85s3M8ubgzVsrzBocBWfjMacKSeh1q6t+Ncvm1fX&#10;nIUoXC0MOFXxowr8ZvXyxbL3pZpCB6ZWyAjEhbL3Fe9i9GVRBNkpK8IIvHLkbACtiGRiW9QoekK3&#10;ppiOx1dFD1h7BKlCoNu7wclXGb9plIyfmiaoyEzFiVvMO+Z9m/ZitRRli8J3Wp5oiH9gYYV29OkZ&#10;6k5EwXao/4CyWiIEaOJIgi2gabRUOQfKZjL+LZvHTniVcyFxgj/LFP4frPy4f0Cm64pfkTxOWKrR&#10;Z1JNuNYoRnckUO9DSXGP/gFTisHfg/wWmIN1R2HqFhH6TomaaE1SfPHsQTICPWXb/gPUBC92EbJW&#10;hwZtAiQV2CGX5HguiTpEJulyNn9DZeZMkuv1bLqgc/pBlE+PPYb4ToFl6VBxJO4ZXOzvQxxCn0Iy&#10;eTC63mhjsoHtdm2Q7QV1xyavE3q4DDOO9RVfzKfzjPzMFy4hxnn9DcLqSG1utK349TlIlEm1t64m&#10;mqKMQpvhTNkZd5IxKTdUYAv1kVREGHqYZo4OHeAPznrq34qH7zuBijPz3lElFpPZLDV8NrKKnOGl&#10;Z3vpEU4SVMUjZ8NxHYch2XnUbUc/TXLuDm6peo3OyqbKDqxOZKlHc21O85SG4NLOUb+mfvUTAAD/&#10;/wMAUEsDBBQABgAIAAAAIQB9m/2f3AAAAAkBAAAPAAAAZHJzL2Rvd25yZXYueG1sTI/BTsMwEETv&#10;SPyDtUjcqE2QwA1xKgQqEsc2vXBz4iUJxOsodtrA17Oc6HFnnmZnis3iB3HEKfaBDNyuFAikJrie&#10;WgOHanujQcRkydkhEBr4xgib8vKisLkLJ9rhcZ9awSEUc2ugS2nMpYxNh97GVRiR2PsIk7eJz6mV&#10;brInDveDzJS6l972xB86O+Jzh83XfvYG6j472J9d9ar8enuX3pbqc35/Meb6anl6BJFwSf8w/NXn&#10;6lBypzrM5KIYDGil14yyoXkTA1orFmoDD5kCWRbyfEH5CwAA//8DAFBLAQItABQABgAIAAAAIQC2&#10;gziS/gAAAOEBAAATAAAAAAAAAAAAAAAAAAAAAABbQ29udGVudF9UeXBlc10ueG1sUEsBAi0AFAAG&#10;AAgAAAAhADj9If/WAAAAlAEAAAsAAAAAAAAAAAAAAAAALwEAAF9yZWxzLy5yZWxzUEsBAi0AFAAG&#10;AAgAAAAhAKcGnI4dAgAAPQQAAA4AAAAAAAAAAAAAAAAALgIAAGRycy9lMm9Eb2MueG1sUEsBAi0A&#10;FAAGAAgAAAAhAH2b/Z/cAAAACQEAAA8AAAAAAAAAAAAAAAAAdwQAAGRycy9kb3ducmV2LnhtbFBL&#10;BQYAAAAABAAEAPMAAACABQAAAAA=&#10;"/>
                  </w:pict>
                </mc:Fallback>
              </mc:AlternateContent>
            </w:r>
            <w:r w:rsidRPr="00BE2C1D">
              <w:rPr>
                <w:rFonts w:ascii="TUOS Blake" w:hAnsi="TUOS Blake" w:cs="Arial"/>
              </w:rPr>
              <w:t>I understand that my child’s participation is voluntary and that they are free</w:t>
            </w:r>
          </w:p>
          <w:p w14:paraId="418FF349" w14:textId="77777777" w:rsidR="00BE2C1D" w:rsidRPr="00BE2C1D" w:rsidRDefault="00BE2C1D" w:rsidP="00BE2C1D">
            <w:pPr>
              <w:rPr>
                <w:rFonts w:ascii="TUOS Blake" w:hAnsi="TUOS Blake" w:cs="Arial"/>
              </w:rPr>
            </w:pPr>
            <w:r w:rsidRPr="00BE2C1D">
              <w:rPr>
                <w:rFonts w:ascii="TUOS Blake" w:hAnsi="TUOS Blake" w:cs="Arial"/>
              </w:rPr>
              <w:t xml:space="preserve">     to withdraw at any time without giving any reason and without there </w:t>
            </w:r>
          </w:p>
          <w:p w14:paraId="4A75073E" w14:textId="77777777" w:rsidR="00BE2C1D" w:rsidRPr="00BE2C1D" w:rsidRDefault="00BE2C1D" w:rsidP="00BE2C1D">
            <w:pPr>
              <w:ind w:left="360"/>
              <w:rPr>
                <w:rFonts w:ascii="TUOS Blake" w:hAnsi="TUOS Blake" w:cs="Arial"/>
              </w:rPr>
            </w:pPr>
            <w:r w:rsidRPr="00BE2C1D">
              <w:rPr>
                <w:rFonts w:ascii="TUOS Blake" w:hAnsi="TUOS Blake" w:cs="Arial"/>
              </w:rPr>
              <w:t xml:space="preserve">being any negative consequences.  In addition, should they not wish to </w:t>
            </w:r>
          </w:p>
          <w:p w14:paraId="06A3B98E" w14:textId="77777777" w:rsidR="00BE2C1D" w:rsidRPr="00BE2C1D" w:rsidRDefault="00BE2C1D" w:rsidP="00BE2C1D">
            <w:pPr>
              <w:ind w:left="360"/>
              <w:rPr>
                <w:rFonts w:ascii="TUOS Blake" w:hAnsi="TUOS Blake" w:cs="Arial"/>
              </w:rPr>
            </w:pPr>
            <w:r w:rsidRPr="00BE2C1D">
              <w:rPr>
                <w:rFonts w:ascii="TUOS Blake" w:hAnsi="TUOS Blake" w:cs="Arial"/>
              </w:rPr>
              <w:t xml:space="preserve">answer any particular question or questions, they are free to decline. I can </w:t>
            </w:r>
          </w:p>
          <w:p w14:paraId="521242DE" w14:textId="77777777" w:rsidR="00BE2C1D" w:rsidRPr="00BE2C1D" w:rsidRDefault="00BE2C1D" w:rsidP="00BE2C1D">
            <w:pPr>
              <w:ind w:left="360"/>
              <w:rPr>
                <w:rFonts w:ascii="TUOS Blake" w:hAnsi="TUOS Blake" w:cs="Arial"/>
              </w:rPr>
            </w:pPr>
            <w:r w:rsidRPr="00BE2C1D">
              <w:rPr>
                <w:rFonts w:ascii="TUOS Blake" w:hAnsi="TUOS Blake" w:cs="Arial"/>
              </w:rPr>
              <w:t xml:space="preserve">email </w:t>
            </w:r>
            <w:r w:rsidRPr="00BE2C1D">
              <w:rPr>
                <w:rFonts w:ascii="TUOS Blake" w:hAnsi="TUOS Blake" w:cs="Arial"/>
                <w:iCs/>
              </w:rPr>
              <w:t>Antonios Ktenidis (Email: aktenidis1@sheffield.ac.uk) if I wish to discuss withdrawal or have any questions pertaining to withdrawal.</w:t>
            </w:r>
          </w:p>
          <w:p w14:paraId="219C2707" w14:textId="77777777" w:rsidR="00BE2C1D" w:rsidRPr="00BE2C1D" w:rsidRDefault="00BE2C1D" w:rsidP="00BE2C1D">
            <w:pPr>
              <w:tabs>
                <w:tab w:val="left" w:pos="360"/>
              </w:tabs>
              <w:ind w:left="360"/>
              <w:rPr>
                <w:rFonts w:ascii="TUOS Blake" w:hAnsi="TUOS Blake" w:cs="Arial"/>
              </w:rPr>
            </w:pPr>
            <w:r w:rsidRPr="00BE2C1D">
              <w:rPr>
                <w:rFonts w:ascii="TUOS Blake" w:hAnsi="TUOS Blake" w:cs="Arial"/>
                <w:noProof/>
                <w:lang w:eastAsia="en-GB"/>
              </w:rPr>
              <w:lastRenderedPageBreak/>
              <mc:AlternateContent>
                <mc:Choice Requires="wps">
                  <w:drawing>
                    <wp:anchor distT="0" distB="0" distL="114300" distR="114300" simplePos="0" relativeHeight="251722752" behindDoc="0" locked="0" layoutInCell="1" allowOverlap="1" wp14:anchorId="30F68734" wp14:editId="7CADB173">
                      <wp:simplePos x="0" y="0"/>
                      <wp:positionH relativeFrom="column">
                        <wp:posOffset>5143500</wp:posOffset>
                      </wp:positionH>
                      <wp:positionV relativeFrom="paragraph">
                        <wp:posOffset>121920</wp:posOffset>
                      </wp:positionV>
                      <wp:extent cx="457200" cy="342900"/>
                      <wp:effectExtent l="9525" t="6350" r="9525" b="12700"/>
                      <wp:wrapNone/>
                      <wp:docPr id="62"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032B19" id="Rectangle 62" o:spid="_x0000_s1026" style="position:absolute;margin-left:405pt;margin-top:9.6pt;width:36pt;height:27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viTHgIAAD0EAAAOAAAAZHJzL2Uyb0RvYy54bWysU9tuEzEQfUfiHyy/k01CUppVNlWVEoRU&#10;oKLwAROvd9fCN8ZONuHrGXvTkAJPCD9YHs/4+MyZmeXNwWi2lxiUsxWfjMacSStcrWxb8a9fNq+u&#10;OQsRbA3aWVnxowz8ZvXyxbL3pZy6zulaIiMQG8reV7yL0ZdFEUQnDYSR89KSs3FoIJKJbVEj9IRu&#10;dDEdj6+K3mHt0QkZAt3eDU6+yvhNI0X81DRBRqYrTtxi3jHv27QXqyWULYLvlDjRgH9gYUBZ+vQM&#10;dQcR2A7VH1BGCXTBNXEknClc0yghcw6UzWT8WzaPHXiZcyFxgj/LFP4frPi4f0Cm6opfTTmzYKhG&#10;n0k1sK2WjO5IoN6HkuIe/QOmFIO/d+JbYNatOwqTt4iu7yTURGuS4otnD5IR6Cnb9h9cTfCwiy5r&#10;dWjQJEBSgR1ySY7nkshDZIIuZ/M3VGbOBLlez6YLOqcfoHx67DHEd9IZlg4VR+KewWF/H+IQ+hSS&#10;yTut6o3SOhvYbtca2R6oOzZ5ndDDZZi2rK/4Yj6dZ+RnvnAJMc7rbxBGRWpzrUzFr89BUCbV3tqa&#10;aEIZQenhTNlpe5IxKTdUYOvqI6mIbuhhmjk6dA5/cNZT/1Y8fN8BSs70e0uVWExms9Tw2cgqcoaX&#10;nu2lB6wgqIpHzobjOg5DsvOo2o5+muTcrbul6jUqK5sqO7A6kaUezbU5zVMagks7R/2a+tVPAAAA&#10;//8DAFBLAwQUAAYACAAAACEASB4ck94AAAAJAQAADwAAAGRycy9kb3ducmV2LnhtbEyPwU7DMBBE&#10;70j8g7VI3KjdVII0xKkQqEgc2/TCbRO7SUq8jmKnDXw9y4ked2Y0+ybfzK4XZzuGzpOG5UKBsFR7&#10;01Gj4VBuH1IQISIZ7D1ZDd82wKa4vckxM/5CO3vex0ZwCYUMNbQxDpmUoW6tw7DwgyX2jn50GPkc&#10;G2lGvHC562Wi1KN02BF/aHGwr62tv/aT01B1yQF/duW7cuvtKn7M5Wn6fNP6/m5+eQYR7Rz/w/CH&#10;z+hQMFPlJzJB9BrSpeItkY11AoIDaZqwUGl4WiUgi1xeLyh+AQAA//8DAFBLAQItABQABgAIAAAA&#10;IQC2gziS/gAAAOEBAAATAAAAAAAAAAAAAAAAAAAAAABbQ29udGVudF9UeXBlc10ueG1sUEsBAi0A&#10;FAAGAAgAAAAhADj9If/WAAAAlAEAAAsAAAAAAAAAAAAAAAAALwEAAF9yZWxzLy5yZWxzUEsBAi0A&#10;FAAGAAgAAAAhALVm+JMeAgAAPQQAAA4AAAAAAAAAAAAAAAAALgIAAGRycy9lMm9Eb2MueG1sUEsB&#10;Ai0AFAAGAAgAAAAhAEgeHJPeAAAACQEAAA8AAAAAAAAAAAAAAAAAeAQAAGRycy9kb3ducmV2Lnht&#10;bFBLBQYAAAAABAAEAPMAAACDBQAAAAA=&#10;"/>
                  </w:pict>
                </mc:Fallback>
              </mc:AlternateContent>
            </w:r>
          </w:p>
          <w:p w14:paraId="7E91EBFD" w14:textId="77777777" w:rsidR="00BE2C1D" w:rsidRPr="00BE2C1D" w:rsidRDefault="00BE2C1D" w:rsidP="00BE2C1D">
            <w:pPr>
              <w:numPr>
                <w:ilvl w:val="0"/>
                <w:numId w:val="12"/>
              </w:numPr>
              <w:tabs>
                <w:tab w:val="left" w:pos="360"/>
              </w:tabs>
              <w:spacing w:after="0" w:line="240" w:lineRule="auto"/>
              <w:ind w:left="360"/>
              <w:rPr>
                <w:rFonts w:ascii="TUOS Blake" w:hAnsi="TUOS Blake" w:cs="Arial"/>
              </w:rPr>
            </w:pPr>
            <w:r w:rsidRPr="00BE2C1D">
              <w:rPr>
                <w:rFonts w:ascii="TUOS Blake" w:hAnsi="TUOS Blake" w:cs="Arial"/>
              </w:rPr>
              <w:t>I understand that my child’s responses will be kept strictly confidential.</w:t>
            </w:r>
            <w:r w:rsidRPr="00BE2C1D">
              <w:rPr>
                <w:rFonts w:ascii="TUOS Blake" w:hAnsi="TUOS Blake" w:cs="Arial"/>
              </w:rPr>
              <w:br/>
              <w:t xml:space="preserve">I give permission to have access to his/her anonymised responses. I understand that my child’s name will not be linked with the research materials, and they will not be </w:t>
            </w:r>
          </w:p>
          <w:p w14:paraId="3F174ECF" w14:textId="77777777" w:rsidR="00BE2C1D" w:rsidRPr="00BE2C1D" w:rsidRDefault="00BE2C1D" w:rsidP="00BE2C1D">
            <w:pPr>
              <w:tabs>
                <w:tab w:val="left" w:pos="360"/>
              </w:tabs>
              <w:ind w:left="360"/>
              <w:rPr>
                <w:rFonts w:ascii="TUOS Blake" w:hAnsi="TUOS Blake" w:cs="Arial"/>
              </w:rPr>
            </w:pPr>
            <w:r w:rsidRPr="00BE2C1D">
              <w:rPr>
                <w:rFonts w:ascii="TUOS Blake" w:hAnsi="TUOS Blake" w:cs="Arial"/>
              </w:rPr>
              <w:t xml:space="preserve">identified or identifiable in the report or reports that result from the research.  </w:t>
            </w:r>
          </w:p>
          <w:p w14:paraId="7C372573" w14:textId="77777777" w:rsidR="00BE2C1D" w:rsidRPr="00BE2C1D" w:rsidRDefault="00BE2C1D" w:rsidP="00BE2C1D">
            <w:pPr>
              <w:tabs>
                <w:tab w:val="left" w:pos="360"/>
              </w:tabs>
              <w:ind w:left="360"/>
              <w:rPr>
                <w:rFonts w:ascii="TUOS Blake" w:hAnsi="TUOS Blake" w:cs="Arial"/>
              </w:rPr>
            </w:pPr>
          </w:p>
          <w:p w14:paraId="6AA4AD34" w14:textId="77777777" w:rsidR="00BE2C1D" w:rsidRPr="00BE2C1D" w:rsidRDefault="00BE2C1D" w:rsidP="00BE2C1D">
            <w:pPr>
              <w:tabs>
                <w:tab w:val="left" w:pos="360"/>
              </w:tabs>
              <w:ind w:left="360"/>
              <w:rPr>
                <w:rFonts w:ascii="TUOS Blake" w:hAnsi="TUOS Blake" w:cs="Arial"/>
              </w:rPr>
            </w:pPr>
          </w:p>
          <w:p w14:paraId="4A958A9E" w14:textId="77777777" w:rsidR="00BE2C1D" w:rsidRPr="00BE2C1D" w:rsidRDefault="00BE2C1D" w:rsidP="00BE2C1D">
            <w:pPr>
              <w:tabs>
                <w:tab w:val="left" w:pos="360"/>
              </w:tabs>
              <w:rPr>
                <w:rFonts w:ascii="TUOS Blake" w:hAnsi="TUOS Blake" w:cs="Arial"/>
              </w:rPr>
            </w:pPr>
          </w:p>
          <w:p w14:paraId="65F3AA5C" w14:textId="77777777" w:rsidR="00BE2C1D" w:rsidRPr="00BE2C1D" w:rsidRDefault="00BE2C1D" w:rsidP="00BE2C1D">
            <w:pPr>
              <w:tabs>
                <w:tab w:val="left" w:pos="360"/>
              </w:tabs>
              <w:rPr>
                <w:rFonts w:ascii="TUOS Blake" w:hAnsi="TUOS Blake" w:cs="Arial"/>
              </w:rPr>
            </w:pPr>
            <w:r w:rsidRPr="00BE2C1D">
              <w:rPr>
                <w:rFonts w:ascii="TUOS Blake" w:hAnsi="TUOS Blake" w:cs="Arial"/>
                <w:noProof/>
                <w:lang w:eastAsia="en-GB"/>
              </w:rPr>
              <mc:AlternateContent>
                <mc:Choice Requires="wps">
                  <w:drawing>
                    <wp:anchor distT="0" distB="0" distL="114300" distR="114300" simplePos="0" relativeHeight="251723776" behindDoc="0" locked="0" layoutInCell="1" allowOverlap="1" wp14:anchorId="2E7D87A2" wp14:editId="20C91943">
                      <wp:simplePos x="0" y="0"/>
                      <wp:positionH relativeFrom="column">
                        <wp:posOffset>5137785</wp:posOffset>
                      </wp:positionH>
                      <wp:positionV relativeFrom="paragraph">
                        <wp:posOffset>47625</wp:posOffset>
                      </wp:positionV>
                      <wp:extent cx="457200" cy="342900"/>
                      <wp:effectExtent l="13335" t="12700" r="5715" b="6350"/>
                      <wp:wrapNone/>
                      <wp:docPr id="63"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FF2BCA" id="Rectangle 63" o:spid="_x0000_s1026" style="position:absolute;margin-left:404.55pt;margin-top:3.75pt;width:36pt;height:27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kqdHgIAAD0EAAAOAAAAZHJzL2Uyb0RvYy54bWysU9tuEzEQfUfiHyy/k03SpDSrbKoqJQip&#10;QEXhAyZe766Fb4ydbMrXd+xNQwo8IfxgeTzj4zNnZpbXB6PZXmJQzlZ8MhpzJq1wtbJtxb993by5&#10;4ixEsDVoZ2XFH2Xg16vXr5a9L+XUdU7XEhmB2FD2vuJdjL4siiA6aSCMnJeWnI1DA5FMbIsaoSd0&#10;o4vpeHxZ9A5rj07IEOj2dnDyVcZvGini56YJMjJdceIW845536a9WC2hbBF8p8SRBvwDCwPK0qcn&#10;qFuIwHao/oAySqALrokj4UzhmkYJmXOgbCbj37J56MDLnAuJE/xJpvD/YMWn/T0yVVf88oIzC4Zq&#10;9IVUA9tqyeiOBOp9KCnuwd9jSjH4Oye+B2bduqMweYPo+k5CTbQmKb548SAZgZ6ybf/R1QQPu+iy&#10;VocGTQIkFdghl+TxVBJ5iEzQ5Wz+lsrMmSDXxWy6oHP6Acrnxx5DfC+dYelQcSTuGRz2dyEOoc8h&#10;mbzTqt4orbOB7Xatke2BumOT1xE9nIdpy/qKL+bTeUZ+4QvnEOO8/gZhVKQ218pU/OoUBGVS7Z2t&#10;iSaUEZQezpSdtkcZk3JDBbaufiQV0Q09TDNHh87hT8566t+Khx87QMmZ/mCpEovJbJYaPhtZRc7w&#10;3LM994AVBFXxyNlwXMdhSHYeVdvRT5Ocu3U3VL1GZWVTZQdWR7LUo7k2x3lKQ3Bu56hfU796AgAA&#10;//8DAFBLAwQUAAYACAAAACEAZr9YpN0AAAAIAQAADwAAAGRycy9kb3ducmV2LnhtbEyPwU7DMBBE&#10;70j8g7VI3KidopY0ZFMhUJE4tumF2yY2SSC2o9hpA1/PcirH0Yxm3uTb2fbiZMbQeYeQLBQI42qv&#10;O9cgHMvdXQoiRHKaeu8MwrcJsC2ur3LKtD+7vTkdYiO4xIWMENoYh0zKULfGUlj4wTj2PvxoKbIc&#10;G6lHOnO57eVSqbW01DleaGkwz62pvw6TRai65ZF+9uWrspvdfXyby8/p/QXx9mZ+egQRzRwvYfjD&#10;Z3QomKnyk9NB9Aip2iQcRXhYgWA/TRPWFcI6WYEscvn/QPELAAD//wMAUEsBAi0AFAAGAAgAAAAh&#10;ALaDOJL+AAAA4QEAABMAAAAAAAAAAAAAAAAAAAAAAFtDb250ZW50X1R5cGVzXS54bWxQSwECLQAU&#10;AAYACAAAACEAOP0h/9YAAACUAQAACwAAAAAAAAAAAAAAAAAvAQAAX3JlbHMvLnJlbHNQSwECLQAU&#10;AAYACAAAACEAvFZKnR4CAAA9BAAADgAAAAAAAAAAAAAAAAAuAgAAZHJzL2Uyb0RvYy54bWxQSwEC&#10;LQAUAAYACAAAACEAZr9YpN0AAAAIAQAADwAAAAAAAAAAAAAAAAB4BAAAZHJzL2Rvd25yZXYueG1s&#10;UEsFBgAAAAAEAAQA8wAAAIIFAAAAAA==&#10;"/>
                  </w:pict>
                </mc:Fallback>
              </mc:AlternateContent>
            </w:r>
            <w:r w:rsidRPr="00BE2C1D">
              <w:rPr>
                <w:rFonts w:ascii="TUOS Blake" w:hAnsi="TUOS Blake" w:cs="Arial"/>
              </w:rPr>
              <w:t xml:space="preserve">4.    I agree for the data collected from my child to be used in future research, </w:t>
            </w:r>
          </w:p>
          <w:p w14:paraId="4FDB78E4" w14:textId="77777777" w:rsidR="00BE2C1D" w:rsidRPr="00BE2C1D" w:rsidRDefault="00BE2C1D" w:rsidP="00BE2C1D">
            <w:pPr>
              <w:tabs>
                <w:tab w:val="left" w:pos="360"/>
              </w:tabs>
              <w:rPr>
                <w:rFonts w:ascii="TUOS Blake" w:hAnsi="TUOS Blake" w:cs="Arial"/>
              </w:rPr>
            </w:pPr>
            <w:r w:rsidRPr="00BE2C1D">
              <w:rPr>
                <w:rFonts w:ascii="TUOS Blake" w:hAnsi="TUOS Blake" w:cs="Arial"/>
              </w:rPr>
              <w:t xml:space="preserve">      if necessary. </w:t>
            </w:r>
          </w:p>
          <w:p w14:paraId="31B9AB21" w14:textId="77777777" w:rsidR="00BE2C1D" w:rsidRPr="00BE2C1D" w:rsidRDefault="00BE2C1D" w:rsidP="00BE2C1D">
            <w:pPr>
              <w:tabs>
                <w:tab w:val="left" w:pos="360"/>
              </w:tabs>
              <w:rPr>
                <w:rFonts w:ascii="TUOS Blake" w:hAnsi="TUOS Blake" w:cs="Arial"/>
              </w:rPr>
            </w:pPr>
          </w:p>
          <w:p w14:paraId="3AE6E4D5" w14:textId="77777777" w:rsidR="00BE2C1D" w:rsidRPr="00BE2C1D" w:rsidRDefault="00BE2C1D" w:rsidP="00BE2C1D">
            <w:pPr>
              <w:tabs>
                <w:tab w:val="left" w:pos="360"/>
              </w:tabs>
              <w:rPr>
                <w:rFonts w:ascii="TUOS Blake" w:hAnsi="TUOS Blake" w:cs="Arial"/>
              </w:rPr>
            </w:pPr>
            <w:r w:rsidRPr="00BE2C1D">
              <w:rPr>
                <w:rFonts w:ascii="TUOS Blake" w:hAnsi="TUOS Blake" w:cs="Arial"/>
                <w:noProof/>
                <w:lang w:eastAsia="en-GB"/>
              </w:rPr>
              <mc:AlternateContent>
                <mc:Choice Requires="wps">
                  <w:drawing>
                    <wp:anchor distT="0" distB="0" distL="114300" distR="114300" simplePos="0" relativeHeight="251724800" behindDoc="0" locked="0" layoutInCell="1" allowOverlap="1" wp14:anchorId="5DDAD6C9" wp14:editId="2F6EC6BF">
                      <wp:simplePos x="0" y="0"/>
                      <wp:positionH relativeFrom="column">
                        <wp:posOffset>5137785</wp:posOffset>
                      </wp:positionH>
                      <wp:positionV relativeFrom="paragraph">
                        <wp:posOffset>125730</wp:posOffset>
                      </wp:positionV>
                      <wp:extent cx="457200" cy="342900"/>
                      <wp:effectExtent l="13335" t="8890" r="5715" b="10160"/>
                      <wp:wrapNone/>
                      <wp:docPr id="67"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E230C3" id="Rectangle 67" o:spid="_x0000_s1026" style="position:absolute;margin-left:404.55pt;margin-top:9.9pt;width:36pt;height:27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oKnHgIAAD0EAAAOAAAAZHJzL2Uyb0RvYy54bWysU9tuEzEQfUfiHyy/k01C0jarbKoqJQip&#10;QEXhAyZe766Fb4ydbMrXd+xNQwo8IfxgeTzj4zNnZpbXB6PZXmJQzlZ8MhpzJq1wtbJtxb993by5&#10;4ixEsDVoZ2XFH2Xg16vXr5a9L+XUdU7XEhmB2FD2vuJdjL4siiA6aSCMnJeWnI1DA5FMbIsaoSd0&#10;o4vpeHxR9A5rj07IEOj2dnDyVcZvGini56YJMjJdceIW845536a9WC2hbBF8p8SRBvwDCwPK0qcn&#10;qFuIwHao/oAySqALrokj4UzhmkYJmXOgbCbj37J56MDLnAuJE/xJpvD/YMWn/T0yVVf84pIzC4Zq&#10;9IVUA9tqyeiOBOp9KCnuwd9jSjH4Oye+B2bduqMweYPo+k5CTbQmKb548SAZgZ6ybf/R1QQPu+iy&#10;VocGTQIkFdghl+TxVBJ5iEzQ5Wx+SWXmTJDr7Wy6oHP6Acrnxx5DfC+dYelQcSTuGRz2dyEOoc8h&#10;mbzTqt4orbOB7Xatke2BumOT1xE9nIdpy/qKL+bTeUZ+4QvnEOO8/gZhVKQ218pU/OoUBGVS7Z2t&#10;iSaUEZQezpSdtkcZk3JDBbaufiQV0Q09TDNHh87hT8566t+Khx87QMmZ/mCpEovJbJYaPhtZRc7w&#10;3LM994AVBFXxyNlwXMdhSHYeVdvRT5Ocu3U3VL1GZWVTZQdWR7LUo7k2x3lKQ3Bu56hfU796AgAA&#10;//8DAFBLAwQUAAYACAAAACEABd366d0AAAAJAQAADwAAAGRycy9kb3ducmV2LnhtbEyPwU7DMBBE&#10;70j8g7VI3KidVoIkxKkQqEgc2/TCzYmXJBCvo9hpA1/PcqLHnXmanSm2ixvECafQe9KQrBQIpMbb&#10;nloNx2p3l4II0ZA1gyfU8I0BtuX1VWFy68+0x9MhtoJDKORGQxfjmEsZmg6dCSs/IrH34SdnIp9T&#10;K+1kzhzuBrlW6l460xN/6MyIzx02X4fZaaj79dH87KtX5bLdJr4t1ef8/qL17c3y9Agi4hL/Yfir&#10;z9Wh5E61n8kGMWhIVZYwykbGExhI04SFWsPDJgVZFvJyQfkLAAD//wMAUEsBAi0AFAAGAAgAAAAh&#10;ALaDOJL+AAAA4QEAABMAAAAAAAAAAAAAAAAAAAAAAFtDb250ZW50X1R5cGVzXS54bWxQSwECLQAU&#10;AAYACAAAACEAOP0h/9YAAACUAQAACwAAAAAAAAAAAAAAAAAvAQAAX3JlbHMvLnJlbHNQSwECLQAU&#10;AAYACAAAACEAmJaCpx4CAAA9BAAADgAAAAAAAAAAAAAAAAAuAgAAZHJzL2Uyb0RvYy54bWxQSwEC&#10;LQAUAAYACAAAACEABd366d0AAAAJAQAADwAAAAAAAAAAAAAAAAB4BAAAZHJzL2Rvd25yZXYueG1s&#10;UEsFBgAAAAAEAAQA8wAAAIIFAAAAAA==&#10;"/>
                  </w:pict>
                </mc:Fallback>
              </mc:AlternateContent>
            </w:r>
          </w:p>
          <w:p w14:paraId="46E5A309" w14:textId="77777777" w:rsidR="00BE2C1D" w:rsidRPr="00BE2C1D" w:rsidRDefault="00BE2C1D" w:rsidP="00BE2C1D">
            <w:pPr>
              <w:numPr>
                <w:ilvl w:val="0"/>
                <w:numId w:val="27"/>
              </w:numPr>
              <w:tabs>
                <w:tab w:val="left" w:pos="360"/>
              </w:tabs>
              <w:spacing w:after="0" w:line="240" w:lineRule="auto"/>
              <w:ind w:hanging="720"/>
              <w:rPr>
                <w:rFonts w:ascii="TUOS Blake" w:hAnsi="TUOS Blake" w:cs="Arial"/>
              </w:rPr>
            </w:pPr>
            <w:r w:rsidRPr="00BE2C1D">
              <w:rPr>
                <w:rFonts w:ascii="TUOS Blake" w:hAnsi="TUOS Blake" w:cs="Arial"/>
              </w:rPr>
              <w:t>I agree for my child to take part in the above research project.</w:t>
            </w:r>
          </w:p>
          <w:p w14:paraId="72AC5A12" w14:textId="77777777" w:rsidR="00BE2C1D" w:rsidRPr="00BE2C1D" w:rsidRDefault="00BE2C1D" w:rsidP="00BE2C1D">
            <w:pPr>
              <w:rPr>
                <w:rFonts w:ascii="TUOS Blake" w:hAnsi="TUOS Blake" w:cs="Arial"/>
              </w:rPr>
            </w:pPr>
          </w:p>
          <w:p w14:paraId="59086185" w14:textId="77777777" w:rsidR="00BE2C1D" w:rsidRPr="00BE2C1D" w:rsidRDefault="00BE2C1D" w:rsidP="00BE2C1D">
            <w:pPr>
              <w:rPr>
                <w:rFonts w:ascii="TUOS Blake" w:hAnsi="TUOS Blake" w:cs="Arial"/>
              </w:rPr>
            </w:pPr>
          </w:p>
          <w:p w14:paraId="31920442" w14:textId="77777777" w:rsidR="00BE2C1D" w:rsidRPr="00BE2C1D" w:rsidRDefault="00BE2C1D" w:rsidP="00BE2C1D">
            <w:pPr>
              <w:tabs>
                <w:tab w:val="left" w:pos="3600"/>
                <w:tab w:val="left" w:pos="6480"/>
              </w:tabs>
              <w:rPr>
                <w:rFonts w:ascii="TUOS Blake" w:hAnsi="TUOS Blake" w:cs="Arial"/>
              </w:rPr>
            </w:pPr>
            <w:r w:rsidRPr="00BE2C1D">
              <w:rPr>
                <w:rFonts w:ascii="TUOS Blake" w:hAnsi="TUOS Blake" w:cs="Arial"/>
              </w:rPr>
              <w:t>________________________</w:t>
            </w:r>
            <w:r w:rsidRPr="00BE2C1D">
              <w:rPr>
                <w:rFonts w:ascii="TUOS Blake" w:hAnsi="TUOS Blake" w:cs="Arial"/>
              </w:rPr>
              <w:tab/>
              <w:t>________________         ____________________</w:t>
            </w:r>
          </w:p>
          <w:p w14:paraId="49BA22C1" w14:textId="77777777" w:rsidR="00BE2C1D" w:rsidRPr="00BE2C1D" w:rsidRDefault="00BE2C1D" w:rsidP="00BE2C1D">
            <w:pPr>
              <w:tabs>
                <w:tab w:val="left" w:pos="3600"/>
                <w:tab w:val="left" w:pos="6480"/>
              </w:tabs>
              <w:rPr>
                <w:rFonts w:ascii="TUOS Blake" w:hAnsi="TUOS Blake" w:cs="Arial"/>
              </w:rPr>
            </w:pPr>
            <w:r w:rsidRPr="00BE2C1D">
              <w:rPr>
                <w:rFonts w:ascii="TUOS Blake" w:hAnsi="TUOS Blake" w:cs="Arial"/>
              </w:rPr>
              <w:t>Name of Parent/Guardian              Date                        Signature</w:t>
            </w:r>
          </w:p>
          <w:p w14:paraId="04D42A99" w14:textId="77777777" w:rsidR="00BE2C1D" w:rsidRPr="00BE2C1D" w:rsidRDefault="00BE2C1D" w:rsidP="00BE2C1D">
            <w:pPr>
              <w:tabs>
                <w:tab w:val="left" w:pos="3600"/>
                <w:tab w:val="left" w:pos="6480"/>
              </w:tabs>
              <w:rPr>
                <w:rFonts w:ascii="TUOS Blake" w:hAnsi="TUOS Blake" w:cs="Arial"/>
              </w:rPr>
            </w:pPr>
            <w:r w:rsidRPr="00BE2C1D">
              <w:rPr>
                <w:rFonts w:ascii="TUOS Blake" w:hAnsi="TUOS Blake" w:cs="Arial"/>
              </w:rPr>
              <w:t>Of Participant</w:t>
            </w:r>
          </w:p>
          <w:p w14:paraId="5A72D2F2" w14:textId="77777777" w:rsidR="00BE2C1D" w:rsidRPr="00BE2C1D" w:rsidRDefault="00BE2C1D" w:rsidP="00BE2C1D">
            <w:pPr>
              <w:rPr>
                <w:rFonts w:ascii="TUOS Blake" w:hAnsi="TUOS Blake" w:cs="Arial"/>
              </w:rPr>
            </w:pPr>
            <w:r w:rsidRPr="00BE2C1D">
              <w:rPr>
                <w:rFonts w:ascii="TUOS Blake" w:hAnsi="TUOS Blake" w:cs="Arial"/>
              </w:rPr>
              <w:t>(</w:t>
            </w:r>
            <w:r w:rsidRPr="00BE2C1D">
              <w:rPr>
                <w:rFonts w:ascii="TUOS Blake" w:hAnsi="TUOS Blake" w:cs="Arial"/>
                <w:i/>
                <w:iCs/>
              </w:rPr>
              <w:t>Or legal representative</w:t>
            </w:r>
            <w:r w:rsidRPr="00BE2C1D">
              <w:rPr>
                <w:rFonts w:ascii="TUOS Blake" w:hAnsi="TUOS Blake" w:cs="Arial"/>
              </w:rPr>
              <w:t>)</w:t>
            </w:r>
          </w:p>
          <w:p w14:paraId="021383EE" w14:textId="77777777" w:rsidR="00BE2C1D" w:rsidRPr="00BE2C1D" w:rsidRDefault="00BE2C1D" w:rsidP="00BE2C1D">
            <w:pPr>
              <w:spacing w:after="0" w:line="240" w:lineRule="auto"/>
              <w:rPr>
                <w:rFonts w:ascii="TUOS Blake" w:eastAsia="Times New Roman" w:hAnsi="TUOS Blake" w:cs="Arial"/>
                <w:sz w:val="24"/>
                <w:szCs w:val="24"/>
              </w:rPr>
            </w:pPr>
          </w:p>
          <w:p w14:paraId="41B8F829" w14:textId="77777777" w:rsidR="00BE2C1D" w:rsidRPr="00BE2C1D" w:rsidRDefault="00BE2C1D" w:rsidP="00BE2C1D">
            <w:pPr>
              <w:tabs>
                <w:tab w:val="left" w:pos="3600"/>
                <w:tab w:val="left" w:pos="6480"/>
              </w:tabs>
              <w:rPr>
                <w:rFonts w:ascii="TUOS Blake" w:hAnsi="TUOS Blake" w:cs="Arial"/>
              </w:rPr>
            </w:pPr>
            <w:r w:rsidRPr="00BE2C1D">
              <w:rPr>
                <w:rFonts w:ascii="TUOS Blake" w:hAnsi="TUOS Blake" w:cs="Arial"/>
              </w:rPr>
              <w:t>_________________________</w:t>
            </w:r>
            <w:r w:rsidRPr="00BE2C1D">
              <w:rPr>
                <w:rFonts w:ascii="TUOS Blake" w:hAnsi="TUOS Blake" w:cs="Arial"/>
              </w:rPr>
              <w:tab/>
              <w:t>________________         ____________________</w:t>
            </w:r>
          </w:p>
          <w:p w14:paraId="7015074C" w14:textId="77777777" w:rsidR="00BE2C1D" w:rsidRPr="00BE2C1D" w:rsidRDefault="00BE2C1D" w:rsidP="00BE2C1D">
            <w:pPr>
              <w:tabs>
                <w:tab w:val="left" w:pos="3600"/>
                <w:tab w:val="left" w:pos="6480"/>
              </w:tabs>
              <w:rPr>
                <w:rFonts w:ascii="TUOS Blake" w:hAnsi="TUOS Blake" w:cs="Arial"/>
              </w:rPr>
            </w:pPr>
            <w:r w:rsidRPr="00BE2C1D">
              <w:rPr>
                <w:rFonts w:ascii="TUOS Blake" w:hAnsi="TUOS Blake" w:cs="Arial"/>
              </w:rPr>
              <w:t>Name of Researcher</w:t>
            </w:r>
            <w:r w:rsidRPr="00BE2C1D">
              <w:rPr>
                <w:rFonts w:ascii="TUOS Blake" w:hAnsi="TUOS Blake" w:cs="Arial"/>
              </w:rPr>
              <w:tab/>
              <w:t>Date</w:t>
            </w:r>
            <w:r w:rsidRPr="00BE2C1D">
              <w:rPr>
                <w:rFonts w:ascii="TUOS Blake" w:hAnsi="TUOS Blake" w:cs="Arial"/>
              </w:rPr>
              <w:tab/>
              <w:t>Signature</w:t>
            </w:r>
          </w:p>
          <w:p w14:paraId="71C5ED9C" w14:textId="77777777" w:rsidR="00BE2C1D" w:rsidRPr="00BE2C1D" w:rsidRDefault="00BE2C1D" w:rsidP="00BE2C1D">
            <w:pPr>
              <w:tabs>
                <w:tab w:val="left" w:pos="3600"/>
                <w:tab w:val="left" w:pos="6480"/>
              </w:tabs>
              <w:rPr>
                <w:rFonts w:ascii="TUOS Blake" w:hAnsi="TUOS Blake" w:cs="Arial"/>
              </w:rPr>
            </w:pPr>
          </w:p>
          <w:p w14:paraId="51397561" w14:textId="77777777" w:rsidR="00BE2C1D" w:rsidRPr="00BE2C1D" w:rsidRDefault="00BE2C1D" w:rsidP="00BE2C1D">
            <w:pPr>
              <w:rPr>
                <w:rFonts w:ascii="TUOS Blake" w:hAnsi="TUOS Blake" w:cs="Arial"/>
                <w:i/>
                <w:iCs/>
              </w:rPr>
            </w:pPr>
            <w:r w:rsidRPr="00BE2C1D">
              <w:rPr>
                <w:rFonts w:ascii="TUOS Blake" w:hAnsi="TUOS Blake" w:cs="Arial"/>
                <w:i/>
                <w:iCs/>
              </w:rPr>
              <w:t>To be signed and dated in presence of the participant</w:t>
            </w:r>
          </w:p>
          <w:p w14:paraId="2458DFE2" w14:textId="77777777" w:rsidR="00BE2C1D" w:rsidRPr="00BE2C1D" w:rsidRDefault="00BE2C1D" w:rsidP="00BE2C1D">
            <w:pPr>
              <w:rPr>
                <w:rFonts w:ascii="TUOS Blake" w:hAnsi="TUOS Blake" w:cs="Arial"/>
              </w:rPr>
            </w:pPr>
          </w:p>
          <w:p w14:paraId="0091AC2F" w14:textId="77777777" w:rsidR="00BE2C1D" w:rsidRPr="00BE2C1D" w:rsidRDefault="00BE2C1D" w:rsidP="00BE2C1D">
            <w:pPr>
              <w:spacing w:after="0" w:line="240" w:lineRule="auto"/>
              <w:rPr>
                <w:rFonts w:ascii="TUOS Blake" w:eastAsia="Times New Roman" w:hAnsi="TUOS Blake" w:cs="Arial"/>
                <w:sz w:val="24"/>
                <w:szCs w:val="24"/>
              </w:rPr>
            </w:pPr>
            <w:r w:rsidRPr="00BE2C1D">
              <w:rPr>
                <w:rFonts w:ascii="TUOS Blake" w:eastAsia="Times New Roman" w:hAnsi="TUOS Blake" w:cs="Arial"/>
                <w:sz w:val="24"/>
                <w:szCs w:val="24"/>
              </w:rPr>
              <w:lastRenderedPageBreak/>
              <w:t>Copies:</w:t>
            </w:r>
          </w:p>
          <w:p w14:paraId="6F873AB2" w14:textId="77777777" w:rsidR="00BE2C1D" w:rsidRPr="00BE2C1D" w:rsidRDefault="00BE2C1D" w:rsidP="00BE2C1D">
            <w:pPr>
              <w:spacing w:after="0" w:line="240" w:lineRule="auto"/>
              <w:jc w:val="both"/>
              <w:rPr>
                <w:rFonts w:ascii="TUOS Blake" w:eastAsia="Times New Roman" w:hAnsi="TUOS Blake" w:cs="Arial"/>
                <w:i/>
                <w:iCs/>
                <w:sz w:val="24"/>
                <w:szCs w:val="24"/>
              </w:rPr>
            </w:pPr>
            <w:r w:rsidRPr="00BE2C1D">
              <w:rPr>
                <w:rFonts w:ascii="TUOS Blake" w:eastAsia="Times New Roman" w:hAnsi="TUOS Blake" w:cs="Arial"/>
                <w:i/>
                <w:iCs/>
              </w:rPr>
              <w:t>Once all parties have signed this form the participant should receive a copy of the signed and dated participant consent form, the letter/pre-written script/information sheet and any other written information provided to the participants. A copy of the signed and dated consent form should be placed in the project’s main record (e.g. a site file), which must be kept in a secure location.</w:t>
            </w:r>
            <w:r w:rsidRPr="00BE2C1D">
              <w:rPr>
                <w:rFonts w:ascii="TUOS Blake" w:eastAsia="Times New Roman" w:hAnsi="TUOS Blake" w:cs="Arial"/>
                <w:i/>
                <w:iCs/>
                <w:sz w:val="24"/>
                <w:szCs w:val="24"/>
              </w:rPr>
              <w:t xml:space="preserve"> </w:t>
            </w:r>
          </w:p>
        </w:tc>
      </w:tr>
    </w:tbl>
    <w:p w14:paraId="09FB7DE8" w14:textId="77777777" w:rsidR="00BE2C1D" w:rsidRPr="00BE2C1D" w:rsidRDefault="00BE2C1D" w:rsidP="00BE2C1D"/>
    <w:p w14:paraId="1019D4D9" w14:textId="77777777" w:rsidR="00BE2C1D" w:rsidRPr="00BE2C1D" w:rsidRDefault="00BE2C1D" w:rsidP="00BE2C1D"/>
    <w:p w14:paraId="4A0738B6" w14:textId="77777777" w:rsidR="00BE2C1D" w:rsidRPr="00BE2C1D" w:rsidRDefault="00BE2C1D" w:rsidP="00BE2C1D">
      <w:pPr>
        <w:keepNext/>
        <w:keepLines/>
        <w:spacing w:before="40" w:after="0"/>
        <w:outlineLvl w:val="2"/>
        <w:rPr>
          <w:rFonts w:asciiTheme="majorHAnsi" w:eastAsiaTheme="majorEastAsia" w:hAnsiTheme="majorHAnsi" w:cstheme="majorBidi"/>
          <w:color w:val="1F3763" w:themeColor="accent1" w:themeShade="7F"/>
          <w:sz w:val="24"/>
          <w:szCs w:val="24"/>
        </w:rPr>
      </w:pPr>
      <w:bookmarkStart w:id="221" w:name="_Toc39585314"/>
      <w:r w:rsidRPr="00BE2C1D">
        <w:rPr>
          <w:rFonts w:asciiTheme="majorHAnsi" w:eastAsiaTheme="majorEastAsia" w:hAnsiTheme="majorHAnsi" w:cstheme="majorBidi"/>
          <w:color w:val="1F3763" w:themeColor="accent1" w:themeShade="7F"/>
          <w:sz w:val="24"/>
          <w:szCs w:val="24"/>
        </w:rPr>
        <w:t>Informed Consent Form for Teenagers</w:t>
      </w:r>
      <w:bookmarkEnd w:id="221"/>
    </w:p>
    <w:p w14:paraId="12177A95" w14:textId="77777777" w:rsidR="00BE2C1D" w:rsidRPr="00BE2C1D" w:rsidRDefault="00BE2C1D" w:rsidP="00BE2C1D"/>
    <w:p w14:paraId="29C65F27" w14:textId="77777777" w:rsidR="00BE2C1D" w:rsidRPr="00BE2C1D" w:rsidRDefault="00BE2C1D" w:rsidP="00BE2C1D">
      <w:pPr>
        <w:jc w:val="center"/>
        <w:rPr>
          <w:b/>
          <w:sz w:val="40"/>
          <w:szCs w:val="40"/>
        </w:rPr>
      </w:pPr>
      <w:r w:rsidRPr="00BE2C1D">
        <w:rPr>
          <w:b/>
          <w:sz w:val="40"/>
          <w:szCs w:val="40"/>
        </w:rPr>
        <w:t>Be-Coming Storytellers: Stories of Secondary Education</w:t>
      </w:r>
    </w:p>
    <w:p w14:paraId="3A3D1769" w14:textId="77777777" w:rsidR="00BE2C1D" w:rsidRPr="00BE2C1D" w:rsidRDefault="00BE2C1D" w:rsidP="00BE2C1D"/>
    <w:p w14:paraId="54B7F27B" w14:textId="77777777" w:rsidR="00BE2C1D" w:rsidRPr="00BE2C1D" w:rsidRDefault="00BE2C1D" w:rsidP="00BE2C1D">
      <w:pPr>
        <w:rPr>
          <w:rFonts w:ascii="Century Gothic" w:hAnsi="Century Gothic"/>
          <w:b/>
        </w:rPr>
      </w:pPr>
    </w:p>
    <w:p w14:paraId="2FDE42A2" w14:textId="77777777" w:rsidR="00BE2C1D" w:rsidRPr="00BE2C1D" w:rsidRDefault="00BE2C1D" w:rsidP="00BE2C1D">
      <w:pPr>
        <w:rPr>
          <w:rFonts w:ascii="Century Gothic" w:hAnsi="Century Gothic"/>
        </w:rPr>
      </w:pPr>
    </w:p>
    <w:p w14:paraId="7CAF148B" w14:textId="77777777" w:rsidR="00BE2C1D" w:rsidRPr="00BE2C1D" w:rsidRDefault="00BE2C1D" w:rsidP="00BE2C1D">
      <w:pPr>
        <w:rPr>
          <w:rFonts w:ascii="Century Gothic" w:hAnsi="Century Gothic"/>
          <w:sz w:val="28"/>
          <w:szCs w:val="28"/>
        </w:rPr>
      </w:pPr>
      <w:r w:rsidRPr="00BE2C1D">
        <w:rPr>
          <w:rFonts w:ascii="Century Gothic" w:hAnsi="Century Gothic"/>
          <w:b/>
          <w:sz w:val="28"/>
          <w:szCs w:val="28"/>
        </w:rPr>
        <w:t>Title of Research Project:</w:t>
      </w:r>
      <w:r w:rsidRPr="00BE2C1D">
        <w:rPr>
          <w:rFonts w:ascii="Century Gothic" w:hAnsi="Century Gothic"/>
          <w:sz w:val="28"/>
          <w:szCs w:val="28"/>
        </w:rPr>
        <w:t xml:space="preserve"> Be-Coming Storytellers: Stories of Secondary Education</w:t>
      </w:r>
    </w:p>
    <w:p w14:paraId="63B41493" w14:textId="77777777" w:rsidR="00BE2C1D" w:rsidRPr="00BE2C1D" w:rsidRDefault="00BE2C1D" w:rsidP="00BE2C1D">
      <w:pPr>
        <w:rPr>
          <w:rFonts w:ascii="Century Gothic" w:hAnsi="Century Gothic"/>
          <w:sz w:val="28"/>
          <w:szCs w:val="28"/>
        </w:rPr>
      </w:pPr>
    </w:p>
    <w:p w14:paraId="0E8643D1" w14:textId="77777777" w:rsidR="00BE2C1D" w:rsidRPr="00BE2C1D" w:rsidRDefault="00BE2C1D" w:rsidP="00BE2C1D">
      <w:pPr>
        <w:rPr>
          <w:rFonts w:ascii="Century Gothic" w:hAnsi="Century Gothic"/>
          <w:sz w:val="28"/>
          <w:szCs w:val="28"/>
        </w:rPr>
      </w:pPr>
      <w:r w:rsidRPr="00BE2C1D">
        <w:rPr>
          <w:rFonts w:ascii="Century Gothic" w:hAnsi="Century Gothic"/>
          <w:b/>
          <w:sz w:val="28"/>
          <w:szCs w:val="28"/>
        </w:rPr>
        <w:t>Name of Researcher:</w:t>
      </w:r>
      <w:r w:rsidRPr="00BE2C1D">
        <w:rPr>
          <w:rFonts w:ascii="Century Gothic" w:hAnsi="Century Gothic"/>
          <w:sz w:val="28"/>
          <w:szCs w:val="28"/>
        </w:rPr>
        <w:t xml:space="preserve"> Antonios Ktenidis</w:t>
      </w:r>
    </w:p>
    <w:p w14:paraId="4FE4586E" w14:textId="77777777" w:rsidR="00BE2C1D" w:rsidRPr="00BE2C1D" w:rsidRDefault="00BE2C1D" w:rsidP="00BE2C1D">
      <w:pPr>
        <w:rPr>
          <w:rFonts w:ascii="Century Gothic" w:hAnsi="Century Gothic"/>
          <w:sz w:val="28"/>
          <w:szCs w:val="28"/>
        </w:rPr>
      </w:pPr>
    </w:p>
    <w:p w14:paraId="062153F3" w14:textId="77777777" w:rsidR="00BE2C1D" w:rsidRPr="00BE2C1D" w:rsidRDefault="00BE2C1D" w:rsidP="00BE2C1D">
      <w:pPr>
        <w:rPr>
          <w:rFonts w:ascii="Century Gothic" w:hAnsi="Century Gothic"/>
          <w:sz w:val="28"/>
          <w:szCs w:val="28"/>
        </w:rPr>
      </w:pPr>
    </w:p>
    <w:p w14:paraId="479E388A" w14:textId="77777777" w:rsidR="00BE2C1D" w:rsidRPr="00BE2C1D" w:rsidRDefault="00BE2C1D" w:rsidP="00BE2C1D">
      <w:pPr>
        <w:rPr>
          <w:rFonts w:ascii="Century Gothic" w:hAnsi="Century Gothic"/>
          <w:b/>
          <w:sz w:val="28"/>
          <w:szCs w:val="28"/>
        </w:rPr>
      </w:pPr>
      <w:r w:rsidRPr="00BE2C1D">
        <w:rPr>
          <w:rFonts w:ascii="Century Gothic" w:hAnsi="Century Gothic"/>
          <w:b/>
          <w:sz w:val="28"/>
          <w:szCs w:val="28"/>
        </w:rPr>
        <w:t>Please tick box</w:t>
      </w:r>
    </w:p>
    <w:p w14:paraId="1BEBE6DE" w14:textId="77777777" w:rsidR="00BE2C1D" w:rsidRPr="00BE2C1D" w:rsidRDefault="00BE2C1D" w:rsidP="00BE2C1D">
      <w:pPr>
        <w:rPr>
          <w:rFonts w:ascii="Century Gothic" w:hAnsi="Century Gothic"/>
          <w:sz w:val="28"/>
          <w:szCs w:val="28"/>
        </w:rPr>
      </w:pPr>
    </w:p>
    <w:p w14:paraId="4404993B" w14:textId="77777777" w:rsidR="00BE2C1D" w:rsidRPr="00BE2C1D" w:rsidRDefault="00BE2C1D" w:rsidP="00BE2C1D">
      <w:pPr>
        <w:rPr>
          <w:rFonts w:ascii="Century Gothic" w:hAnsi="Century Gothic"/>
          <w:sz w:val="28"/>
          <w:szCs w:val="28"/>
        </w:rPr>
      </w:pPr>
      <w:r w:rsidRPr="00BE2C1D">
        <w:rPr>
          <w:rFonts w:ascii="Century Gothic" w:hAnsi="Century Gothic"/>
          <w:b/>
          <w:noProof/>
          <w:sz w:val="28"/>
          <w:szCs w:val="28"/>
          <w:lang w:eastAsia="en-GB"/>
        </w:rPr>
        <w:drawing>
          <wp:anchor distT="0" distB="0" distL="114300" distR="114300" simplePos="0" relativeHeight="251707392" behindDoc="0" locked="0" layoutInCell="1" allowOverlap="1" wp14:anchorId="47CB4C2D" wp14:editId="5D363C6D">
            <wp:simplePos x="0" y="0"/>
            <wp:positionH relativeFrom="column">
              <wp:posOffset>-37465</wp:posOffset>
            </wp:positionH>
            <wp:positionV relativeFrom="paragraph">
              <wp:posOffset>78105</wp:posOffset>
            </wp:positionV>
            <wp:extent cx="991235" cy="994410"/>
            <wp:effectExtent l="0" t="0" r="0" b="0"/>
            <wp:wrapThrough wrapText="bothSides">
              <wp:wrapPolygon edited="0">
                <wp:start x="0" y="0"/>
                <wp:lineTo x="0" y="20966"/>
                <wp:lineTo x="21033" y="20966"/>
                <wp:lineTo x="21033" y="0"/>
                <wp:lineTo x="0" y="0"/>
              </wp:wrapPolygon>
            </wp:wrapThrough>
            <wp:docPr id="92" name="Picture 92" descr="Screen Shot 2017-03-30 a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creen Shot 2017-03-30 at 10"/>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991235" cy="994410"/>
                    </a:xfrm>
                    <a:prstGeom prst="rect">
                      <a:avLst/>
                    </a:prstGeom>
                    <a:noFill/>
                    <a:ln>
                      <a:noFill/>
                    </a:ln>
                  </pic:spPr>
                </pic:pic>
              </a:graphicData>
            </a:graphic>
          </wp:anchor>
        </w:drawing>
      </w:r>
    </w:p>
    <w:p w14:paraId="7F774A51" w14:textId="77777777" w:rsidR="00BE2C1D" w:rsidRPr="00BE2C1D" w:rsidRDefault="00BE2C1D" w:rsidP="00BE2C1D">
      <w:pPr>
        <w:rPr>
          <w:rFonts w:ascii="Century Gothic" w:hAnsi="Century Gothic"/>
          <w:sz w:val="28"/>
          <w:szCs w:val="28"/>
        </w:rPr>
      </w:pPr>
      <w:r w:rsidRPr="00BE2C1D">
        <w:rPr>
          <w:rFonts w:ascii="Century Gothic" w:hAnsi="Century Gothic"/>
          <w:sz w:val="28"/>
          <w:szCs w:val="28"/>
        </w:rPr>
        <w:t>I confirm that I have read and understand the information sheet explaining the above project.</w:t>
      </w:r>
    </w:p>
    <w:p w14:paraId="1E6AF61F" w14:textId="77777777" w:rsidR="00BE2C1D" w:rsidRPr="00BE2C1D" w:rsidRDefault="00BE2C1D" w:rsidP="00BE2C1D">
      <w:pPr>
        <w:rPr>
          <w:rFonts w:ascii="Century Gothic" w:hAnsi="Century Gothic"/>
          <w:sz w:val="28"/>
          <w:szCs w:val="28"/>
        </w:rPr>
      </w:pPr>
    </w:p>
    <w:p w14:paraId="0870BDEF" w14:textId="77777777" w:rsidR="00BE2C1D" w:rsidRPr="00BE2C1D" w:rsidRDefault="00BE2C1D" w:rsidP="00BE2C1D">
      <w:pPr>
        <w:rPr>
          <w:rFonts w:ascii="Century Gothic" w:hAnsi="Century Gothic"/>
          <w:sz w:val="28"/>
          <w:szCs w:val="28"/>
        </w:rPr>
      </w:pPr>
    </w:p>
    <w:p w14:paraId="683335EA" w14:textId="77777777" w:rsidR="00BE2C1D" w:rsidRPr="00BE2C1D" w:rsidRDefault="00BE2C1D" w:rsidP="00BE2C1D">
      <w:pPr>
        <w:rPr>
          <w:rFonts w:ascii="Century Gothic" w:hAnsi="Century Gothic"/>
          <w:sz w:val="28"/>
          <w:szCs w:val="28"/>
        </w:rPr>
      </w:pPr>
    </w:p>
    <w:p w14:paraId="0FA845C6" w14:textId="77777777" w:rsidR="00BE2C1D" w:rsidRPr="00BE2C1D" w:rsidRDefault="00BE2C1D" w:rsidP="00BE2C1D">
      <w:pPr>
        <w:rPr>
          <w:rFonts w:ascii="Century Gothic" w:hAnsi="Century Gothic"/>
          <w:sz w:val="28"/>
          <w:szCs w:val="28"/>
        </w:rPr>
      </w:pPr>
      <w:r w:rsidRPr="00BE2C1D">
        <w:rPr>
          <w:rFonts w:ascii="Century Gothic" w:hAnsi="Century Gothic"/>
          <w:noProof/>
          <w:sz w:val="28"/>
          <w:szCs w:val="28"/>
          <w:lang w:eastAsia="en-GB"/>
        </w:rPr>
        <w:lastRenderedPageBreak/>
        <w:drawing>
          <wp:anchor distT="0" distB="0" distL="114300" distR="114300" simplePos="0" relativeHeight="251708416" behindDoc="0" locked="0" layoutInCell="1" allowOverlap="1" wp14:anchorId="04B918E3" wp14:editId="4BFC7689">
            <wp:simplePos x="0" y="0"/>
            <wp:positionH relativeFrom="column">
              <wp:posOffset>-37465</wp:posOffset>
            </wp:positionH>
            <wp:positionV relativeFrom="paragraph">
              <wp:posOffset>123825</wp:posOffset>
            </wp:positionV>
            <wp:extent cx="981075" cy="981075"/>
            <wp:effectExtent l="0" t="0" r="9525" b="9525"/>
            <wp:wrapThrough wrapText="bothSides">
              <wp:wrapPolygon edited="0">
                <wp:start x="0" y="0"/>
                <wp:lineTo x="0" y="21250"/>
                <wp:lineTo x="21250" y="21250"/>
                <wp:lineTo x="21250" y="0"/>
                <wp:lineTo x="0" y="0"/>
              </wp:wrapPolygon>
            </wp:wrapThrough>
            <wp:docPr id="93" name="Picture 93" descr="any-ques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ny-questions"/>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981075" cy="981075"/>
                    </a:xfrm>
                    <a:prstGeom prst="rect">
                      <a:avLst/>
                    </a:prstGeom>
                    <a:noFill/>
                    <a:ln>
                      <a:noFill/>
                    </a:ln>
                  </pic:spPr>
                </pic:pic>
              </a:graphicData>
            </a:graphic>
          </wp:anchor>
        </w:drawing>
      </w:r>
    </w:p>
    <w:p w14:paraId="458988C2" w14:textId="77777777" w:rsidR="00BE2C1D" w:rsidRPr="00BE2C1D" w:rsidRDefault="00BE2C1D" w:rsidP="00BE2C1D">
      <w:pPr>
        <w:rPr>
          <w:rFonts w:ascii="Century Gothic" w:hAnsi="Century Gothic"/>
          <w:sz w:val="28"/>
          <w:szCs w:val="28"/>
        </w:rPr>
      </w:pPr>
      <w:r w:rsidRPr="00BE2C1D">
        <w:rPr>
          <w:rFonts w:ascii="Century Gothic" w:hAnsi="Century Gothic"/>
          <w:sz w:val="28"/>
          <w:szCs w:val="28"/>
        </w:rPr>
        <w:t xml:space="preserve">I have had the opportunity to ask questions. </w:t>
      </w:r>
    </w:p>
    <w:p w14:paraId="48504D6C" w14:textId="77777777" w:rsidR="00BE2C1D" w:rsidRPr="00BE2C1D" w:rsidRDefault="00BE2C1D" w:rsidP="00BE2C1D">
      <w:pPr>
        <w:rPr>
          <w:rFonts w:ascii="Century Gothic" w:hAnsi="Century Gothic"/>
          <w:sz w:val="28"/>
          <w:szCs w:val="28"/>
        </w:rPr>
      </w:pPr>
    </w:p>
    <w:p w14:paraId="4BB704FF" w14:textId="77777777" w:rsidR="00BE2C1D" w:rsidRPr="00BE2C1D" w:rsidRDefault="00BE2C1D" w:rsidP="00BE2C1D">
      <w:pPr>
        <w:rPr>
          <w:rFonts w:ascii="Century Gothic" w:hAnsi="Century Gothic"/>
          <w:sz w:val="28"/>
          <w:szCs w:val="28"/>
        </w:rPr>
      </w:pPr>
    </w:p>
    <w:p w14:paraId="47477F88" w14:textId="77777777" w:rsidR="00BE2C1D" w:rsidRPr="00BE2C1D" w:rsidRDefault="00BE2C1D" w:rsidP="00BE2C1D">
      <w:pPr>
        <w:rPr>
          <w:rFonts w:ascii="Century Gothic" w:hAnsi="Century Gothic"/>
          <w:sz w:val="28"/>
          <w:szCs w:val="28"/>
        </w:rPr>
      </w:pPr>
    </w:p>
    <w:p w14:paraId="1CF45688" w14:textId="77777777" w:rsidR="00BE2C1D" w:rsidRPr="00BE2C1D" w:rsidRDefault="00BE2C1D" w:rsidP="00BE2C1D">
      <w:pPr>
        <w:rPr>
          <w:rFonts w:ascii="Century Gothic" w:hAnsi="Century Gothic"/>
          <w:sz w:val="28"/>
          <w:szCs w:val="28"/>
        </w:rPr>
      </w:pPr>
    </w:p>
    <w:p w14:paraId="64A855E1" w14:textId="77777777" w:rsidR="00BE2C1D" w:rsidRPr="00BE2C1D" w:rsidRDefault="00BE2C1D" w:rsidP="00BE2C1D">
      <w:pPr>
        <w:rPr>
          <w:rFonts w:ascii="Century Gothic" w:hAnsi="Century Gothic"/>
          <w:sz w:val="28"/>
          <w:szCs w:val="28"/>
        </w:rPr>
      </w:pPr>
    </w:p>
    <w:p w14:paraId="28F3749A" w14:textId="77777777" w:rsidR="00BE2C1D" w:rsidRPr="00BE2C1D" w:rsidRDefault="00BE2C1D" w:rsidP="00BE2C1D">
      <w:pPr>
        <w:rPr>
          <w:rFonts w:ascii="Century Gothic" w:hAnsi="Century Gothic"/>
          <w:sz w:val="28"/>
          <w:szCs w:val="28"/>
        </w:rPr>
      </w:pPr>
      <w:r w:rsidRPr="00BE2C1D">
        <w:rPr>
          <w:rFonts w:ascii="Century Gothic" w:hAnsi="Century Gothic"/>
          <w:noProof/>
          <w:sz w:val="28"/>
          <w:szCs w:val="28"/>
          <w:lang w:eastAsia="en-GB"/>
        </w:rPr>
        <w:drawing>
          <wp:anchor distT="0" distB="0" distL="114300" distR="114300" simplePos="0" relativeHeight="251709440" behindDoc="0" locked="0" layoutInCell="1" allowOverlap="1" wp14:anchorId="2F5C36D8" wp14:editId="7FB0C479">
            <wp:simplePos x="0" y="0"/>
            <wp:positionH relativeFrom="column">
              <wp:posOffset>-7620</wp:posOffset>
            </wp:positionH>
            <wp:positionV relativeFrom="paragraph">
              <wp:posOffset>100330</wp:posOffset>
            </wp:positionV>
            <wp:extent cx="972185" cy="972185"/>
            <wp:effectExtent l="0" t="0" r="0" b="0"/>
            <wp:wrapThrough wrapText="bothSides">
              <wp:wrapPolygon edited="0">
                <wp:start x="0" y="0"/>
                <wp:lineTo x="0" y="20880"/>
                <wp:lineTo x="20880" y="20880"/>
                <wp:lineTo x="20880" y="0"/>
                <wp:lineTo x="0" y="0"/>
              </wp:wrapPolygon>
            </wp:wrapThrough>
            <wp:docPr id="94" name="Picture 94" descr="Description: Macintosh HD:Users:kirstyliddiard:Downloads:choose-repo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Macintosh HD:Users:kirstyliddiard:Downloads:choose-report.jp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972185" cy="972185"/>
                    </a:xfrm>
                    <a:prstGeom prst="rect">
                      <a:avLst/>
                    </a:prstGeom>
                    <a:noFill/>
                    <a:ln>
                      <a:noFill/>
                    </a:ln>
                  </pic:spPr>
                </pic:pic>
              </a:graphicData>
            </a:graphic>
          </wp:anchor>
        </w:drawing>
      </w:r>
    </w:p>
    <w:p w14:paraId="1ECD05F3" w14:textId="77777777" w:rsidR="00BE2C1D" w:rsidRPr="00BE2C1D" w:rsidRDefault="00BE2C1D" w:rsidP="00BE2C1D">
      <w:pPr>
        <w:rPr>
          <w:rFonts w:ascii="Century Gothic" w:hAnsi="Century Gothic"/>
          <w:sz w:val="28"/>
          <w:szCs w:val="28"/>
        </w:rPr>
      </w:pPr>
      <w:r w:rsidRPr="00BE2C1D">
        <w:rPr>
          <w:rFonts w:ascii="Century Gothic" w:hAnsi="Century Gothic"/>
          <w:sz w:val="28"/>
          <w:szCs w:val="28"/>
        </w:rPr>
        <w:t xml:space="preserve">I understand that I can say “Yes” or  “No” to being involved in the research. </w:t>
      </w:r>
    </w:p>
    <w:p w14:paraId="3A69F220" w14:textId="77777777" w:rsidR="00BE2C1D" w:rsidRPr="00BE2C1D" w:rsidRDefault="00BE2C1D" w:rsidP="00BE2C1D">
      <w:pPr>
        <w:rPr>
          <w:rFonts w:ascii="Century Gothic" w:hAnsi="Century Gothic"/>
          <w:sz w:val="28"/>
          <w:szCs w:val="28"/>
        </w:rPr>
      </w:pPr>
    </w:p>
    <w:p w14:paraId="0D7A8DF8" w14:textId="77777777" w:rsidR="00BE2C1D" w:rsidRPr="00BE2C1D" w:rsidRDefault="00BE2C1D" w:rsidP="00BE2C1D">
      <w:pPr>
        <w:rPr>
          <w:rFonts w:ascii="Century Gothic" w:hAnsi="Century Gothic"/>
          <w:sz w:val="28"/>
          <w:szCs w:val="28"/>
        </w:rPr>
      </w:pPr>
    </w:p>
    <w:p w14:paraId="31A51C7D" w14:textId="77777777" w:rsidR="00BE2C1D" w:rsidRPr="00BE2C1D" w:rsidRDefault="00BE2C1D" w:rsidP="00BE2C1D">
      <w:pPr>
        <w:rPr>
          <w:rFonts w:ascii="Century Gothic" w:hAnsi="Century Gothic"/>
          <w:sz w:val="28"/>
          <w:szCs w:val="28"/>
        </w:rPr>
      </w:pPr>
    </w:p>
    <w:p w14:paraId="2642C67F" w14:textId="77777777" w:rsidR="00BE2C1D" w:rsidRPr="00BE2C1D" w:rsidRDefault="00BE2C1D" w:rsidP="00BE2C1D">
      <w:pPr>
        <w:rPr>
          <w:rFonts w:ascii="Century Gothic" w:hAnsi="Century Gothic"/>
          <w:sz w:val="28"/>
          <w:szCs w:val="28"/>
        </w:rPr>
      </w:pPr>
    </w:p>
    <w:p w14:paraId="6AC5BCDE" w14:textId="77777777" w:rsidR="00BE2C1D" w:rsidRPr="00BE2C1D" w:rsidRDefault="00BE2C1D" w:rsidP="00BE2C1D">
      <w:pPr>
        <w:rPr>
          <w:rFonts w:ascii="Century Gothic" w:hAnsi="Century Gothic"/>
          <w:sz w:val="28"/>
          <w:szCs w:val="28"/>
        </w:rPr>
      </w:pPr>
      <w:r w:rsidRPr="00BE2C1D">
        <w:rPr>
          <w:rFonts w:ascii="Century Gothic" w:hAnsi="Century Gothic"/>
          <w:noProof/>
          <w:sz w:val="28"/>
          <w:szCs w:val="28"/>
          <w:lang w:eastAsia="en-GB"/>
        </w:rPr>
        <w:drawing>
          <wp:anchor distT="0" distB="0" distL="114300" distR="114300" simplePos="0" relativeHeight="251712512" behindDoc="0" locked="0" layoutInCell="1" allowOverlap="1" wp14:anchorId="3B6E4527" wp14:editId="105FB1ED">
            <wp:simplePos x="0" y="0"/>
            <wp:positionH relativeFrom="column">
              <wp:posOffset>11430</wp:posOffset>
            </wp:positionH>
            <wp:positionV relativeFrom="paragraph">
              <wp:posOffset>41910</wp:posOffset>
            </wp:positionV>
            <wp:extent cx="989965" cy="989965"/>
            <wp:effectExtent l="0" t="0" r="635" b="635"/>
            <wp:wrapSquare wrapText="bothSides"/>
            <wp:docPr id="95" name="Picture 95" descr="Macintosh HD:Users:kirstyliddiard:Desktop:EASY READ image bank :leav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kirstyliddiard:Desktop:EASY READ image bank :leaving.jp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989965" cy="989965"/>
                    </a:xfrm>
                    <a:prstGeom prst="rect">
                      <a:avLst/>
                    </a:prstGeom>
                    <a:noFill/>
                    <a:ln>
                      <a:noFill/>
                    </a:ln>
                  </pic:spPr>
                </pic:pic>
              </a:graphicData>
            </a:graphic>
          </wp:anchor>
        </w:drawing>
      </w:r>
    </w:p>
    <w:p w14:paraId="3EEB7C78" w14:textId="77777777" w:rsidR="00BE2C1D" w:rsidRPr="00BE2C1D" w:rsidRDefault="00BE2C1D" w:rsidP="00BE2C1D">
      <w:pPr>
        <w:rPr>
          <w:rFonts w:ascii="Century Gothic" w:hAnsi="Century Gothic"/>
          <w:sz w:val="28"/>
          <w:szCs w:val="28"/>
        </w:rPr>
      </w:pPr>
      <w:r w:rsidRPr="00BE2C1D">
        <w:rPr>
          <w:rFonts w:ascii="Century Gothic" w:hAnsi="Century Gothic"/>
          <w:sz w:val="28"/>
          <w:szCs w:val="28"/>
        </w:rPr>
        <w:t>I understand I can choose to leave the research at any time if I want to.</w:t>
      </w:r>
    </w:p>
    <w:p w14:paraId="6B12F01E" w14:textId="77777777" w:rsidR="00BE2C1D" w:rsidRPr="00BE2C1D" w:rsidRDefault="00BE2C1D" w:rsidP="00BE2C1D">
      <w:pPr>
        <w:rPr>
          <w:rFonts w:ascii="Century Gothic" w:hAnsi="Century Gothic"/>
          <w:sz w:val="28"/>
          <w:szCs w:val="28"/>
        </w:rPr>
      </w:pPr>
    </w:p>
    <w:p w14:paraId="509297A6" w14:textId="77777777" w:rsidR="00BE2C1D" w:rsidRPr="00BE2C1D" w:rsidRDefault="00BE2C1D" w:rsidP="00BE2C1D">
      <w:pPr>
        <w:rPr>
          <w:rFonts w:ascii="Century Gothic" w:hAnsi="Century Gothic"/>
          <w:sz w:val="28"/>
          <w:szCs w:val="28"/>
        </w:rPr>
      </w:pPr>
    </w:p>
    <w:p w14:paraId="22D092C0" w14:textId="77777777" w:rsidR="00BE2C1D" w:rsidRPr="00BE2C1D" w:rsidRDefault="00BE2C1D" w:rsidP="00BE2C1D">
      <w:pPr>
        <w:rPr>
          <w:rFonts w:ascii="Century Gothic" w:hAnsi="Century Gothic"/>
          <w:sz w:val="28"/>
          <w:szCs w:val="28"/>
        </w:rPr>
      </w:pPr>
    </w:p>
    <w:p w14:paraId="369A8241" w14:textId="77777777" w:rsidR="00BE2C1D" w:rsidRPr="00BE2C1D" w:rsidRDefault="00BE2C1D" w:rsidP="00BE2C1D">
      <w:pPr>
        <w:rPr>
          <w:rFonts w:ascii="Century Gothic" w:hAnsi="Century Gothic"/>
          <w:sz w:val="28"/>
          <w:szCs w:val="28"/>
        </w:rPr>
      </w:pPr>
    </w:p>
    <w:p w14:paraId="6083BB6C" w14:textId="77777777" w:rsidR="00BE2C1D" w:rsidRPr="00BE2C1D" w:rsidRDefault="00BE2C1D" w:rsidP="00BE2C1D">
      <w:pPr>
        <w:rPr>
          <w:rFonts w:ascii="Century Gothic" w:hAnsi="Century Gothic"/>
          <w:sz w:val="28"/>
          <w:szCs w:val="28"/>
        </w:rPr>
      </w:pPr>
      <w:r w:rsidRPr="00BE2C1D">
        <w:rPr>
          <w:rFonts w:ascii="Century Gothic" w:hAnsi="Century Gothic"/>
          <w:noProof/>
          <w:sz w:val="28"/>
          <w:szCs w:val="28"/>
          <w:lang w:eastAsia="en-GB"/>
        </w:rPr>
        <w:drawing>
          <wp:anchor distT="0" distB="0" distL="114300" distR="114300" simplePos="0" relativeHeight="251710464" behindDoc="1" locked="0" layoutInCell="1" allowOverlap="1" wp14:anchorId="423992E3" wp14:editId="35C4D460">
            <wp:simplePos x="0" y="0"/>
            <wp:positionH relativeFrom="column">
              <wp:posOffset>-8890</wp:posOffset>
            </wp:positionH>
            <wp:positionV relativeFrom="paragraph">
              <wp:posOffset>85725</wp:posOffset>
            </wp:positionV>
            <wp:extent cx="991870" cy="991870"/>
            <wp:effectExtent l="0" t="0" r="0" b="0"/>
            <wp:wrapSquare wrapText="bothSides"/>
            <wp:docPr id="96" name="Picture 96" descr="Description: Macintosh HD:Users:kirstyliddiard:Desktop:EASY READ image bank :confidential-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Description: Macintosh HD:Users:kirstyliddiard:Desktop:EASY READ image bank :confidential-V2.jp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991870" cy="991870"/>
                    </a:xfrm>
                    <a:prstGeom prst="rect">
                      <a:avLst/>
                    </a:prstGeom>
                    <a:noFill/>
                    <a:ln>
                      <a:noFill/>
                    </a:ln>
                  </pic:spPr>
                </pic:pic>
              </a:graphicData>
            </a:graphic>
          </wp:anchor>
        </w:drawing>
      </w:r>
    </w:p>
    <w:p w14:paraId="38BA06D6" w14:textId="77777777" w:rsidR="00BE2C1D" w:rsidRPr="00BE2C1D" w:rsidRDefault="00BE2C1D" w:rsidP="00BE2C1D">
      <w:pPr>
        <w:rPr>
          <w:rFonts w:ascii="Century Gothic" w:hAnsi="Century Gothic"/>
          <w:sz w:val="28"/>
          <w:szCs w:val="28"/>
        </w:rPr>
      </w:pPr>
      <w:r w:rsidRPr="00BE2C1D">
        <w:rPr>
          <w:rFonts w:ascii="Century Gothic" w:hAnsi="Century Gothic"/>
          <w:sz w:val="28"/>
          <w:szCs w:val="28"/>
        </w:rPr>
        <w:t>I understand that I can choose a pretend name if I want to and that other people can look at what I have to say once I have chosen a pretend name.</w:t>
      </w:r>
    </w:p>
    <w:p w14:paraId="53A50919" w14:textId="77777777" w:rsidR="00BE2C1D" w:rsidRPr="00BE2C1D" w:rsidRDefault="00BE2C1D" w:rsidP="00BE2C1D">
      <w:pPr>
        <w:rPr>
          <w:rFonts w:ascii="Century Gothic" w:hAnsi="Century Gothic"/>
          <w:sz w:val="28"/>
          <w:szCs w:val="28"/>
        </w:rPr>
      </w:pPr>
    </w:p>
    <w:p w14:paraId="7D5AD740" w14:textId="77777777" w:rsidR="00BE2C1D" w:rsidRPr="00BE2C1D" w:rsidRDefault="00BE2C1D" w:rsidP="00BE2C1D">
      <w:pPr>
        <w:rPr>
          <w:rFonts w:ascii="Century Gothic" w:hAnsi="Century Gothic"/>
        </w:rPr>
      </w:pPr>
    </w:p>
    <w:p w14:paraId="2100A3EB" w14:textId="77777777" w:rsidR="00BE2C1D" w:rsidRPr="00BE2C1D" w:rsidRDefault="00BE2C1D" w:rsidP="00BE2C1D">
      <w:pPr>
        <w:rPr>
          <w:rFonts w:ascii="Century Gothic" w:hAnsi="Century Gothic"/>
        </w:rPr>
      </w:pPr>
    </w:p>
    <w:p w14:paraId="309D36FA" w14:textId="77777777" w:rsidR="00BE2C1D" w:rsidRPr="00BE2C1D" w:rsidRDefault="00BE2C1D" w:rsidP="00BE2C1D">
      <w:pPr>
        <w:rPr>
          <w:rFonts w:ascii="Century Gothic" w:hAnsi="Century Gothic"/>
        </w:rPr>
      </w:pPr>
    </w:p>
    <w:p w14:paraId="1A52EF09" w14:textId="77777777" w:rsidR="00BE2C1D" w:rsidRPr="00BE2C1D" w:rsidRDefault="00BE2C1D" w:rsidP="00BE2C1D">
      <w:pPr>
        <w:rPr>
          <w:rFonts w:ascii="Century Gothic" w:hAnsi="Century Gothic"/>
        </w:rPr>
      </w:pPr>
      <w:r w:rsidRPr="00BE2C1D">
        <w:rPr>
          <w:rFonts w:ascii="Century Gothic" w:hAnsi="Century Gothic"/>
          <w:noProof/>
          <w:lang w:eastAsia="en-GB"/>
        </w:rPr>
        <w:drawing>
          <wp:anchor distT="0" distB="0" distL="114300" distR="114300" simplePos="0" relativeHeight="251711488" behindDoc="0" locked="0" layoutInCell="1" allowOverlap="1" wp14:anchorId="5B142C68" wp14:editId="2FF88133">
            <wp:simplePos x="0" y="0"/>
            <wp:positionH relativeFrom="column">
              <wp:posOffset>26035</wp:posOffset>
            </wp:positionH>
            <wp:positionV relativeFrom="paragraph">
              <wp:posOffset>-109855</wp:posOffset>
            </wp:positionV>
            <wp:extent cx="1031875" cy="1031875"/>
            <wp:effectExtent l="0" t="0" r="9525" b="9525"/>
            <wp:wrapThrough wrapText="bothSides">
              <wp:wrapPolygon edited="0">
                <wp:start x="0" y="0"/>
                <wp:lineTo x="0" y="21268"/>
                <wp:lineTo x="21268" y="21268"/>
                <wp:lineTo x="21268" y="0"/>
                <wp:lineTo x="0" y="0"/>
              </wp:wrapPolygon>
            </wp:wrapThrough>
            <wp:docPr id="97" name="Picture 97" descr="Description: Macintosh HD:Users:kirstyliddiard:Desktop:EASY READ image bank :cons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escription: Macintosh HD:Users:kirstyliddiard:Desktop:EASY READ image bank :consent.jp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031875" cy="1031875"/>
                    </a:xfrm>
                    <a:prstGeom prst="rect">
                      <a:avLst/>
                    </a:prstGeom>
                    <a:noFill/>
                    <a:ln>
                      <a:noFill/>
                    </a:ln>
                  </pic:spPr>
                </pic:pic>
              </a:graphicData>
            </a:graphic>
          </wp:anchor>
        </w:drawing>
      </w:r>
    </w:p>
    <w:p w14:paraId="7AA8FA6B" w14:textId="77777777" w:rsidR="00BE2C1D" w:rsidRPr="00BE2C1D" w:rsidRDefault="00BE2C1D" w:rsidP="00BE2C1D">
      <w:pPr>
        <w:rPr>
          <w:rFonts w:ascii="Century Gothic" w:hAnsi="Century Gothic"/>
          <w:sz w:val="28"/>
          <w:szCs w:val="28"/>
        </w:rPr>
      </w:pPr>
    </w:p>
    <w:p w14:paraId="3F9BC605" w14:textId="77777777" w:rsidR="00BE2C1D" w:rsidRPr="00BE2C1D" w:rsidRDefault="00BE2C1D" w:rsidP="00BE2C1D">
      <w:pPr>
        <w:rPr>
          <w:rFonts w:ascii="Century Gothic" w:hAnsi="Century Gothic"/>
          <w:sz w:val="28"/>
          <w:szCs w:val="28"/>
        </w:rPr>
      </w:pPr>
      <w:r w:rsidRPr="00BE2C1D">
        <w:rPr>
          <w:rFonts w:ascii="Century Gothic" w:hAnsi="Century Gothic"/>
          <w:sz w:val="28"/>
          <w:szCs w:val="28"/>
        </w:rPr>
        <w:t>I agree to take part in the above research project.</w:t>
      </w:r>
    </w:p>
    <w:p w14:paraId="56087E10" w14:textId="77777777" w:rsidR="00BE2C1D" w:rsidRPr="00BE2C1D" w:rsidRDefault="00BE2C1D" w:rsidP="00BE2C1D">
      <w:pPr>
        <w:rPr>
          <w:rFonts w:ascii="Century Gothic" w:hAnsi="Century Gothic"/>
          <w:sz w:val="28"/>
          <w:szCs w:val="28"/>
        </w:rPr>
      </w:pPr>
    </w:p>
    <w:p w14:paraId="1ED91A42" w14:textId="77777777" w:rsidR="00BE2C1D" w:rsidRPr="00BE2C1D" w:rsidRDefault="00BE2C1D" w:rsidP="00BE2C1D">
      <w:pPr>
        <w:rPr>
          <w:rFonts w:ascii="Century Gothic" w:hAnsi="Century Gothic"/>
          <w:sz w:val="28"/>
          <w:szCs w:val="28"/>
        </w:rPr>
      </w:pPr>
    </w:p>
    <w:p w14:paraId="09D125C7" w14:textId="77777777" w:rsidR="00BE2C1D" w:rsidRPr="00BE2C1D" w:rsidRDefault="00BE2C1D" w:rsidP="00BE2C1D">
      <w:pPr>
        <w:rPr>
          <w:rFonts w:ascii="Century Gothic" w:hAnsi="Century Gothic"/>
          <w:sz w:val="28"/>
          <w:szCs w:val="28"/>
        </w:rPr>
      </w:pPr>
    </w:p>
    <w:p w14:paraId="37A307EE" w14:textId="77777777" w:rsidR="00BE2C1D" w:rsidRPr="00BE2C1D" w:rsidRDefault="00BE2C1D" w:rsidP="00BE2C1D">
      <w:pPr>
        <w:rPr>
          <w:rFonts w:ascii="Century Gothic" w:hAnsi="Century Gothic"/>
          <w:sz w:val="28"/>
          <w:szCs w:val="28"/>
        </w:rPr>
      </w:pPr>
    </w:p>
    <w:p w14:paraId="0473F7A0" w14:textId="77777777" w:rsidR="00BE2C1D" w:rsidRPr="00BE2C1D" w:rsidRDefault="00BE2C1D" w:rsidP="00BE2C1D">
      <w:pPr>
        <w:rPr>
          <w:rFonts w:ascii="Century Gothic" w:hAnsi="Century Gothic"/>
          <w:sz w:val="28"/>
          <w:szCs w:val="28"/>
        </w:rPr>
      </w:pPr>
    </w:p>
    <w:p w14:paraId="6FEF7782" w14:textId="77777777" w:rsidR="00BE2C1D" w:rsidRPr="00BE2C1D" w:rsidRDefault="00BE2C1D" w:rsidP="00BE2C1D">
      <w:pPr>
        <w:rPr>
          <w:rFonts w:ascii="Century Gothic" w:hAnsi="Century Gothic"/>
          <w:sz w:val="28"/>
          <w:szCs w:val="28"/>
        </w:rPr>
      </w:pPr>
      <w:r w:rsidRPr="00BE2C1D">
        <w:rPr>
          <w:rFonts w:ascii="Century Gothic" w:hAnsi="Century Gothic"/>
          <w:sz w:val="28"/>
          <w:szCs w:val="28"/>
        </w:rPr>
        <w:t>______________________    ________________         ______</w:t>
      </w:r>
    </w:p>
    <w:p w14:paraId="50C8B3E1" w14:textId="77777777" w:rsidR="00BE2C1D" w:rsidRPr="00BE2C1D" w:rsidRDefault="00BE2C1D" w:rsidP="00BE2C1D">
      <w:pPr>
        <w:rPr>
          <w:rFonts w:ascii="Century Gothic" w:hAnsi="Century Gothic"/>
          <w:sz w:val="28"/>
          <w:szCs w:val="28"/>
        </w:rPr>
      </w:pPr>
      <w:r w:rsidRPr="00BE2C1D">
        <w:rPr>
          <w:rFonts w:ascii="Century Gothic" w:hAnsi="Century Gothic"/>
          <w:sz w:val="28"/>
          <w:szCs w:val="28"/>
        </w:rPr>
        <w:t>Your name</w:t>
      </w:r>
      <w:r w:rsidRPr="00BE2C1D">
        <w:rPr>
          <w:rFonts w:ascii="Century Gothic" w:hAnsi="Century Gothic"/>
          <w:sz w:val="28"/>
          <w:szCs w:val="28"/>
        </w:rPr>
        <w:tab/>
        <w:t xml:space="preserve">                                  Date</w:t>
      </w:r>
      <w:r w:rsidRPr="00BE2C1D">
        <w:rPr>
          <w:rFonts w:ascii="Century Gothic" w:hAnsi="Century Gothic"/>
          <w:sz w:val="28"/>
          <w:szCs w:val="28"/>
        </w:rPr>
        <w:tab/>
        <w:t xml:space="preserve">  Signature</w:t>
      </w:r>
    </w:p>
    <w:p w14:paraId="3EA9B01B" w14:textId="77777777" w:rsidR="00BE2C1D" w:rsidRPr="00BE2C1D" w:rsidRDefault="00BE2C1D" w:rsidP="00BE2C1D">
      <w:pPr>
        <w:rPr>
          <w:rFonts w:ascii="Century Gothic" w:hAnsi="Century Gothic"/>
          <w:i/>
          <w:sz w:val="28"/>
          <w:szCs w:val="28"/>
        </w:rPr>
      </w:pPr>
      <w:r w:rsidRPr="00BE2C1D">
        <w:rPr>
          <w:rFonts w:ascii="Century Gothic" w:hAnsi="Century Gothic"/>
          <w:i/>
          <w:sz w:val="28"/>
          <w:szCs w:val="28"/>
        </w:rPr>
        <w:t>(Or legal representative)</w:t>
      </w:r>
    </w:p>
    <w:p w14:paraId="0ED5CED5" w14:textId="77777777" w:rsidR="00BE2C1D" w:rsidRPr="00BE2C1D" w:rsidRDefault="00BE2C1D" w:rsidP="00BE2C1D">
      <w:pPr>
        <w:rPr>
          <w:rFonts w:ascii="Century Gothic" w:hAnsi="Century Gothic"/>
          <w:sz w:val="28"/>
          <w:szCs w:val="28"/>
        </w:rPr>
      </w:pPr>
    </w:p>
    <w:p w14:paraId="3B6C7EBF" w14:textId="77777777" w:rsidR="00BE2C1D" w:rsidRPr="00BE2C1D" w:rsidRDefault="00BE2C1D" w:rsidP="00BE2C1D">
      <w:pPr>
        <w:rPr>
          <w:rFonts w:ascii="Century Gothic" w:hAnsi="Century Gothic"/>
          <w:sz w:val="28"/>
          <w:szCs w:val="28"/>
        </w:rPr>
      </w:pPr>
    </w:p>
    <w:p w14:paraId="4C473629" w14:textId="77777777" w:rsidR="00BE2C1D" w:rsidRPr="00BE2C1D" w:rsidRDefault="00BE2C1D" w:rsidP="00BE2C1D">
      <w:pPr>
        <w:rPr>
          <w:rFonts w:ascii="Century Gothic" w:hAnsi="Century Gothic"/>
          <w:sz w:val="28"/>
          <w:szCs w:val="28"/>
        </w:rPr>
      </w:pPr>
      <w:r w:rsidRPr="00BE2C1D">
        <w:rPr>
          <w:rFonts w:ascii="Century Gothic" w:hAnsi="Century Gothic"/>
          <w:sz w:val="28"/>
          <w:szCs w:val="28"/>
        </w:rPr>
        <w:t>___________________</w:t>
      </w:r>
      <w:r w:rsidRPr="00BE2C1D">
        <w:rPr>
          <w:rFonts w:ascii="Century Gothic" w:hAnsi="Century Gothic"/>
          <w:sz w:val="28"/>
          <w:szCs w:val="28"/>
        </w:rPr>
        <w:tab/>
        <w:t>________________         __________</w:t>
      </w:r>
    </w:p>
    <w:p w14:paraId="62F59564" w14:textId="77777777" w:rsidR="00BE2C1D" w:rsidRPr="00BE2C1D" w:rsidRDefault="00BE2C1D" w:rsidP="00BE2C1D">
      <w:pPr>
        <w:rPr>
          <w:rFonts w:ascii="Century Gothic" w:hAnsi="Century Gothic"/>
          <w:sz w:val="28"/>
          <w:szCs w:val="28"/>
        </w:rPr>
      </w:pPr>
      <w:r w:rsidRPr="00BE2C1D">
        <w:rPr>
          <w:rFonts w:ascii="Century Gothic" w:hAnsi="Century Gothic"/>
          <w:sz w:val="28"/>
          <w:szCs w:val="28"/>
        </w:rPr>
        <w:t xml:space="preserve">  Researcher</w:t>
      </w:r>
      <w:r w:rsidRPr="00BE2C1D">
        <w:rPr>
          <w:rFonts w:ascii="Century Gothic" w:hAnsi="Century Gothic"/>
          <w:sz w:val="28"/>
          <w:szCs w:val="28"/>
        </w:rPr>
        <w:tab/>
        <w:t xml:space="preserve">              Date</w:t>
      </w:r>
      <w:r w:rsidRPr="00BE2C1D">
        <w:rPr>
          <w:rFonts w:ascii="Century Gothic" w:hAnsi="Century Gothic"/>
          <w:sz w:val="28"/>
          <w:szCs w:val="28"/>
        </w:rPr>
        <w:tab/>
        <w:t xml:space="preserve">                      Signature</w:t>
      </w:r>
    </w:p>
    <w:p w14:paraId="0270F6A6" w14:textId="77777777" w:rsidR="00BE2C1D" w:rsidRPr="00BE2C1D" w:rsidRDefault="00BE2C1D" w:rsidP="00BE2C1D">
      <w:pPr>
        <w:rPr>
          <w:rFonts w:ascii="Century Gothic" w:hAnsi="Century Gothic"/>
          <w:i/>
          <w:sz w:val="28"/>
          <w:szCs w:val="28"/>
        </w:rPr>
      </w:pPr>
      <w:r w:rsidRPr="00BE2C1D">
        <w:rPr>
          <w:rFonts w:ascii="Century Gothic" w:hAnsi="Century Gothic"/>
          <w:i/>
          <w:sz w:val="28"/>
          <w:szCs w:val="28"/>
        </w:rPr>
        <w:t>To be signed and dated in presence of the participant</w:t>
      </w:r>
    </w:p>
    <w:p w14:paraId="42B2DF33" w14:textId="77777777" w:rsidR="00BE2C1D" w:rsidRPr="00BE2C1D" w:rsidRDefault="00BE2C1D" w:rsidP="00BE2C1D">
      <w:pPr>
        <w:rPr>
          <w:rFonts w:ascii="Century Gothic" w:hAnsi="Century Gothic"/>
          <w:sz w:val="28"/>
          <w:szCs w:val="28"/>
        </w:rPr>
      </w:pPr>
    </w:p>
    <w:p w14:paraId="63297767" w14:textId="77777777" w:rsidR="00BE2C1D" w:rsidRPr="00BE2C1D" w:rsidRDefault="00BE2C1D" w:rsidP="00BE2C1D">
      <w:pPr>
        <w:rPr>
          <w:rFonts w:ascii="Century Gothic" w:hAnsi="Century Gothic"/>
          <w:i/>
          <w:sz w:val="28"/>
          <w:szCs w:val="28"/>
        </w:rPr>
      </w:pPr>
      <w:r w:rsidRPr="00BE2C1D">
        <w:rPr>
          <w:rFonts w:ascii="Century Gothic" w:hAnsi="Century Gothic"/>
          <w:i/>
          <w:sz w:val="28"/>
          <w:szCs w:val="28"/>
        </w:rPr>
        <w:t>Copies:</w:t>
      </w:r>
    </w:p>
    <w:p w14:paraId="48D68D06" w14:textId="77777777" w:rsidR="00BE2C1D" w:rsidRPr="00BE2C1D" w:rsidRDefault="00BE2C1D" w:rsidP="00BE2C1D">
      <w:pPr>
        <w:rPr>
          <w:rFonts w:ascii="Century Gothic" w:hAnsi="Century Gothic"/>
          <w:i/>
          <w:sz w:val="28"/>
          <w:szCs w:val="28"/>
        </w:rPr>
      </w:pPr>
      <w:r w:rsidRPr="00BE2C1D">
        <w:rPr>
          <w:rFonts w:ascii="Century Gothic" w:hAnsi="Century Gothic"/>
          <w:i/>
          <w:sz w:val="28"/>
          <w:szCs w:val="28"/>
        </w:rPr>
        <w:t xml:space="preserve">Once all parties have signed this form the participant should receive a copy of the signed and dated participant consent form, the letter/pre-written script/information sheet and any other written information provided to the participants. A copy of the signed and dated consent form should be placed in the project’s main record (e.g. a site file), which must be kept in a secure location. </w:t>
      </w:r>
    </w:p>
    <w:p w14:paraId="69ECFA84" w14:textId="77777777" w:rsidR="00BE2C1D" w:rsidRPr="00BE2C1D" w:rsidRDefault="00BE2C1D" w:rsidP="00BE2C1D">
      <w:pPr>
        <w:rPr>
          <w:rFonts w:ascii="Century Gothic" w:hAnsi="Century Gothic"/>
          <w:sz w:val="28"/>
          <w:szCs w:val="28"/>
        </w:rPr>
      </w:pPr>
    </w:p>
    <w:p w14:paraId="435383E7" w14:textId="77777777" w:rsidR="00BE2C1D" w:rsidRPr="00BE2C1D" w:rsidRDefault="00BE2C1D" w:rsidP="00BE2C1D"/>
    <w:bookmarkEnd w:id="0"/>
    <w:p w14:paraId="75F8089C" w14:textId="77777777" w:rsidR="00BE2C1D" w:rsidRPr="00BE2C1D" w:rsidRDefault="00BE2C1D" w:rsidP="00BE2C1D"/>
    <w:p w14:paraId="476F44C1" w14:textId="77777777" w:rsidR="00BE2C1D" w:rsidRPr="00BE2C1D" w:rsidRDefault="00BE2C1D" w:rsidP="00BE2C1D"/>
    <w:p w14:paraId="5433DA10" w14:textId="12AD722A" w:rsidR="00DE61AA" w:rsidRDefault="00DE61AA" w:rsidP="00DE61AA">
      <w:pPr>
        <w:rPr>
          <w:b/>
          <w:bCs/>
          <w:sz w:val="24"/>
          <w:szCs w:val="24"/>
        </w:rPr>
      </w:pPr>
    </w:p>
    <w:p w14:paraId="4F75087C" w14:textId="57D34E58" w:rsidR="00DE61AA" w:rsidRDefault="00DE61AA" w:rsidP="00DE61AA">
      <w:pPr>
        <w:rPr>
          <w:b/>
          <w:bCs/>
          <w:sz w:val="24"/>
          <w:szCs w:val="24"/>
        </w:rPr>
      </w:pPr>
    </w:p>
    <w:p w14:paraId="607162E1" w14:textId="78EB3491" w:rsidR="00DE61AA" w:rsidRDefault="00DE61AA" w:rsidP="00DE61AA">
      <w:pPr>
        <w:rPr>
          <w:b/>
          <w:bCs/>
          <w:sz w:val="24"/>
          <w:szCs w:val="24"/>
        </w:rPr>
      </w:pPr>
    </w:p>
    <w:p w14:paraId="724C8EEA" w14:textId="7E13AB1A" w:rsidR="00DE61AA" w:rsidRDefault="00DE61AA" w:rsidP="00DE61AA">
      <w:pPr>
        <w:rPr>
          <w:b/>
          <w:bCs/>
          <w:sz w:val="24"/>
          <w:szCs w:val="24"/>
        </w:rPr>
      </w:pPr>
    </w:p>
    <w:p w14:paraId="53980DA3" w14:textId="0B501689" w:rsidR="00DE61AA" w:rsidRDefault="00DE61AA" w:rsidP="00DE61AA">
      <w:pPr>
        <w:rPr>
          <w:b/>
          <w:bCs/>
          <w:sz w:val="24"/>
          <w:szCs w:val="24"/>
        </w:rPr>
      </w:pPr>
    </w:p>
    <w:p w14:paraId="1A7D43F6" w14:textId="52A50510" w:rsidR="00DE61AA" w:rsidRDefault="00DE61AA" w:rsidP="00DE61AA">
      <w:pPr>
        <w:rPr>
          <w:b/>
          <w:bCs/>
          <w:sz w:val="24"/>
          <w:szCs w:val="24"/>
        </w:rPr>
      </w:pPr>
    </w:p>
    <w:p w14:paraId="1FC028B5" w14:textId="29E65ED4" w:rsidR="00DE61AA" w:rsidRDefault="00DE61AA" w:rsidP="00DE61AA">
      <w:pPr>
        <w:rPr>
          <w:b/>
          <w:bCs/>
          <w:sz w:val="24"/>
          <w:szCs w:val="24"/>
        </w:rPr>
      </w:pPr>
    </w:p>
    <w:p w14:paraId="05D0B1E7" w14:textId="324597F3" w:rsidR="00DE61AA" w:rsidRDefault="00DE61AA" w:rsidP="00DE61AA">
      <w:pPr>
        <w:rPr>
          <w:b/>
          <w:bCs/>
          <w:sz w:val="24"/>
          <w:szCs w:val="24"/>
        </w:rPr>
      </w:pPr>
    </w:p>
    <w:p w14:paraId="32E3257D" w14:textId="4F21E894" w:rsidR="00DE61AA" w:rsidRDefault="00DE61AA" w:rsidP="00DE61AA">
      <w:pPr>
        <w:rPr>
          <w:b/>
          <w:bCs/>
          <w:sz w:val="24"/>
          <w:szCs w:val="24"/>
        </w:rPr>
      </w:pPr>
    </w:p>
    <w:p w14:paraId="62E44A22" w14:textId="6AFCE86B" w:rsidR="00DE61AA" w:rsidRDefault="00DE61AA" w:rsidP="00DE61AA">
      <w:pPr>
        <w:rPr>
          <w:b/>
          <w:bCs/>
          <w:sz w:val="24"/>
          <w:szCs w:val="24"/>
        </w:rPr>
      </w:pPr>
    </w:p>
    <w:p w14:paraId="036D4A8F" w14:textId="12D202D4" w:rsidR="00DE61AA" w:rsidRDefault="00DE61AA" w:rsidP="00DE61AA">
      <w:pPr>
        <w:rPr>
          <w:b/>
          <w:bCs/>
          <w:sz w:val="24"/>
          <w:szCs w:val="24"/>
        </w:rPr>
      </w:pPr>
    </w:p>
    <w:p w14:paraId="1DC33F4E" w14:textId="66606754" w:rsidR="00DE61AA" w:rsidRDefault="00DE61AA" w:rsidP="00DE61AA">
      <w:pPr>
        <w:rPr>
          <w:b/>
          <w:bCs/>
          <w:sz w:val="24"/>
          <w:szCs w:val="24"/>
        </w:rPr>
      </w:pPr>
    </w:p>
    <w:p w14:paraId="1B68F31C" w14:textId="24433ABC" w:rsidR="00DE61AA" w:rsidRDefault="00DE61AA" w:rsidP="00DE61AA">
      <w:pPr>
        <w:rPr>
          <w:b/>
          <w:bCs/>
          <w:sz w:val="24"/>
          <w:szCs w:val="24"/>
        </w:rPr>
      </w:pPr>
    </w:p>
    <w:p w14:paraId="423115AA" w14:textId="7018ECA7" w:rsidR="00DE61AA" w:rsidRDefault="00DE61AA" w:rsidP="00DE61AA">
      <w:pPr>
        <w:rPr>
          <w:b/>
          <w:bCs/>
          <w:sz w:val="24"/>
          <w:szCs w:val="24"/>
        </w:rPr>
      </w:pPr>
    </w:p>
    <w:p w14:paraId="073BB0F7" w14:textId="1800B598" w:rsidR="00DE61AA" w:rsidRDefault="00DE61AA" w:rsidP="00DE61AA">
      <w:pPr>
        <w:rPr>
          <w:b/>
          <w:bCs/>
          <w:sz w:val="24"/>
          <w:szCs w:val="24"/>
        </w:rPr>
      </w:pPr>
    </w:p>
    <w:p w14:paraId="6E435518" w14:textId="2824617F" w:rsidR="00DE61AA" w:rsidRDefault="00DE61AA" w:rsidP="00DE61AA">
      <w:pPr>
        <w:rPr>
          <w:b/>
          <w:bCs/>
          <w:sz w:val="24"/>
          <w:szCs w:val="24"/>
        </w:rPr>
      </w:pPr>
    </w:p>
    <w:p w14:paraId="16BD0EA5" w14:textId="6DE78AAF" w:rsidR="00DE61AA" w:rsidRDefault="00DE61AA" w:rsidP="00DE61AA">
      <w:pPr>
        <w:rPr>
          <w:b/>
          <w:bCs/>
          <w:sz w:val="24"/>
          <w:szCs w:val="24"/>
        </w:rPr>
      </w:pPr>
    </w:p>
    <w:p w14:paraId="66C044FF" w14:textId="7923DA5A" w:rsidR="00DE61AA" w:rsidRDefault="00DE61AA" w:rsidP="00DE61AA">
      <w:pPr>
        <w:rPr>
          <w:b/>
          <w:bCs/>
          <w:sz w:val="24"/>
          <w:szCs w:val="24"/>
        </w:rPr>
      </w:pPr>
    </w:p>
    <w:p w14:paraId="6F7CA83A" w14:textId="1C4EAAE4" w:rsidR="00DE61AA" w:rsidRDefault="00DE61AA" w:rsidP="00DE61AA">
      <w:pPr>
        <w:rPr>
          <w:b/>
          <w:bCs/>
          <w:sz w:val="24"/>
          <w:szCs w:val="24"/>
        </w:rPr>
      </w:pPr>
    </w:p>
    <w:p w14:paraId="10FE9D03" w14:textId="12DA27B4" w:rsidR="00DE61AA" w:rsidRDefault="00DE61AA" w:rsidP="00DE61AA">
      <w:pPr>
        <w:rPr>
          <w:b/>
          <w:bCs/>
          <w:sz w:val="24"/>
          <w:szCs w:val="24"/>
        </w:rPr>
      </w:pPr>
    </w:p>
    <w:p w14:paraId="5631CCED" w14:textId="4F8F8434" w:rsidR="00DE61AA" w:rsidRDefault="00DE61AA" w:rsidP="00DE61AA">
      <w:pPr>
        <w:rPr>
          <w:b/>
          <w:bCs/>
          <w:sz w:val="24"/>
          <w:szCs w:val="24"/>
        </w:rPr>
      </w:pPr>
    </w:p>
    <w:p w14:paraId="4FCF8C24" w14:textId="68402554" w:rsidR="00DE61AA" w:rsidRDefault="00DE61AA" w:rsidP="00DE61AA">
      <w:pPr>
        <w:rPr>
          <w:b/>
          <w:bCs/>
          <w:sz w:val="24"/>
          <w:szCs w:val="24"/>
        </w:rPr>
      </w:pPr>
    </w:p>
    <w:p w14:paraId="7FE50910" w14:textId="1099AD31" w:rsidR="00DE61AA" w:rsidRDefault="00DE61AA" w:rsidP="00DE61AA">
      <w:pPr>
        <w:rPr>
          <w:b/>
          <w:bCs/>
          <w:sz w:val="24"/>
          <w:szCs w:val="24"/>
        </w:rPr>
      </w:pPr>
    </w:p>
    <w:p w14:paraId="7295E65F" w14:textId="7BB3C5D7" w:rsidR="00DE61AA" w:rsidRDefault="00DE61AA" w:rsidP="00DE61AA">
      <w:pPr>
        <w:rPr>
          <w:b/>
          <w:bCs/>
          <w:sz w:val="24"/>
          <w:szCs w:val="24"/>
        </w:rPr>
      </w:pPr>
    </w:p>
    <w:p w14:paraId="3AB9C8B6" w14:textId="0455AE7C" w:rsidR="00DE61AA" w:rsidRDefault="00DE61AA" w:rsidP="00DE61AA">
      <w:pPr>
        <w:rPr>
          <w:b/>
          <w:bCs/>
          <w:sz w:val="24"/>
          <w:szCs w:val="24"/>
        </w:rPr>
      </w:pPr>
    </w:p>
    <w:p w14:paraId="66137FA5" w14:textId="1514CA6A" w:rsidR="00DE61AA" w:rsidRDefault="00DE61AA" w:rsidP="00DE61AA">
      <w:pPr>
        <w:rPr>
          <w:b/>
          <w:bCs/>
          <w:sz w:val="24"/>
          <w:szCs w:val="24"/>
        </w:rPr>
      </w:pPr>
    </w:p>
    <w:p w14:paraId="59A60672" w14:textId="51521742" w:rsidR="00DE61AA" w:rsidRDefault="00DE61AA" w:rsidP="00DE61AA">
      <w:pPr>
        <w:rPr>
          <w:b/>
          <w:bCs/>
          <w:sz w:val="24"/>
          <w:szCs w:val="24"/>
        </w:rPr>
      </w:pPr>
    </w:p>
    <w:p w14:paraId="555322A1" w14:textId="71646AA7" w:rsidR="00DE61AA" w:rsidRDefault="00DE61AA" w:rsidP="00DE61AA">
      <w:pPr>
        <w:rPr>
          <w:b/>
          <w:bCs/>
          <w:sz w:val="24"/>
          <w:szCs w:val="24"/>
        </w:rPr>
      </w:pPr>
    </w:p>
    <w:p w14:paraId="639D2F8E" w14:textId="203658C4" w:rsidR="00DE61AA" w:rsidRDefault="00DE61AA" w:rsidP="00DE61AA">
      <w:pPr>
        <w:rPr>
          <w:b/>
          <w:bCs/>
          <w:sz w:val="24"/>
          <w:szCs w:val="24"/>
        </w:rPr>
      </w:pPr>
    </w:p>
    <w:p w14:paraId="1356BA89" w14:textId="77777777" w:rsidR="00DE61AA" w:rsidRPr="00DE61AA" w:rsidRDefault="00DE61AA" w:rsidP="00DE61AA">
      <w:pPr>
        <w:rPr>
          <w:b/>
          <w:bCs/>
          <w:sz w:val="24"/>
          <w:szCs w:val="24"/>
        </w:rPr>
      </w:pPr>
      <w:r w:rsidRPr="00DE61AA">
        <w:rPr>
          <w:b/>
          <w:bCs/>
          <w:sz w:val="24"/>
          <w:szCs w:val="24"/>
        </w:rPr>
        <w:t xml:space="preserve">List of Tables </w:t>
      </w:r>
    </w:p>
    <w:p w14:paraId="013EE873" w14:textId="77777777" w:rsidR="00DE61AA" w:rsidRPr="00DE61AA" w:rsidRDefault="00DE61AA" w:rsidP="00DE61AA">
      <w:pPr>
        <w:rPr>
          <w:b/>
          <w:bCs/>
          <w:sz w:val="24"/>
          <w:szCs w:val="24"/>
        </w:rPr>
      </w:pPr>
    </w:p>
    <w:p w14:paraId="65682C9C" w14:textId="77777777" w:rsidR="00DE61AA" w:rsidRPr="00DE61AA" w:rsidRDefault="00DE61AA" w:rsidP="00DE61AA">
      <w:pPr>
        <w:rPr>
          <w:b/>
          <w:bCs/>
          <w:sz w:val="24"/>
          <w:szCs w:val="24"/>
        </w:rPr>
      </w:pPr>
      <w:r w:rsidRPr="00DE61AA">
        <w:rPr>
          <w:b/>
          <w:bCs/>
          <w:sz w:val="24"/>
          <w:szCs w:val="24"/>
        </w:rPr>
        <w:t xml:space="preserve">Table with Demographics of Teenage participants  </w:t>
      </w:r>
    </w:p>
    <w:p w14:paraId="68845CA6" w14:textId="77777777" w:rsidR="00DE61AA" w:rsidRPr="00DE61AA" w:rsidRDefault="00DE61AA" w:rsidP="00DE61AA">
      <w:pPr>
        <w:rPr>
          <w:b/>
          <w:bCs/>
          <w:sz w:val="24"/>
          <w:szCs w:val="24"/>
        </w:rPr>
      </w:pPr>
      <w:r w:rsidRPr="00DE61AA">
        <w:rPr>
          <w:b/>
          <w:bCs/>
          <w:sz w:val="24"/>
          <w:szCs w:val="24"/>
        </w:rPr>
        <w:t xml:space="preserve">Table with Demographics of Adult participants  </w:t>
      </w:r>
    </w:p>
    <w:p w14:paraId="5FF82C8B" w14:textId="38E33AE6" w:rsidR="00DE61AA" w:rsidRDefault="00DE61AA" w:rsidP="00DE61AA">
      <w:pPr>
        <w:rPr>
          <w:b/>
          <w:bCs/>
          <w:sz w:val="24"/>
          <w:szCs w:val="24"/>
        </w:rPr>
      </w:pPr>
      <w:r w:rsidRPr="00DE61AA">
        <w:rPr>
          <w:b/>
          <w:bCs/>
          <w:sz w:val="24"/>
          <w:szCs w:val="24"/>
        </w:rPr>
        <w:t>Participants with TAs</w:t>
      </w:r>
    </w:p>
    <w:p w14:paraId="40C861C7" w14:textId="77777777" w:rsidR="00DE61AA" w:rsidRPr="00E27CEA" w:rsidRDefault="00DE61AA" w:rsidP="00E27CEA">
      <w:pPr>
        <w:jc w:val="center"/>
        <w:rPr>
          <w:b/>
          <w:bCs/>
          <w:sz w:val="24"/>
          <w:szCs w:val="24"/>
        </w:rPr>
      </w:pPr>
    </w:p>
    <w:sectPr w:rsidR="00DE61AA" w:rsidRPr="00E27CEA" w:rsidSect="00B352C2">
      <w:footerReference w:type="default" r:id="rId87"/>
      <w:pgSz w:w="11906" w:h="16838"/>
      <w:pgMar w:top="1440" w:right="1440" w:bottom="1440" w:left="1440" w:header="708" w:footer="708" w:gutter="0"/>
      <w:pgNumType w:start="7"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821FFB3" w14:textId="77777777" w:rsidR="0046350E" w:rsidRDefault="0046350E" w:rsidP="007B7147">
      <w:pPr>
        <w:spacing w:after="0" w:line="240" w:lineRule="auto"/>
      </w:pPr>
      <w:r>
        <w:separator/>
      </w:r>
    </w:p>
  </w:endnote>
  <w:endnote w:type="continuationSeparator" w:id="0">
    <w:p w14:paraId="7DE4F1D6" w14:textId="77777777" w:rsidR="0046350E" w:rsidRDefault="0046350E" w:rsidP="007B71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altName w:val="Menlo Bold"/>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Baskerville">
    <w:panose1 w:val="00000000000000000000"/>
    <w:charset w:val="00"/>
    <w:family w:val="roman"/>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Times">
    <w:panose1 w:val="02020603050405020304"/>
    <w:charset w:val="00"/>
    <w:family w:val="auto"/>
    <w:pitch w:val="default"/>
  </w:font>
  <w:font w:name="TUOS Blake">
    <w:altName w:val="Malgun Gothic"/>
    <w:charset w:val="00"/>
    <w:family w:val="swiss"/>
    <w:pitch w:val="variable"/>
    <w:sig w:usb0="8000002F" w:usb1="4000004A" w:usb2="00000000" w:usb3="00000000" w:csb0="0000001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58007E" w14:textId="48D16933" w:rsidR="003142CE" w:rsidRDefault="003142CE">
    <w:pPr>
      <w:pStyle w:val="Footer"/>
      <w:jc w:val="right"/>
    </w:pPr>
  </w:p>
  <w:p w14:paraId="014E9791" w14:textId="77777777" w:rsidR="003142CE" w:rsidRDefault="003142C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30496729"/>
      <w:docPartObj>
        <w:docPartGallery w:val="Page Numbers (Bottom of Page)"/>
        <w:docPartUnique/>
      </w:docPartObj>
    </w:sdtPr>
    <w:sdtEndPr>
      <w:rPr>
        <w:noProof/>
      </w:rPr>
    </w:sdtEndPr>
    <w:sdtContent>
      <w:p w14:paraId="3D076C51" w14:textId="03509048" w:rsidR="003142CE" w:rsidRDefault="003142CE">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0D33B5C" w14:textId="77777777" w:rsidR="003142CE" w:rsidRDefault="003142C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296DB5E" w14:textId="77777777" w:rsidR="0046350E" w:rsidRDefault="0046350E" w:rsidP="007B7147">
      <w:pPr>
        <w:spacing w:after="0" w:line="240" w:lineRule="auto"/>
      </w:pPr>
      <w:r>
        <w:separator/>
      </w:r>
    </w:p>
  </w:footnote>
  <w:footnote w:type="continuationSeparator" w:id="0">
    <w:p w14:paraId="5DFE7F74" w14:textId="77777777" w:rsidR="0046350E" w:rsidRDefault="0046350E" w:rsidP="007B7147">
      <w:pPr>
        <w:spacing w:after="0" w:line="240" w:lineRule="auto"/>
      </w:pPr>
      <w:r>
        <w:continuationSeparator/>
      </w:r>
    </w:p>
  </w:footnote>
  <w:footnote w:id="1">
    <w:p w14:paraId="556C97CC" w14:textId="77777777" w:rsidR="003142CE" w:rsidRDefault="003142CE" w:rsidP="007B7147">
      <w:pPr>
        <w:pStyle w:val="FootnoteText"/>
      </w:pPr>
      <w:r>
        <w:rPr>
          <w:rStyle w:val="FootnoteReference"/>
        </w:rPr>
        <w:footnoteRef/>
      </w:r>
      <w:r>
        <w:t xml:space="preserve"> It is worth clarifying here that the ordinal adverbs here (firstly, secondly etc.) are used exclusively for reasons of structure rather than implying a hierarchy of gratitude. </w:t>
      </w:r>
    </w:p>
  </w:footnote>
  <w:footnote w:id="2">
    <w:p w14:paraId="2EDCBF2F" w14:textId="77777777" w:rsidR="003142CE" w:rsidRDefault="003142CE" w:rsidP="00BE2C1D">
      <w:pPr>
        <w:pStyle w:val="FootnoteText"/>
      </w:pPr>
      <w:r>
        <w:rPr>
          <w:rStyle w:val="FootnoteReference"/>
        </w:rPr>
        <w:footnoteRef/>
      </w:r>
      <w:r>
        <w:t xml:space="preserve"> The story has been edited slightly from its original form in order to flow better. </w:t>
      </w:r>
    </w:p>
  </w:footnote>
  <w:footnote w:id="3">
    <w:p w14:paraId="659F284B" w14:textId="77777777" w:rsidR="003142CE" w:rsidRDefault="003142CE" w:rsidP="00BE2C1D">
      <w:pPr>
        <w:pStyle w:val="FootnoteText"/>
      </w:pPr>
      <w:r>
        <w:rPr>
          <w:rStyle w:val="FootnoteReference"/>
        </w:rPr>
        <w:footnoteRef/>
      </w:r>
      <w:r>
        <w:t xml:space="preserve"> More in the methodology chapter.</w:t>
      </w:r>
    </w:p>
  </w:footnote>
  <w:footnote w:id="4">
    <w:p w14:paraId="25D9A442" w14:textId="77777777" w:rsidR="003142CE" w:rsidRDefault="003142CE" w:rsidP="00BE2C1D">
      <w:pPr>
        <w:pStyle w:val="FootnoteText"/>
      </w:pPr>
      <w:r>
        <w:rPr>
          <w:rStyle w:val="FootnoteReference"/>
        </w:rPr>
        <w:footnoteRef/>
      </w:r>
      <w:r>
        <w:t xml:space="preserve"> This was my teaching background getting in the way, in terms of role-modelling to the students/participants how to fulfil the task/produce data. </w:t>
      </w:r>
    </w:p>
  </w:footnote>
  <w:footnote w:id="5">
    <w:p w14:paraId="297F37BE" w14:textId="77777777" w:rsidR="003142CE" w:rsidRDefault="003142CE" w:rsidP="00BE2C1D">
      <w:pPr>
        <w:pStyle w:val="FootnoteText"/>
      </w:pPr>
      <w:r>
        <w:rPr>
          <w:rStyle w:val="FootnoteReference"/>
        </w:rPr>
        <w:footnoteRef/>
      </w:r>
      <w:r>
        <w:t xml:space="preserve"> Certain studies touched upon such experiences, but they were not their main focus (for instance Schanke and Thorsen 2014; Shakespeare et al. 2007).</w:t>
      </w:r>
    </w:p>
  </w:footnote>
  <w:footnote w:id="6">
    <w:p w14:paraId="108A3D9B" w14:textId="77777777" w:rsidR="003142CE" w:rsidRDefault="003142CE" w:rsidP="00BE2C1D">
      <w:pPr>
        <w:pStyle w:val="FootnoteText"/>
      </w:pPr>
      <w:r>
        <w:rPr>
          <w:rStyle w:val="FootnoteReference"/>
        </w:rPr>
        <w:footnoteRef/>
      </w:r>
      <w:r>
        <w:t xml:space="preserve"> Both these examples are a case of people-first language, which is further discussed after the consideration of the terms in relation to dwarfism. </w:t>
      </w:r>
    </w:p>
  </w:footnote>
  <w:footnote w:id="7">
    <w:p w14:paraId="226A2506" w14:textId="77777777" w:rsidR="003142CE" w:rsidRDefault="003142CE" w:rsidP="00BE2C1D">
      <w:pPr>
        <w:pStyle w:val="FootnoteText"/>
      </w:pPr>
      <w:r>
        <w:rPr>
          <w:rStyle w:val="FootnoteReference"/>
        </w:rPr>
        <w:footnoteRef/>
      </w:r>
      <w:r>
        <w:t xml:space="preserve"> It is worth pointing out that some of the aforementioned scholars use many of these terms interchangeably, without justifying just linguistic choices. </w:t>
      </w:r>
    </w:p>
  </w:footnote>
  <w:footnote w:id="8">
    <w:p w14:paraId="5D1B161E" w14:textId="77777777" w:rsidR="003142CE" w:rsidRPr="00106ED1" w:rsidRDefault="003142CE" w:rsidP="00BE2C1D">
      <w:pPr>
        <w:pStyle w:val="FootnoteText"/>
      </w:pPr>
      <w:r>
        <w:rPr>
          <w:rStyle w:val="FootnoteReference"/>
        </w:rPr>
        <w:footnoteRef/>
      </w:r>
      <w:r>
        <w:t xml:space="preserve"> For instance, look at </w:t>
      </w:r>
      <w:r w:rsidRPr="00CC1461">
        <w:t>P. T. Barnum</w:t>
      </w:r>
      <w:r>
        <w:t xml:space="preserve"> and the General Tom Thumb (</w:t>
      </w:r>
      <w:r w:rsidRPr="00106ED1">
        <w:t xml:space="preserve">Vallone 2017) </w:t>
      </w:r>
    </w:p>
    <w:p w14:paraId="732C6CEA" w14:textId="77777777" w:rsidR="003142CE" w:rsidRDefault="003142CE" w:rsidP="00BE2C1D">
      <w:pPr>
        <w:pStyle w:val="FootnoteText"/>
      </w:pPr>
    </w:p>
  </w:footnote>
  <w:footnote w:id="9">
    <w:p w14:paraId="0A5B3C0E" w14:textId="77777777" w:rsidR="003142CE" w:rsidRDefault="003142CE" w:rsidP="00BE2C1D">
      <w:pPr>
        <w:pStyle w:val="FootnoteText"/>
      </w:pPr>
      <w:r>
        <w:rPr>
          <w:rStyle w:val="FootnoteReference"/>
        </w:rPr>
        <w:footnoteRef/>
      </w:r>
      <w:r>
        <w:t xml:space="preserve"> Following Goodley et al.’s (2019) call for being clear about the geopolitical contexts of our writings, the literature discussed in these sections is predominantly U.K. and Global North based.</w:t>
      </w:r>
    </w:p>
  </w:footnote>
  <w:footnote w:id="10">
    <w:p w14:paraId="691BA00D" w14:textId="77777777" w:rsidR="003142CE" w:rsidRDefault="003142CE" w:rsidP="00BE2C1D">
      <w:pPr>
        <w:pStyle w:val="FootnoteText"/>
      </w:pPr>
      <w:r>
        <w:rPr>
          <w:rStyle w:val="FootnoteReference"/>
        </w:rPr>
        <w:footnoteRef/>
      </w:r>
      <w:r>
        <w:t xml:space="preserve"> I do not provide an exhaustive list of all the reasons that have been proposed, as this is not a comprehensive overview of CDS as a field. Instead, I focus on reasons that are also pertinent to this thesis.  </w:t>
      </w:r>
    </w:p>
  </w:footnote>
  <w:footnote w:id="11">
    <w:p w14:paraId="63D8110D" w14:textId="77777777" w:rsidR="003142CE" w:rsidRDefault="003142CE" w:rsidP="00BE2C1D">
      <w:pPr>
        <w:pStyle w:val="FootnoteText"/>
      </w:pPr>
      <w:r>
        <w:rPr>
          <w:rStyle w:val="FootnoteReference"/>
        </w:rPr>
        <w:footnoteRef/>
      </w:r>
      <w:r>
        <w:t>Essentialism refers to ‘</w:t>
      </w:r>
      <w:r w:rsidRPr="00223982">
        <w:t>a belief in true essence</w:t>
      </w:r>
      <w:r>
        <w:t xml:space="preserve"> - </w:t>
      </w:r>
      <w:r w:rsidRPr="00223982">
        <w:t>that which is most irreducible, unchanging and therefore constitutive of a given person or thing, and is found in those explanations for gender (or other social) differences which resort to ideas about underlying ‘pre-social’ or biological differences’ (Thomas 1999</w:t>
      </w:r>
      <w:r>
        <w:t>:</w:t>
      </w:r>
      <w:r w:rsidRPr="00223982">
        <w:t xml:space="preserve"> 113)</w:t>
      </w:r>
    </w:p>
  </w:footnote>
  <w:footnote w:id="12">
    <w:p w14:paraId="73130300" w14:textId="77777777" w:rsidR="003142CE" w:rsidRDefault="003142CE" w:rsidP="00BE2C1D">
      <w:pPr>
        <w:pStyle w:val="FootnoteText"/>
      </w:pPr>
      <w:r>
        <w:rPr>
          <w:rStyle w:val="FootnoteReference"/>
        </w:rPr>
        <w:footnoteRef/>
      </w:r>
      <w:r>
        <w:t xml:space="preserve"> For instance, Leder’s (1990) phenomenology has been critiqued for relying on the ‘healthy and normal body’ (Reeve 2012: 83).  </w:t>
      </w:r>
    </w:p>
  </w:footnote>
  <w:footnote w:id="13">
    <w:p w14:paraId="3B670AB1" w14:textId="77777777" w:rsidR="003142CE" w:rsidRDefault="003142CE" w:rsidP="00BE2C1D">
      <w:pPr>
        <w:pStyle w:val="FootnoteText"/>
      </w:pPr>
      <w:r>
        <w:rPr>
          <w:rStyle w:val="FootnoteReference"/>
        </w:rPr>
        <w:footnoteRef/>
      </w:r>
      <w:r>
        <w:t xml:space="preserve"> ‘</w:t>
      </w:r>
      <w:r w:rsidRPr="00646933">
        <w:t>For us, disability is the quintessential post-modern concept, because it is so complex, so variable, so contingent, so situated. It sits at the intersection of biology and society and of agency and structure. Disability cannot be reduced to a singular identity: it is a multiplicity, a plurality.</w:t>
      </w:r>
      <w:r>
        <w:t>’</w:t>
      </w:r>
      <w:r w:rsidRPr="00646933">
        <w:t xml:space="preserve"> (Shakespeare </w:t>
      </w:r>
      <w:r>
        <w:t>and</w:t>
      </w:r>
      <w:r w:rsidRPr="00646933">
        <w:t xml:space="preserve"> Watson 2001: 19)</w:t>
      </w:r>
    </w:p>
  </w:footnote>
  <w:footnote w:id="14">
    <w:p w14:paraId="7B11ED28" w14:textId="77777777" w:rsidR="003142CE" w:rsidRDefault="003142CE" w:rsidP="00BE2C1D">
      <w:pPr>
        <w:pStyle w:val="FootnoteText"/>
      </w:pPr>
      <w:r>
        <w:rPr>
          <w:rStyle w:val="FootnoteReference"/>
        </w:rPr>
        <w:footnoteRef/>
      </w:r>
      <w:r>
        <w:t xml:space="preserve"> All these concepts are defined and explained within the analysis chapters that are employed. </w:t>
      </w:r>
    </w:p>
  </w:footnote>
  <w:footnote w:id="15">
    <w:p w14:paraId="79C414F5" w14:textId="77777777" w:rsidR="003142CE" w:rsidRDefault="003142CE" w:rsidP="00BE2C1D">
      <w:pPr>
        <w:pStyle w:val="FootnoteText"/>
      </w:pPr>
      <w:r>
        <w:rPr>
          <w:rStyle w:val="FootnoteReference"/>
        </w:rPr>
        <w:footnoteRef/>
      </w:r>
      <w:r>
        <w:t xml:space="preserve"> Here I am referring to a Foucauldian understanding of discourse:</w:t>
      </w:r>
    </w:p>
    <w:p w14:paraId="7264FDE7" w14:textId="77777777" w:rsidR="003142CE" w:rsidRDefault="003142CE" w:rsidP="00BE2C1D">
      <w:pPr>
        <w:pStyle w:val="FootnoteText"/>
        <w:ind w:left="720"/>
      </w:pPr>
      <w:r w:rsidRPr="00682E67">
        <w:t>ways of constituting knowledge, together with the social practices, forms of subjectivity and power relations which inhere in such knowledges and relations between them. Discourses are more than ways of thinking and producing meaning. They constitute the 'nature' of the body, unconscious and conscious mind and emotional life of the subjects they seek to govern (Weedon 1987</w:t>
      </w:r>
      <w:r>
        <w:t>:</w:t>
      </w:r>
      <w:r w:rsidRPr="00682E67">
        <w:t>.108).</w:t>
      </w:r>
    </w:p>
  </w:footnote>
  <w:footnote w:id="16">
    <w:p w14:paraId="276D6D59" w14:textId="77777777" w:rsidR="003142CE" w:rsidRPr="00A954DF" w:rsidRDefault="003142CE" w:rsidP="00BE2C1D">
      <w:pPr>
        <w:spacing w:line="360" w:lineRule="auto"/>
        <w:jc w:val="both"/>
        <w:rPr>
          <w:sz w:val="20"/>
          <w:szCs w:val="20"/>
        </w:rPr>
      </w:pPr>
      <w:r w:rsidRPr="00A954DF">
        <w:rPr>
          <w:rStyle w:val="FootnoteReference"/>
          <w:sz w:val="20"/>
          <w:szCs w:val="20"/>
        </w:rPr>
        <w:footnoteRef/>
      </w:r>
      <w:r w:rsidRPr="00A954DF">
        <w:rPr>
          <w:sz w:val="20"/>
          <w:szCs w:val="20"/>
        </w:rPr>
        <w:t xml:space="preserve"> Fox (2016) also refers to ‘new materialisms’ to indicate the range of perspectives fitting into this approach. </w:t>
      </w:r>
    </w:p>
    <w:p w14:paraId="2C08AE80" w14:textId="77777777" w:rsidR="003142CE" w:rsidRDefault="003142CE" w:rsidP="00BE2C1D">
      <w:pPr>
        <w:pStyle w:val="FootnoteText"/>
      </w:pPr>
    </w:p>
  </w:footnote>
  <w:footnote w:id="17">
    <w:p w14:paraId="641B1CB2" w14:textId="77777777" w:rsidR="003142CE" w:rsidRPr="00C71C66" w:rsidRDefault="003142CE" w:rsidP="00BE2C1D">
      <w:pPr>
        <w:pStyle w:val="FootnoteText"/>
      </w:pPr>
      <w:r w:rsidRPr="00C71C66">
        <w:rPr>
          <w:rStyle w:val="FootnoteReference"/>
        </w:rPr>
        <w:footnoteRef/>
      </w:r>
      <w:r w:rsidRPr="00C71C66">
        <w:t xml:space="preserve"> I use childhoods in </w:t>
      </w:r>
      <w:r>
        <w:t xml:space="preserve">the </w:t>
      </w:r>
      <w:r w:rsidRPr="00C71C66">
        <w:t xml:space="preserve">plural to indicate that childhood is not one fixed, universal thing.  </w:t>
      </w:r>
    </w:p>
  </w:footnote>
  <w:footnote w:id="18">
    <w:p w14:paraId="7F28BB57" w14:textId="77777777" w:rsidR="003142CE" w:rsidRDefault="003142CE" w:rsidP="00BE2C1D">
      <w:pPr>
        <w:pStyle w:val="FootnoteText"/>
      </w:pPr>
      <w:r>
        <w:rPr>
          <w:rStyle w:val="FootnoteReference"/>
        </w:rPr>
        <w:footnoteRef/>
      </w:r>
      <w:r>
        <w:t xml:space="preserve"> Here I use the singular version, because this model represents disabled childhood as a fixed experience. </w:t>
      </w:r>
    </w:p>
  </w:footnote>
  <w:footnote w:id="19">
    <w:p w14:paraId="58A80146" w14:textId="77777777" w:rsidR="003142CE" w:rsidRDefault="003142CE" w:rsidP="00BE2C1D">
      <w:pPr>
        <w:pStyle w:val="FootnoteText"/>
      </w:pPr>
      <w:r>
        <w:rPr>
          <w:rStyle w:val="FootnoteReference"/>
        </w:rPr>
        <w:footnoteRef/>
      </w:r>
      <w:r>
        <w:t xml:space="preserve"> These forms of power are further explained in the analysis chapter focusing on the teaching assistants.</w:t>
      </w:r>
    </w:p>
  </w:footnote>
  <w:footnote w:id="20">
    <w:p w14:paraId="4045C042" w14:textId="77777777" w:rsidR="003142CE" w:rsidRDefault="003142CE" w:rsidP="00BE2C1D">
      <w:pPr>
        <w:pStyle w:val="FootnoteText"/>
      </w:pPr>
      <w:r>
        <w:rPr>
          <w:rStyle w:val="FootnoteReference"/>
        </w:rPr>
        <w:footnoteRef/>
      </w:r>
      <w:r>
        <w:t xml:space="preserve"> A) Autism canon (or a biomedical understanding of autism), B) A social model approach C) A Nordic relational model D) A Socio-cultural lens. </w:t>
      </w:r>
    </w:p>
  </w:footnote>
  <w:footnote w:id="21">
    <w:p w14:paraId="4EED780C" w14:textId="77777777" w:rsidR="003142CE" w:rsidRPr="00626E37" w:rsidRDefault="003142CE" w:rsidP="00BE2C1D">
      <w:pPr>
        <w:jc w:val="both"/>
        <w:rPr>
          <w:sz w:val="20"/>
          <w:szCs w:val="20"/>
        </w:rPr>
      </w:pPr>
      <w:r w:rsidRPr="00626E37">
        <w:rPr>
          <w:rStyle w:val="FootnoteReference"/>
          <w:sz w:val="20"/>
          <w:szCs w:val="20"/>
        </w:rPr>
        <w:footnoteRef/>
      </w:r>
      <w:r w:rsidRPr="00626E37">
        <w:rPr>
          <w:sz w:val="20"/>
          <w:szCs w:val="20"/>
        </w:rPr>
        <w:t xml:space="preserve"> It is worth clarifying here the Western origins of DCCS, meaning that many of the authors discuss Western childhoods. However, DCCS do aim to have a global reach and discuss disabled childhoods in non-Western contexts (Runswick-Cole et al. 2018</w:t>
      </w:r>
      <w:r>
        <w:rPr>
          <w:sz w:val="20"/>
          <w:szCs w:val="20"/>
        </w:rPr>
        <w:t>a</w:t>
      </w:r>
      <w:r w:rsidRPr="00626E37">
        <w:rPr>
          <w:sz w:val="20"/>
          <w:szCs w:val="20"/>
        </w:rPr>
        <w:t xml:space="preserve">). </w:t>
      </w:r>
    </w:p>
  </w:footnote>
  <w:footnote w:id="22">
    <w:p w14:paraId="0723368F" w14:textId="77777777" w:rsidR="003142CE" w:rsidRDefault="003142CE" w:rsidP="00BE2C1D">
      <w:pPr>
        <w:spacing w:after="0" w:line="240" w:lineRule="auto"/>
        <w:jc w:val="both"/>
        <w:rPr>
          <w:color w:val="000000"/>
          <w:sz w:val="20"/>
          <w:szCs w:val="20"/>
        </w:rPr>
      </w:pPr>
      <w:r w:rsidRPr="00626E37">
        <w:rPr>
          <w:sz w:val="20"/>
          <w:szCs w:val="20"/>
          <w:vertAlign w:val="superscript"/>
        </w:rPr>
        <w:footnoteRef/>
      </w:r>
      <w:r w:rsidRPr="00626E37">
        <w:rPr>
          <w:sz w:val="20"/>
          <w:szCs w:val="20"/>
        </w:rPr>
        <w:t xml:space="preserve"> To varying degrees most people are restricted by “normative shadows”-</w:t>
      </w:r>
      <w:r>
        <w:rPr>
          <w:sz w:val="20"/>
          <w:szCs w:val="20"/>
        </w:rPr>
        <w:t xml:space="preserve"> </w:t>
      </w:r>
      <w:r w:rsidRPr="00626E37">
        <w:rPr>
          <w:sz w:val="20"/>
          <w:szCs w:val="20"/>
        </w:rPr>
        <w:t>a somewhat enigmatic and elusive concept</w:t>
      </w:r>
      <w:r>
        <w:rPr>
          <w:sz w:val="20"/>
          <w:szCs w:val="20"/>
        </w:rPr>
        <w:t xml:space="preserve"> </w:t>
      </w:r>
      <w:r w:rsidRPr="00626E37">
        <w:rPr>
          <w:sz w:val="20"/>
          <w:szCs w:val="20"/>
        </w:rPr>
        <w:t>-</w:t>
      </w:r>
      <w:r>
        <w:rPr>
          <w:sz w:val="20"/>
          <w:szCs w:val="20"/>
        </w:rPr>
        <w:t xml:space="preserve"> </w:t>
      </w:r>
      <w:r w:rsidRPr="00626E37">
        <w:rPr>
          <w:sz w:val="20"/>
          <w:szCs w:val="20"/>
        </w:rPr>
        <w:t>that lead to the suppression of desires that do not conform to accepted norms. Like most shadows, normative shadows cannot be grasped in a material way. They remain a feeling, a sense that one is constantly being judged according to differing criteria of normality. Like all shadows, normative shadows are elusive yet always present, simultaneously</w:t>
      </w:r>
      <w:r>
        <w:rPr>
          <w:color w:val="000000"/>
          <w:sz w:val="20"/>
          <w:szCs w:val="20"/>
        </w:rPr>
        <w:t xml:space="preserve"> </w:t>
      </w:r>
      <w:r w:rsidRPr="00626E37">
        <w:rPr>
          <w:color w:val="000000"/>
          <w:sz w:val="20"/>
          <w:szCs w:val="20"/>
        </w:rPr>
        <w:t>everywhere and nowhere. (Overboe 2007: 229)</w:t>
      </w:r>
    </w:p>
  </w:footnote>
  <w:footnote w:id="23">
    <w:p w14:paraId="6CF0C963" w14:textId="77777777" w:rsidR="003142CE" w:rsidRDefault="003142CE" w:rsidP="00BE2C1D">
      <w:pPr>
        <w:pStyle w:val="FootnoteText"/>
      </w:pPr>
      <w:r>
        <w:rPr>
          <w:rStyle w:val="FootnoteReference"/>
        </w:rPr>
        <w:footnoteRef/>
      </w:r>
      <w:r>
        <w:t xml:space="preserve"> Thompson et al. (2008) used the term skeletal dysplasia. </w:t>
      </w:r>
    </w:p>
  </w:footnote>
  <w:footnote w:id="24">
    <w:p w14:paraId="6C6AD911" w14:textId="77777777" w:rsidR="003142CE" w:rsidRDefault="003142CE" w:rsidP="00BE2C1D">
      <w:pPr>
        <w:pStyle w:val="FootnoteText"/>
      </w:pPr>
      <w:r>
        <w:rPr>
          <w:rStyle w:val="FootnoteReference"/>
        </w:rPr>
        <w:footnoteRef/>
      </w:r>
      <w:r>
        <w:t xml:space="preserve"> Disability as a deficit and tragedy. </w:t>
      </w:r>
    </w:p>
  </w:footnote>
  <w:footnote w:id="25">
    <w:p w14:paraId="5A1655FD" w14:textId="77777777" w:rsidR="003142CE" w:rsidRDefault="003142CE" w:rsidP="00BE2C1D">
      <w:pPr>
        <w:pStyle w:val="FootnoteText"/>
      </w:pPr>
      <w:r>
        <w:rPr>
          <w:rStyle w:val="FootnoteReference"/>
        </w:rPr>
        <w:footnoteRef/>
      </w:r>
      <w:r>
        <w:t xml:space="preserve"> For more details on the methods, sample, findings of those studies see the table in appendix 1. </w:t>
      </w:r>
    </w:p>
  </w:footnote>
  <w:footnote w:id="26">
    <w:p w14:paraId="25EDABA5" w14:textId="77777777" w:rsidR="003142CE" w:rsidRDefault="003142CE" w:rsidP="00BE2C1D">
      <w:pPr>
        <w:pStyle w:val="FootnoteText"/>
      </w:pPr>
      <w:r>
        <w:rPr>
          <w:rStyle w:val="FootnoteReference"/>
        </w:rPr>
        <w:footnoteRef/>
      </w:r>
      <w:r>
        <w:t xml:space="preserve"> This is the author’s wording. </w:t>
      </w:r>
    </w:p>
  </w:footnote>
  <w:footnote w:id="27">
    <w:p w14:paraId="29DE9F87" w14:textId="77777777" w:rsidR="003142CE" w:rsidRDefault="003142CE" w:rsidP="00BE2C1D">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Stace and Danks (1981) distinguished between those with a marked height problem and those of near normal height and the reasons of their retention. </w:t>
      </w:r>
    </w:p>
  </w:footnote>
  <w:footnote w:id="28">
    <w:p w14:paraId="5C9AB590" w14:textId="77777777" w:rsidR="003142CE" w:rsidRDefault="003142CE" w:rsidP="00BE2C1D">
      <w:pPr>
        <w:pStyle w:val="FootnoteText"/>
      </w:pPr>
      <w:r>
        <w:rPr>
          <w:rStyle w:val="FootnoteReference"/>
        </w:rPr>
        <w:footnoteRef/>
      </w:r>
      <w:r>
        <w:t xml:space="preserve"> It is worth noting that the targeted marker for human Growth Hormone ended up including short-statured children without a medical diagnosis (Conrad and Potter 2004). </w:t>
      </w:r>
    </w:p>
  </w:footnote>
  <w:footnote w:id="29">
    <w:p w14:paraId="36344601" w14:textId="77777777" w:rsidR="003142CE" w:rsidRDefault="003142CE" w:rsidP="00BE2C1D">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This study started in 1985 and it closed in 2010. </w:t>
      </w:r>
    </w:p>
  </w:footnote>
  <w:footnote w:id="30">
    <w:p w14:paraId="0E6E7566" w14:textId="77777777" w:rsidR="003142CE" w:rsidRDefault="003142CE" w:rsidP="00BE2C1D">
      <w:pPr>
        <w:pStyle w:val="FootnoteText"/>
      </w:pPr>
      <w:r>
        <w:rPr>
          <w:rStyle w:val="FootnoteReference"/>
        </w:rPr>
        <w:footnoteRef/>
      </w:r>
      <w:r>
        <w:t xml:space="preserve"> This is the authors’ wording. </w:t>
      </w:r>
    </w:p>
  </w:footnote>
  <w:footnote w:id="31">
    <w:p w14:paraId="3E9A8626" w14:textId="77777777" w:rsidR="003142CE" w:rsidRDefault="003142CE" w:rsidP="00BE2C1D">
      <w:pPr>
        <w:pStyle w:val="FootnoteText"/>
      </w:pPr>
      <w:r>
        <w:rPr>
          <w:rStyle w:val="FootnoteReference"/>
        </w:rPr>
        <w:footnoteRef/>
      </w:r>
      <w:r>
        <w:t xml:space="preserve"> Short stature as a site for pharmaceutical intervention.</w:t>
      </w:r>
    </w:p>
  </w:footnote>
  <w:footnote w:id="32">
    <w:p w14:paraId="49192D35" w14:textId="77777777" w:rsidR="003142CE" w:rsidRDefault="003142CE" w:rsidP="00BE2C1D">
      <w:pPr>
        <w:pStyle w:val="FootnoteText"/>
      </w:pPr>
      <w:r>
        <w:rPr>
          <w:rStyle w:val="FootnoteReference"/>
        </w:rPr>
        <w:footnoteRef/>
      </w:r>
      <w:r>
        <w:t xml:space="preserve"> Mills refers to the use of psychotropic drugs to children for the treatment of ADHD. </w:t>
      </w:r>
    </w:p>
  </w:footnote>
  <w:footnote w:id="33">
    <w:p w14:paraId="65E81614" w14:textId="77777777" w:rsidR="003142CE" w:rsidRDefault="003142CE" w:rsidP="00BE2C1D">
      <w:pPr>
        <w:pStyle w:val="FootnoteText"/>
      </w:pPr>
      <w:r>
        <w:rPr>
          <w:rStyle w:val="FootnoteReference"/>
        </w:rPr>
        <w:footnoteRef/>
      </w:r>
      <w:r>
        <w:t xml:space="preserve"> Whilst remaining critical of the connotation and the stigma this term carries (</w:t>
      </w:r>
      <w:r w:rsidRPr="00482516">
        <w:t>Shaghaghi et al. 2011</w:t>
      </w:r>
      <w:r>
        <w:t>).</w:t>
      </w:r>
    </w:p>
  </w:footnote>
  <w:footnote w:id="34">
    <w:p w14:paraId="13A3F694" w14:textId="7B66252E" w:rsidR="003142CE" w:rsidRPr="007D70B2" w:rsidRDefault="003142CE" w:rsidP="00BE2C1D">
      <w:pPr>
        <w:pStyle w:val="FootnoteText"/>
      </w:pPr>
      <w:r w:rsidRPr="007D70B2">
        <w:rPr>
          <w:rStyle w:val="FootnoteReference"/>
        </w:rPr>
        <w:footnoteRef/>
      </w:r>
      <w:r w:rsidRPr="007D70B2">
        <w:t xml:space="preserve"> A more detailed discussion of such difficulties takes place in p.</w:t>
      </w:r>
      <w:r>
        <w:t>80-81.</w:t>
      </w:r>
    </w:p>
  </w:footnote>
  <w:footnote w:id="35">
    <w:p w14:paraId="1437422B" w14:textId="77777777" w:rsidR="003142CE" w:rsidRPr="00D368C8" w:rsidRDefault="003142CE" w:rsidP="00BE2C1D">
      <w:pPr>
        <w:pStyle w:val="FootnoteText"/>
      </w:pPr>
      <w:r w:rsidRPr="00D368C8">
        <w:rPr>
          <w:rStyle w:val="FootnoteReference"/>
        </w:rPr>
        <w:footnoteRef/>
      </w:r>
      <w:r w:rsidRPr="00D368C8">
        <w:t xml:space="preserve"> The ethics approval letter is available in the Appendix 3. </w:t>
      </w:r>
    </w:p>
  </w:footnote>
  <w:footnote w:id="36">
    <w:p w14:paraId="26F21A27" w14:textId="77777777" w:rsidR="003142CE" w:rsidRDefault="003142CE" w:rsidP="00BE2C1D">
      <w:pPr>
        <w:pStyle w:val="FootnoteText"/>
      </w:pPr>
      <w:r>
        <w:rPr>
          <w:rStyle w:val="FootnoteReference"/>
        </w:rPr>
        <w:footnoteRef/>
      </w:r>
      <w:r>
        <w:t xml:space="preserve"> A multiple-channel approach refers to the range of recruiting strategies a researcher might use, including the different modes of advertising their research e.g. posters and leaflets, videos, in person, and the various platforms and gatekeepers they share these with, such as charities, associations, Facebook Groups, Twitter etc.   </w:t>
      </w:r>
    </w:p>
  </w:footnote>
  <w:footnote w:id="37">
    <w:p w14:paraId="30E21C4A" w14:textId="77777777" w:rsidR="003142CE" w:rsidRDefault="003142CE" w:rsidP="00BE2C1D">
      <w:pPr>
        <w:pStyle w:val="FootnoteText"/>
      </w:pPr>
      <w:r>
        <w:rPr>
          <w:rStyle w:val="FootnoteReference"/>
        </w:rPr>
        <w:footnoteRef/>
      </w:r>
      <w:r>
        <w:t xml:space="preserve"> The access needs were partly resolved through the use of online methods</w:t>
      </w:r>
      <w:r>
        <w:rPr>
          <w:color w:val="FF0000"/>
        </w:rPr>
        <w:t>.</w:t>
      </w:r>
      <w:r w:rsidRPr="00C60AA1">
        <w:rPr>
          <w:color w:val="FF0000"/>
        </w:rPr>
        <w:t xml:space="preserve"> </w:t>
      </w:r>
    </w:p>
  </w:footnote>
  <w:footnote w:id="38">
    <w:p w14:paraId="6D641FB7" w14:textId="77777777" w:rsidR="003142CE" w:rsidRDefault="003142CE" w:rsidP="00BE2C1D">
      <w:pPr>
        <w:pStyle w:val="FootnoteText"/>
      </w:pPr>
      <w:r>
        <w:rPr>
          <w:rStyle w:val="FootnoteReference"/>
        </w:rPr>
        <w:footnoteRef/>
      </w:r>
      <w:r>
        <w:t xml:space="preserve"> Here is the link to the video: </w:t>
      </w:r>
      <w:hyperlink r:id="rId1" w:history="1">
        <w:r w:rsidRPr="00C73710">
          <w:rPr>
            <w:rStyle w:val="Hyperlink"/>
          </w:rPr>
          <w:t>https://vimeo.com/414254025?utm_source=email&amp;utm_medium=vimeo-cliptranscode-201504&amp;utm_campaign=29220</w:t>
        </w:r>
      </w:hyperlink>
      <w:r>
        <w:t xml:space="preserve"> </w:t>
      </w:r>
    </w:p>
  </w:footnote>
  <w:footnote w:id="39">
    <w:p w14:paraId="3521B1B5" w14:textId="38E127E4" w:rsidR="003142CE" w:rsidRPr="00241BCF" w:rsidRDefault="003142CE" w:rsidP="00BE2C1D">
      <w:pPr>
        <w:pStyle w:val="FootnoteText"/>
      </w:pPr>
      <w:r w:rsidRPr="00241BCF">
        <w:rPr>
          <w:rStyle w:val="FootnoteReference"/>
        </w:rPr>
        <w:footnoteRef/>
      </w:r>
      <w:r w:rsidRPr="00241BCF">
        <w:t xml:space="preserve"> A more detailed discussion of my embodied positionality takes place in pp. 8</w:t>
      </w:r>
      <w:r>
        <w:t>5</w:t>
      </w:r>
      <w:r w:rsidRPr="00241BCF">
        <w:t>-8</w:t>
      </w:r>
      <w:r>
        <w:t>8</w:t>
      </w:r>
      <w:r w:rsidRPr="00241BCF">
        <w:t>.</w:t>
      </w:r>
    </w:p>
  </w:footnote>
  <w:footnote w:id="40">
    <w:p w14:paraId="68AB3AE7" w14:textId="77777777" w:rsidR="003142CE" w:rsidRPr="00241BCF" w:rsidRDefault="003142CE" w:rsidP="00BE2C1D">
      <w:pPr>
        <w:pStyle w:val="FootnoteText"/>
      </w:pPr>
      <w:r w:rsidRPr="00241BCF">
        <w:rPr>
          <w:rStyle w:val="FootnoteReference"/>
        </w:rPr>
        <w:footnoteRef/>
      </w:r>
      <w:r w:rsidRPr="00241BCF">
        <w:t xml:space="preserve"> Available in Appendix 4. </w:t>
      </w:r>
    </w:p>
  </w:footnote>
  <w:footnote w:id="41">
    <w:p w14:paraId="0BFF9B12" w14:textId="77777777" w:rsidR="003142CE" w:rsidRDefault="003142CE" w:rsidP="00BE2C1D">
      <w:pPr>
        <w:pStyle w:val="FootnoteText"/>
      </w:pPr>
      <w:r w:rsidRPr="00241BCF">
        <w:rPr>
          <w:rStyle w:val="FootnoteReference"/>
        </w:rPr>
        <w:footnoteRef/>
      </w:r>
      <w:r w:rsidRPr="00241BCF">
        <w:t xml:space="preserve"> Access had to be granted by the administrator of the group. </w:t>
      </w:r>
    </w:p>
  </w:footnote>
  <w:footnote w:id="42">
    <w:p w14:paraId="67ECAB46" w14:textId="77777777" w:rsidR="003142CE" w:rsidRDefault="003142CE" w:rsidP="00BE2C1D">
      <w:pPr>
        <w:pStyle w:val="FootnoteText"/>
      </w:pPr>
      <w:r>
        <w:rPr>
          <w:rStyle w:val="FootnoteReference"/>
        </w:rPr>
        <w:footnoteRef/>
      </w:r>
      <w:r>
        <w:t xml:space="preserve"> I became member of these groups in 2014. </w:t>
      </w:r>
    </w:p>
  </w:footnote>
  <w:footnote w:id="43">
    <w:p w14:paraId="7D737CEF" w14:textId="77777777" w:rsidR="003142CE" w:rsidRDefault="003142CE" w:rsidP="00BE2C1D">
      <w:pPr>
        <w:pStyle w:val="FootnoteText"/>
      </w:pPr>
      <w:r>
        <w:rPr>
          <w:rStyle w:val="FootnoteReference"/>
        </w:rPr>
        <w:footnoteRef/>
      </w:r>
      <w:r>
        <w:t xml:space="preserve"> Messenger is a social media application linked to Facebook.</w:t>
      </w:r>
    </w:p>
  </w:footnote>
  <w:footnote w:id="44">
    <w:p w14:paraId="528CDB3A" w14:textId="77777777" w:rsidR="003142CE" w:rsidRDefault="003142CE" w:rsidP="00BE2C1D">
      <w:pPr>
        <w:pStyle w:val="FootnoteText"/>
      </w:pPr>
      <w:r>
        <w:rPr>
          <w:rStyle w:val="FootnoteReference"/>
        </w:rPr>
        <w:footnoteRef/>
      </w:r>
      <w:r>
        <w:t xml:space="preserve"> The reasons for that are explained under the section ‘gatekeeping as a discursive </w:t>
      </w:r>
      <w:r w:rsidRPr="00285768">
        <w:t>practice’ (see p. 79-82)</w:t>
      </w:r>
      <w:r>
        <w:t>.</w:t>
      </w:r>
      <w:r w:rsidRPr="00285768">
        <w:t xml:space="preserve"> </w:t>
      </w:r>
    </w:p>
  </w:footnote>
  <w:footnote w:id="45">
    <w:p w14:paraId="00C32A66" w14:textId="77777777" w:rsidR="003142CE" w:rsidRDefault="003142CE" w:rsidP="00BE2C1D">
      <w:pPr>
        <w:pStyle w:val="FootnoteText"/>
      </w:pPr>
      <w:r>
        <w:rPr>
          <w:rStyle w:val="FootnoteReference"/>
        </w:rPr>
        <w:footnoteRef/>
      </w:r>
      <w:r>
        <w:t xml:space="preserve"> One association allowed me to post the relevant materials on their Facebook page and the administrator of the Facebook page of the other association shared the materials. </w:t>
      </w:r>
    </w:p>
  </w:footnote>
  <w:footnote w:id="46">
    <w:p w14:paraId="5A3E34DD" w14:textId="77777777" w:rsidR="003142CE" w:rsidRDefault="003142CE" w:rsidP="00BE2C1D">
      <w:pPr>
        <w:pStyle w:val="FootnoteText"/>
      </w:pPr>
      <w:r>
        <w:rPr>
          <w:rStyle w:val="FootnoteReference"/>
        </w:rPr>
        <w:footnoteRef/>
      </w:r>
      <w:r>
        <w:t xml:space="preserve"> One of the issues I revisit in the messy story. </w:t>
      </w:r>
    </w:p>
  </w:footnote>
  <w:footnote w:id="47">
    <w:p w14:paraId="1F7EE9C4" w14:textId="77777777" w:rsidR="003142CE" w:rsidRDefault="003142CE" w:rsidP="00BE2C1D">
      <w:pPr>
        <w:pStyle w:val="FootnoteText"/>
      </w:pPr>
      <w:r>
        <w:rPr>
          <w:rStyle w:val="FootnoteReference"/>
        </w:rPr>
        <w:footnoteRef/>
      </w:r>
      <w:r>
        <w:t xml:space="preserve"> The mother of the one participant responded only after a few months since the initial message I had sent her and she only agreed for her child to participate after an extensive discussion we had on the phone. The other mother first checked my ‘credentials’ through the association that we were both members of and then she messaged me back. </w:t>
      </w:r>
    </w:p>
  </w:footnote>
  <w:footnote w:id="48">
    <w:p w14:paraId="62DABD39" w14:textId="77777777" w:rsidR="003142CE" w:rsidRDefault="003142CE" w:rsidP="00BE2C1D">
      <w:pPr>
        <w:pStyle w:val="FootnoteText"/>
      </w:pPr>
      <w:r>
        <w:rPr>
          <w:rStyle w:val="FootnoteReference"/>
        </w:rPr>
        <w:footnoteRef/>
      </w:r>
      <w:r>
        <w:t xml:space="preserve"> This was the second time I attended this event, so I was familiar with some of the members. </w:t>
      </w:r>
    </w:p>
  </w:footnote>
  <w:footnote w:id="49">
    <w:p w14:paraId="7C9A164F" w14:textId="77777777" w:rsidR="003142CE" w:rsidRDefault="003142CE" w:rsidP="00BE2C1D">
      <w:pPr>
        <w:pStyle w:val="FootnoteText"/>
      </w:pPr>
      <w:r>
        <w:rPr>
          <w:rStyle w:val="FootnoteReference"/>
        </w:rPr>
        <w:footnoteRef/>
      </w:r>
      <w:r>
        <w:t xml:space="preserve"> I did not ask for explicit information on the socio-economic background of the families. However, access to such information was implicitly brought up sometimes during the interviews e.g. participants having attended private schools or the parents’ jobs. </w:t>
      </w:r>
    </w:p>
  </w:footnote>
  <w:footnote w:id="50">
    <w:p w14:paraId="3E56D667" w14:textId="77777777" w:rsidR="003142CE" w:rsidRDefault="003142CE" w:rsidP="00BE2C1D">
      <w:pPr>
        <w:pStyle w:val="FootnoteText"/>
      </w:pPr>
      <w:r>
        <w:rPr>
          <w:rStyle w:val="FootnoteReference"/>
        </w:rPr>
        <w:footnoteRef/>
      </w:r>
      <w:r>
        <w:t xml:space="preserve"> All the names are pseudonyms. </w:t>
      </w:r>
    </w:p>
  </w:footnote>
  <w:footnote w:id="51">
    <w:p w14:paraId="246BF115" w14:textId="77777777" w:rsidR="003142CE" w:rsidRDefault="003142CE" w:rsidP="00BE2C1D">
      <w:pPr>
        <w:pStyle w:val="FootnoteText"/>
      </w:pPr>
      <w:r>
        <w:rPr>
          <w:rStyle w:val="FootnoteReference"/>
        </w:rPr>
        <w:footnoteRef/>
      </w:r>
      <w:r>
        <w:t xml:space="preserve"> Mary was also a participant for my MA thesis (Ktenidis, 2014), during which she had been interviewed under the presence of her mother, in 2014.</w:t>
      </w:r>
    </w:p>
  </w:footnote>
  <w:footnote w:id="52">
    <w:p w14:paraId="5C0C66ED" w14:textId="77777777" w:rsidR="003142CE" w:rsidRDefault="003142CE" w:rsidP="00BE2C1D">
      <w:pPr>
        <w:pStyle w:val="FootnoteText"/>
      </w:pPr>
      <w:r>
        <w:rPr>
          <w:rStyle w:val="FootnoteReference"/>
        </w:rPr>
        <w:footnoteRef/>
      </w:r>
      <w:r>
        <w:t xml:space="preserve"> The methodology of this research is detailed in the next section. </w:t>
      </w:r>
    </w:p>
  </w:footnote>
  <w:footnote w:id="53">
    <w:p w14:paraId="62D58A0E" w14:textId="5A634665" w:rsidR="003142CE" w:rsidRPr="00285768" w:rsidRDefault="003142CE" w:rsidP="00BE2C1D">
      <w:pPr>
        <w:pStyle w:val="FootnoteText"/>
      </w:pPr>
      <w:r w:rsidRPr="00285768">
        <w:rPr>
          <w:rStyle w:val="FootnoteReference"/>
        </w:rPr>
        <w:footnoteRef/>
      </w:r>
      <w:r w:rsidRPr="00285768">
        <w:t xml:space="preserve"> The term is also explained in the next section pp. </w:t>
      </w:r>
      <w:r>
        <w:t>70-71</w:t>
      </w:r>
      <w:r w:rsidRPr="00285768">
        <w:t xml:space="preserve">.  </w:t>
      </w:r>
    </w:p>
  </w:footnote>
  <w:footnote w:id="54">
    <w:p w14:paraId="351E33DF" w14:textId="2D906836" w:rsidR="003142CE" w:rsidRPr="00EF402B" w:rsidRDefault="003142CE" w:rsidP="00BE2C1D">
      <w:pPr>
        <w:pStyle w:val="FootnoteText"/>
      </w:pPr>
      <w:r w:rsidRPr="00EF402B">
        <w:rPr>
          <w:rStyle w:val="FootnoteReference"/>
        </w:rPr>
        <w:footnoteRef/>
      </w:r>
      <w:r w:rsidRPr="00EF402B">
        <w:t xml:space="preserve"> Available in Appendix 5</w:t>
      </w:r>
      <w:r>
        <w:t>.</w:t>
      </w:r>
    </w:p>
  </w:footnote>
  <w:footnote w:id="55">
    <w:p w14:paraId="62B8C45B" w14:textId="77777777" w:rsidR="003142CE" w:rsidRDefault="003142CE" w:rsidP="00BE2C1D">
      <w:pPr>
        <w:pStyle w:val="FootnoteText"/>
      </w:pPr>
      <w:r>
        <w:rPr>
          <w:rStyle w:val="FootnoteReference"/>
        </w:rPr>
        <w:footnoteRef/>
      </w:r>
      <w:r>
        <w:t xml:space="preserve"> Louise, Mary and John were in the same focus group.  </w:t>
      </w:r>
    </w:p>
  </w:footnote>
  <w:footnote w:id="56">
    <w:p w14:paraId="6551C8CC" w14:textId="77777777" w:rsidR="003142CE" w:rsidRDefault="003142CE" w:rsidP="00BE2C1D">
      <w:pPr>
        <w:pStyle w:val="FootnoteText"/>
      </w:pPr>
      <w:r>
        <w:rPr>
          <w:rStyle w:val="FootnoteReference"/>
        </w:rPr>
        <w:footnoteRef/>
      </w:r>
      <w:r>
        <w:t xml:space="preserve"> Lynn and Rania were interviewed together. </w:t>
      </w:r>
    </w:p>
  </w:footnote>
  <w:footnote w:id="57">
    <w:p w14:paraId="0D912FFA" w14:textId="77777777" w:rsidR="003142CE" w:rsidRDefault="003142CE" w:rsidP="00BE2C1D">
      <w:pPr>
        <w:pStyle w:val="FootnoteText"/>
      </w:pPr>
      <w:r>
        <w:rPr>
          <w:rStyle w:val="FootnoteReference"/>
        </w:rPr>
        <w:footnoteRef/>
      </w:r>
      <w:r>
        <w:t xml:space="preserve"> Alice and Michael were interviewed together. </w:t>
      </w:r>
    </w:p>
  </w:footnote>
  <w:footnote w:id="58">
    <w:p w14:paraId="15EA3296" w14:textId="622724CB" w:rsidR="003142CE" w:rsidRPr="00B110B2" w:rsidRDefault="003142CE" w:rsidP="00BE2C1D">
      <w:pPr>
        <w:pStyle w:val="FootnoteText"/>
      </w:pPr>
      <w:r w:rsidRPr="00B110B2">
        <w:rPr>
          <w:rStyle w:val="FootnoteReference"/>
        </w:rPr>
        <w:footnoteRef/>
      </w:r>
      <w:r w:rsidRPr="00B110B2">
        <w:t xml:space="preserve"> More details under the section on institutional ethics pp 7</w:t>
      </w:r>
      <w:r>
        <w:t>9-80.</w:t>
      </w:r>
      <w:r w:rsidRPr="00B110B2">
        <w:t xml:space="preserve">  </w:t>
      </w:r>
    </w:p>
  </w:footnote>
  <w:footnote w:id="59">
    <w:p w14:paraId="54A350C6" w14:textId="77777777" w:rsidR="003142CE" w:rsidRPr="00643B01" w:rsidRDefault="003142CE" w:rsidP="00BE2C1D">
      <w:pPr>
        <w:pStyle w:val="FootnoteText"/>
      </w:pPr>
      <w:r w:rsidRPr="00643B01">
        <w:rPr>
          <w:rStyle w:val="FootnoteReference"/>
        </w:rPr>
        <w:footnoteRef/>
      </w:r>
      <w:r w:rsidRPr="00643B01">
        <w:t xml:space="preserve"> I also confirmed that the young people did have access to a desktop or laptop at home.  </w:t>
      </w:r>
    </w:p>
  </w:footnote>
  <w:footnote w:id="60">
    <w:p w14:paraId="185EA32F" w14:textId="77777777" w:rsidR="003142CE" w:rsidRDefault="003142CE" w:rsidP="00BE2C1D">
      <w:pPr>
        <w:pStyle w:val="FootnoteText"/>
      </w:pPr>
      <w:r>
        <w:rPr>
          <w:rStyle w:val="FootnoteReference"/>
        </w:rPr>
        <w:footnoteRef/>
      </w:r>
      <w:r>
        <w:t xml:space="preserve"> With the exception of George’s mother, who I already knew from the association. </w:t>
      </w:r>
    </w:p>
  </w:footnote>
  <w:footnote w:id="61">
    <w:p w14:paraId="01A70118" w14:textId="1555A136" w:rsidR="003142CE" w:rsidRDefault="003142CE" w:rsidP="00BE2C1D">
      <w:pPr>
        <w:pStyle w:val="FootnoteText"/>
      </w:pPr>
      <w:r>
        <w:rPr>
          <w:rStyle w:val="FootnoteReference"/>
        </w:rPr>
        <w:footnoteRef/>
      </w:r>
      <w:r>
        <w:t xml:space="preserve"> Further discussed in the ethical considerations p. 80. </w:t>
      </w:r>
    </w:p>
  </w:footnote>
  <w:footnote w:id="62">
    <w:p w14:paraId="7EE19FFA" w14:textId="77777777" w:rsidR="003142CE" w:rsidRDefault="003142CE" w:rsidP="00BE2C1D">
      <w:pPr>
        <w:pStyle w:val="FootnoteText"/>
      </w:pPr>
      <w:r>
        <w:rPr>
          <w:rStyle w:val="FootnoteReference"/>
        </w:rPr>
        <w:footnoteRef/>
      </w:r>
      <w:r>
        <w:t xml:space="preserve"> I use the terms interchangeably, although many narrative scholars propose that these terms do not share the meaning e.g. </w:t>
      </w:r>
      <w:r w:rsidRPr="002E4553">
        <w:rPr>
          <w:rFonts w:cstheme="minorHAnsi"/>
          <w:lang w:val="en-US"/>
        </w:rPr>
        <w:t>C</w:t>
      </w:r>
      <w:r w:rsidRPr="002E4553">
        <w:rPr>
          <w:rFonts w:ascii="Calibri" w:hAnsi="Calibri" w:cs="Calibri"/>
        </w:rPr>
        <w:t>obley, 200</w:t>
      </w:r>
      <w:r>
        <w:rPr>
          <w:rFonts w:ascii="Calibri" w:hAnsi="Calibri" w:cs="Calibri"/>
        </w:rPr>
        <w:t>1.</w:t>
      </w:r>
    </w:p>
  </w:footnote>
  <w:footnote w:id="63">
    <w:p w14:paraId="30C324BF" w14:textId="77777777" w:rsidR="003142CE" w:rsidRDefault="003142CE" w:rsidP="00BE2C1D">
      <w:pPr>
        <w:pStyle w:val="FootnoteText"/>
      </w:pPr>
      <w:r>
        <w:rPr>
          <w:rStyle w:val="FootnoteReference"/>
        </w:rPr>
        <w:footnoteRef/>
      </w:r>
      <w:r>
        <w:t xml:space="preserve"> While the authors do acknowledge that this ‘policing of language is inappropriate’, they still push for a working definition of the term. </w:t>
      </w:r>
    </w:p>
  </w:footnote>
  <w:footnote w:id="64">
    <w:p w14:paraId="49657A32" w14:textId="77777777" w:rsidR="003142CE" w:rsidRDefault="003142CE" w:rsidP="00BE2C1D">
      <w:pPr>
        <w:pStyle w:val="FootnoteText"/>
      </w:pPr>
      <w:r>
        <w:rPr>
          <w:rStyle w:val="FootnoteReference"/>
        </w:rPr>
        <w:footnoteRef/>
      </w:r>
      <w:r>
        <w:t xml:space="preserve"> Clandinin and Conelly (2000) also engaged with Dewey’s understanding of experience ‘to develop a narrative view of experience’ (Clandinin 2006: 46). </w:t>
      </w:r>
    </w:p>
  </w:footnote>
  <w:footnote w:id="65">
    <w:p w14:paraId="550D9C97" w14:textId="77777777" w:rsidR="003142CE" w:rsidRDefault="003142CE" w:rsidP="00BE2C1D">
      <w:pPr>
        <w:pStyle w:val="FootnoteText"/>
      </w:pPr>
      <w:r>
        <w:rPr>
          <w:rStyle w:val="FootnoteReference"/>
        </w:rPr>
        <w:footnoteRef/>
      </w:r>
      <w:r>
        <w:t xml:space="preserve"> Atkinson (2009) refers to this phenomenon as ‘narrative reductionism’. </w:t>
      </w:r>
    </w:p>
  </w:footnote>
  <w:footnote w:id="66">
    <w:p w14:paraId="063D3130" w14:textId="77777777" w:rsidR="003142CE" w:rsidRPr="009E74C3" w:rsidRDefault="003142CE" w:rsidP="00BE2C1D">
      <w:pPr>
        <w:pStyle w:val="FootnoteText"/>
      </w:pPr>
      <w:r>
        <w:rPr>
          <w:rStyle w:val="FootnoteReference"/>
        </w:rPr>
        <w:footnoteRef/>
      </w:r>
      <w:r>
        <w:t xml:space="preserve"> Campbell (2009: 30, italics in the original) discusses also the legal storyteller, which reinforces a performative compulsion for sameness and a notion that disability is </w:t>
      </w:r>
      <w:r>
        <w:rPr>
          <w:i/>
        </w:rPr>
        <w:t xml:space="preserve">inherently </w:t>
      </w:r>
      <w:r>
        <w:t>negative.</w:t>
      </w:r>
    </w:p>
  </w:footnote>
  <w:footnote w:id="67">
    <w:p w14:paraId="7494BA3A" w14:textId="77777777" w:rsidR="003142CE" w:rsidRDefault="003142CE" w:rsidP="00BE2C1D">
      <w:pPr>
        <w:pStyle w:val="FootnoteText"/>
      </w:pPr>
      <w:r>
        <w:rPr>
          <w:rStyle w:val="FootnoteReference"/>
        </w:rPr>
        <w:footnoteRef/>
      </w:r>
      <w:r>
        <w:t xml:space="preserve"> Here I do not talk about success stories - how a disabled person succeeded in spite of their impairment (Campbell 2009) and the idea of supercrip.</w:t>
      </w:r>
    </w:p>
  </w:footnote>
  <w:footnote w:id="68">
    <w:p w14:paraId="08B94154" w14:textId="77777777" w:rsidR="003142CE" w:rsidRDefault="003142CE" w:rsidP="00BE2C1D">
      <w:pPr>
        <w:pStyle w:val="FootnoteText"/>
      </w:pPr>
      <w:r>
        <w:rPr>
          <w:rStyle w:val="FootnoteReference"/>
        </w:rPr>
        <w:footnoteRef/>
      </w:r>
      <w:r>
        <w:t xml:space="preserve"> For examples of multiple readings of stories through different theoretical frameworks see Goodley and Runswick-Cole (2012a, </w:t>
      </w:r>
      <w:r w:rsidRPr="006F3F46">
        <w:t xml:space="preserve">2013) </w:t>
      </w:r>
      <w:r>
        <w:t xml:space="preserve">and Slater (2015). </w:t>
      </w:r>
    </w:p>
  </w:footnote>
  <w:footnote w:id="69">
    <w:p w14:paraId="460BE98A" w14:textId="77777777" w:rsidR="003142CE" w:rsidRDefault="003142CE" w:rsidP="00BE2C1D">
      <w:pPr>
        <w:pStyle w:val="FootnoteText"/>
      </w:pPr>
      <w:r>
        <w:rPr>
          <w:rStyle w:val="FootnoteReference"/>
        </w:rPr>
        <w:footnoteRef/>
      </w:r>
      <w:r>
        <w:t xml:space="preserve"> A discussion of the ethics of the analysis, which is post-fieldwork, takes place in the next section. </w:t>
      </w:r>
    </w:p>
  </w:footnote>
  <w:footnote w:id="70">
    <w:p w14:paraId="520B2B8C" w14:textId="77777777" w:rsidR="003142CE" w:rsidRPr="007728C9" w:rsidRDefault="003142CE" w:rsidP="00BE2C1D">
      <w:pPr>
        <w:pStyle w:val="FootnoteText"/>
      </w:pPr>
      <w:r w:rsidRPr="007728C9">
        <w:rPr>
          <w:rStyle w:val="FootnoteReference"/>
        </w:rPr>
        <w:footnoteRef/>
      </w:r>
      <w:r w:rsidRPr="007728C9">
        <w:t xml:space="preserve"> The ethics application lists a series of topics that could be identified as sensitive, including discussions around bullying. </w:t>
      </w:r>
    </w:p>
  </w:footnote>
  <w:footnote w:id="71">
    <w:p w14:paraId="11928097" w14:textId="77777777" w:rsidR="003142CE" w:rsidRPr="007728C9" w:rsidRDefault="003142CE" w:rsidP="00BE2C1D">
      <w:pPr>
        <w:pStyle w:val="FootnoteText"/>
      </w:pPr>
      <w:r w:rsidRPr="007728C9">
        <w:rPr>
          <w:rStyle w:val="FootnoteReference"/>
        </w:rPr>
        <w:footnoteRef/>
      </w:r>
      <w:r w:rsidRPr="007728C9">
        <w:t xml:space="preserve"> The letter of approval is attached in Appendix 3</w:t>
      </w:r>
    </w:p>
  </w:footnote>
  <w:footnote w:id="72">
    <w:p w14:paraId="3C5BD575" w14:textId="77777777" w:rsidR="003142CE" w:rsidRPr="00607059" w:rsidRDefault="003142CE" w:rsidP="00BE2C1D">
      <w:pPr>
        <w:pStyle w:val="FootnoteText"/>
        <w:rPr>
          <w:color w:val="FF0000"/>
        </w:rPr>
      </w:pPr>
      <w:r w:rsidRPr="007728C9">
        <w:rPr>
          <w:rStyle w:val="FootnoteReference"/>
        </w:rPr>
        <w:footnoteRef/>
      </w:r>
      <w:r w:rsidRPr="007728C9">
        <w:t xml:space="preserve"> Different information sheets and informed consent forms were provided to adult participants, to teenage participants’ parents and to teenage participants (see appendix 5).  </w:t>
      </w:r>
    </w:p>
  </w:footnote>
  <w:footnote w:id="73">
    <w:p w14:paraId="2A18B09D" w14:textId="77777777" w:rsidR="003142CE" w:rsidRDefault="003142CE" w:rsidP="00BE2C1D">
      <w:pPr>
        <w:pStyle w:val="FootnoteText"/>
      </w:pPr>
      <w:r>
        <w:rPr>
          <w:rStyle w:val="FootnoteReference"/>
        </w:rPr>
        <w:footnoteRef/>
      </w:r>
      <w:r>
        <w:t xml:space="preserve"> For instance, Pritchard (2014: 54) justified the exclusion of young people with RG who were not adults yet on the basis that ‘some of the questions also focus on social issues, such as name calling, which I felt may upset some children having to discuss. </w:t>
      </w:r>
    </w:p>
  </w:footnote>
  <w:footnote w:id="74">
    <w:p w14:paraId="103C38FA" w14:textId="77777777" w:rsidR="003142CE" w:rsidRDefault="003142CE" w:rsidP="00BE2C1D">
      <w:pPr>
        <w:pStyle w:val="FootnoteText"/>
      </w:pPr>
      <w:r>
        <w:rPr>
          <w:rStyle w:val="FootnoteReference"/>
        </w:rPr>
        <w:footnoteRef/>
      </w:r>
      <w:r>
        <w:t xml:space="preserve"> For an application of reflexivity of discomfort in educational research and insider/outsider positionality see Hamdan 2010. </w:t>
      </w:r>
    </w:p>
  </w:footnote>
  <w:footnote w:id="75">
    <w:p w14:paraId="71627C4D" w14:textId="77777777" w:rsidR="003142CE" w:rsidRDefault="003142CE" w:rsidP="00BE2C1D">
      <w:pPr>
        <w:pStyle w:val="FootnoteText"/>
        <w:rPr>
          <w:rFonts w:ascii="Calibri" w:hAnsi="Calibri" w:cs="Calibri"/>
        </w:rPr>
      </w:pPr>
      <w:r>
        <w:rPr>
          <w:rFonts w:ascii="Calibri" w:hAnsi="Calibri" w:cs="Calibri"/>
        </w:rPr>
        <w:t>R</w:t>
      </w:r>
      <w:r w:rsidRPr="009928A3">
        <w:rPr>
          <w:rFonts w:ascii="Calibri" w:hAnsi="Calibri" w:cs="Calibri"/>
        </w:rPr>
        <w:t>eflexivity as recognition of self; reflexivity as recognition of other; reflexivity as truth; reflexivity as transcendence.</w:t>
      </w:r>
      <w:r>
        <w:rPr>
          <w:rFonts w:ascii="Calibri" w:hAnsi="Calibri" w:cs="Calibri"/>
        </w:rPr>
        <w:t xml:space="preserve"> Riessman (2015: 233) also discussed the idea of ‘multiple reflexivities’ in narrative research, proposing that  </w:t>
      </w:r>
    </w:p>
    <w:p w14:paraId="6A4779A0" w14:textId="77777777" w:rsidR="003142CE" w:rsidRDefault="003142CE" w:rsidP="00BE2C1D">
      <w:pPr>
        <w:pStyle w:val="FootnoteText"/>
        <w:ind w:left="720"/>
      </w:pPr>
      <w:r>
        <w:rPr>
          <w:rFonts w:ascii="Calibri" w:hAnsi="Calibri" w:cs="Calibri"/>
        </w:rPr>
        <w:t xml:space="preserve">some are tied to the inevitable co-construction of data, other to one’s personal biography and    circumstances; some are tied to one’s political positioning as the researcher, others involve revisiting one’s earlier work, and so on. (ibid)  </w:t>
      </w:r>
    </w:p>
  </w:footnote>
  <w:footnote w:id="76">
    <w:p w14:paraId="5311DF71" w14:textId="77777777" w:rsidR="003142CE" w:rsidRPr="004909AC" w:rsidRDefault="003142CE" w:rsidP="00BE2C1D">
      <w:pPr>
        <w:pStyle w:val="NormalWeb"/>
        <w:spacing w:after="0"/>
        <w:rPr>
          <w:rFonts w:asciiTheme="minorHAnsi" w:hAnsiTheme="minorHAnsi" w:cstheme="minorHAnsi"/>
          <w:sz w:val="20"/>
          <w:szCs w:val="20"/>
        </w:rPr>
      </w:pPr>
      <w:r w:rsidRPr="004909AC">
        <w:rPr>
          <w:rStyle w:val="FootnoteReference"/>
          <w:rFonts w:asciiTheme="minorHAnsi" w:eastAsiaTheme="minorEastAsia" w:hAnsiTheme="minorHAnsi" w:cstheme="minorHAnsi"/>
        </w:rPr>
        <w:footnoteRef/>
      </w:r>
      <w:r w:rsidRPr="004909AC">
        <w:rPr>
          <w:rFonts w:asciiTheme="minorHAnsi" w:hAnsiTheme="minorHAnsi" w:cstheme="minorHAnsi"/>
          <w:sz w:val="20"/>
          <w:szCs w:val="20"/>
        </w:rPr>
        <w:t xml:space="preserve"> </w:t>
      </w:r>
      <w:r>
        <w:rPr>
          <w:rFonts w:asciiTheme="minorHAnsi" w:hAnsiTheme="minorHAnsi" w:cstheme="minorHAnsi"/>
          <w:bCs/>
          <w:sz w:val="20"/>
          <w:szCs w:val="20"/>
        </w:rPr>
        <w:t>B</w:t>
      </w:r>
      <w:r w:rsidRPr="004909AC">
        <w:rPr>
          <w:rFonts w:asciiTheme="minorHAnsi" w:hAnsiTheme="minorHAnsi" w:cstheme="minorHAnsi"/>
          <w:bCs/>
          <w:sz w:val="20"/>
          <w:szCs w:val="20"/>
        </w:rPr>
        <w:t>iosocial associations are more likely to embrace a more complex epistemological position that has been described as a ‘coalition or hybridisation of experiential knowledge, lay expertise and counter-expertise’ (Hess 2004, 697) (</w:t>
      </w:r>
      <w:r>
        <w:rPr>
          <w:rFonts w:asciiTheme="minorHAnsi" w:hAnsiTheme="minorHAnsi" w:cstheme="minorHAnsi"/>
          <w:bCs/>
          <w:sz w:val="20"/>
          <w:szCs w:val="20"/>
        </w:rPr>
        <w:t xml:space="preserve">Hughes 2009: </w:t>
      </w:r>
      <w:r w:rsidRPr="004909AC">
        <w:rPr>
          <w:rFonts w:asciiTheme="minorHAnsi" w:hAnsiTheme="minorHAnsi" w:cstheme="minorHAnsi"/>
          <w:bCs/>
          <w:sz w:val="20"/>
          <w:szCs w:val="20"/>
        </w:rPr>
        <w:t>680)</w:t>
      </w:r>
      <w:r>
        <w:rPr>
          <w:rFonts w:asciiTheme="minorHAnsi" w:hAnsiTheme="minorHAnsi" w:cstheme="minorHAnsi"/>
          <w:bCs/>
          <w:sz w:val="20"/>
          <w:szCs w:val="20"/>
        </w:rPr>
        <w:t>.</w:t>
      </w:r>
      <w:r w:rsidRPr="004909AC">
        <w:rPr>
          <w:rFonts w:asciiTheme="minorHAnsi" w:hAnsiTheme="minorHAnsi" w:cstheme="minorHAnsi"/>
          <w:bCs/>
          <w:sz w:val="20"/>
          <w:szCs w:val="20"/>
        </w:rPr>
        <w:t xml:space="preserve"> </w:t>
      </w:r>
    </w:p>
  </w:footnote>
  <w:footnote w:id="77">
    <w:p w14:paraId="6FB5D69A" w14:textId="77777777" w:rsidR="003142CE" w:rsidRDefault="003142CE" w:rsidP="00BE2C1D">
      <w:pPr>
        <w:pStyle w:val="FootnoteText"/>
      </w:pPr>
      <w:r>
        <w:rPr>
          <w:rStyle w:val="FootnoteReference"/>
        </w:rPr>
        <w:footnoteRef/>
      </w:r>
      <w:r>
        <w:t xml:space="preserve"> Either themselves or in their family.</w:t>
      </w:r>
    </w:p>
  </w:footnote>
  <w:footnote w:id="78">
    <w:p w14:paraId="2DF6C902" w14:textId="77777777" w:rsidR="003142CE" w:rsidRDefault="003142CE" w:rsidP="00BE2C1D">
      <w:pPr>
        <w:pStyle w:val="FootnoteText"/>
      </w:pPr>
      <w:r>
        <w:rPr>
          <w:rStyle w:val="FootnoteReference"/>
        </w:rPr>
        <w:footnoteRef/>
      </w:r>
      <w:r>
        <w:t xml:space="preserve"> Alcoff (1991) sets out four interrogative practices, but I only draw on two of them here. </w:t>
      </w:r>
    </w:p>
  </w:footnote>
  <w:footnote w:id="79">
    <w:p w14:paraId="6F8A1D54" w14:textId="77777777" w:rsidR="003142CE" w:rsidRDefault="003142CE" w:rsidP="00BE2C1D">
      <w:pPr>
        <w:pStyle w:val="FootnoteText"/>
      </w:pPr>
      <w:r>
        <w:rPr>
          <w:rStyle w:val="FootnoteReference"/>
        </w:rPr>
        <w:footnoteRef/>
      </w:r>
      <w:r>
        <w:t xml:space="preserve"> Charlton (1998: 128) refers to the ‘innate inability of able-bodied people, regardless of fancy credentials and awards, to understand the disability experience. </w:t>
      </w:r>
    </w:p>
  </w:footnote>
  <w:footnote w:id="80">
    <w:p w14:paraId="209403EC" w14:textId="77777777" w:rsidR="003142CE" w:rsidRDefault="003142CE" w:rsidP="00BE2C1D">
      <w:pPr>
        <w:pStyle w:val="FootnoteText"/>
      </w:pPr>
      <w:r>
        <w:rPr>
          <w:rStyle w:val="FootnoteReference"/>
        </w:rPr>
        <w:footnoteRef/>
      </w:r>
      <w:r>
        <w:t xml:space="preserve"> The underlying assumption being that a disabled researcher will have a better insight into disability experience than non-disabled researchers. </w:t>
      </w:r>
    </w:p>
  </w:footnote>
  <w:footnote w:id="81">
    <w:p w14:paraId="6967377E" w14:textId="77777777" w:rsidR="003142CE" w:rsidRDefault="003142CE" w:rsidP="00BE2C1D">
      <w:pPr>
        <w:pStyle w:val="FootnoteText"/>
      </w:pPr>
      <w:r>
        <w:rPr>
          <w:rStyle w:val="FootnoteReference"/>
        </w:rPr>
        <w:footnoteRef/>
      </w:r>
      <w:r>
        <w:t xml:space="preserve"> If we are to maintain this binary.</w:t>
      </w:r>
    </w:p>
  </w:footnote>
  <w:footnote w:id="82">
    <w:p w14:paraId="37C8D6E8" w14:textId="77777777" w:rsidR="003142CE" w:rsidRDefault="003142CE" w:rsidP="00BE2C1D">
      <w:pPr>
        <w:pStyle w:val="FootnoteText"/>
      </w:pPr>
      <w:r>
        <w:rPr>
          <w:rStyle w:val="FootnoteReference"/>
        </w:rPr>
        <w:footnoteRef/>
      </w:r>
      <w:r>
        <w:t xml:space="preserve"> Here I am thinking beyond the minimalization of harm through anonymisation and confidentiality. </w:t>
      </w:r>
    </w:p>
  </w:footnote>
  <w:footnote w:id="83">
    <w:p w14:paraId="2EE95EF8" w14:textId="77777777" w:rsidR="003142CE" w:rsidRDefault="003142CE" w:rsidP="00BE2C1D">
      <w:pPr>
        <w:pStyle w:val="FootnoteText"/>
      </w:pPr>
      <w:r>
        <w:rPr>
          <w:rStyle w:val="FootnoteReference"/>
        </w:rPr>
        <w:footnoteRef/>
      </w:r>
      <w:r>
        <w:t xml:space="preserve"> Designed for and with the normatively developing child in mind (Hamraie 2017; Imrie 2003). </w:t>
      </w:r>
    </w:p>
  </w:footnote>
  <w:footnote w:id="84">
    <w:p w14:paraId="49ED1E05" w14:textId="77777777" w:rsidR="003142CE" w:rsidRPr="00650963" w:rsidRDefault="003142CE" w:rsidP="00BE2C1D">
      <w:pPr>
        <w:rPr>
          <w:sz w:val="20"/>
          <w:szCs w:val="20"/>
        </w:rPr>
      </w:pPr>
      <w:r w:rsidRPr="00650963">
        <w:rPr>
          <w:rStyle w:val="FootnoteReference"/>
          <w:sz w:val="20"/>
          <w:szCs w:val="20"/>
        </w:rPr>
        <w:footnoteRef/>
      </w:r>
      <w:r w:rsidRPr="00650963">
        <w:rPr>
          <w:sz w:val="20"/>
          <w:szCs w:val="20"/>
        </w:rPr>
        <w:t xml:space="preserve"> For exceptions: Skelton and Valentine 2003; Holt 2004; 2007. </w:t>
      </w:r>
    </w:p>
    <w:p w14:paraId="28A57C10" w14:textId="77777777" w:rsidR="003142CE" w:rsidRDefault="003142CE" w:rsidP="00BE2C1D">
      <w:pPr>
        <w:pStyle w:val="FootnoteText"/>
      </w:pPr>
    </w:p>
  </w:footnote>
  <w:footnote w:id="85">
    <w:p w14:paraId="6F9527E8" w14:textId="77777777" w:rsidR="003142CE" w:rsidRDefault="003142CE" w:rsidP="00BE2C1D">
      <w:pPr>
        <w:pStyle w:val="FootnoteText"/>
      </w:pPr>
      <w:r>
        <w:rPr>
          <w:rStyle w:val="FootnoteReference"/>
        </w:rPr>
        <w:footnoteRef/>
      </w:r>
      <w:r>
        <w:t xml:space="preserve"> Therefore, geographic maturity also proves to be a useful concept for DCCS, as they both recognise disabled young people’s agency. </w:t>
      </w:r>
    </w:p>
  </w:footnote>
  <w:footnote w:id="86">
    <w:p w14:paraId="4828F507" w14:textId="77777777" w:rsidR="003142CE" w:rsidRDefault="003142CE" w:rsidP="00BE2C1D">
      <w:pPr>
        <w:pStyle w:val="FootnoteText"/>
      </w:pPr>
      <w:r>
        <w:rPr>
          <w:rStyle w:val="FootnoteReference"/>
        </w:rPr>
        <w:footnoteRef/>
      </w:r>
      <w:r>
        <w:t xml:space="preserve"> Goodley and Runswick-Cole (2010b: 499) also discussed how developmental psychology perpetuates ‘</w:t>
      </w:r>
      <w:r w:rsidRPr="00FF297F">
        <w:t>a dominant discourse of the disabled child as a non</w:t>
      </w:r>
      <w:r>
        <w:t>-</w:t>
      </w:r>
      <w:r w:rsidRPr="00FF297F">
        <w:t>playing object that requires professional therapeutic intervention.</w:t>
      </w:r>
      <w:r>
        <w:t>’</w:t>
      </w:r>
    </w:p>
  </w:footnote>
  <w:footnote w:id="87">
    <w:p w14:paraId="664CF039" w14:textId="77777777" w:rsidR="003142CE" w:rsidRDefault="003142CE" w:rsidP="00BE2C1D">
      <w:pPr>
        <w:pStyle w:val="FootnoteText"/>
      </w:pPr>
      <w:r>
        <w:rPr>
          <w:rStyle w:val="FootnoteReference"/>
        </w:rPr>
        <w:footnoteRef/>
      </w:r>
      <w:r>
        <w:t xml:space="preserve"> I use ‘option’, because the participants were implicitly compelled to use other spaces than the playground, as indicated in their stories. </w:t>
      </w:r>
    </w:p>
  </w:footnote>
  <w:footnote w:id="88">
    <w:p w14:paraId="30A89D04" w14:textId="77777777" w:rsidR="003142CE" w:rsidRDefault="003142CE" w:rsidP="00BE2C1D">
      <w:pPr>
        <w:pStyle w:val="FootnoteText"/>
      </w:pPr>
      <w:r>
        <w:rPr>
          <w:rStyle w:val="FootnoteReference"/>
        </w:rPr>
        <w:footnoteRef/>
      </w:r>
      <w:r>
        <w:t xml:space="preserve"> My use of the term gender-binary toilets is made for two reasons: 1. to show how disabled toilets are ‘genderless’ in opposition to gender-binary toilets 2. consider gender-binary toilets as performative, productive spaces of the gender binary (Rassmussen 2009). </w:t>
      </w:r>
    </w:p>
  </w:footnote>
  <w:footnote w:id="89">
    <w:p w14:paraId="4F9C61EB" w14:textId="77777777" w:rsidR="003142CE" w:rsidRDefault="003142CE" w:rsidP="00BE2C1D">
      <w:pPr>
        <w:pStyle w:val="FootnoteText"/>
      </w:pPr>
      <w:r>
        <w:rPr>
          <w:rStyle w:val="FootnoteReference"/>
        </w:rPr>
        <w:footnoteRef/>
      </w:r>
      <w:r>
        <w:t xml:space="preserve"> Harry was one of the few participants who referred to the non-disabled toilets as the ‘main’ ones. </w:t>
      </w:r>
    </w:p>
  </w:footnote>
  <w:footnote w:id="90">
    <w:p w14:paraId="3D654871" w14:textId="77777777" w:rsidR="003142CE" w:rsidRDefault="003142CE" w:rsidP="00BE2C1D">
      <w:pPr>
        <w:pStyle w:val="FootnoteText"/>
      </w:pPr>
      <w:r>
        <w:rPr>
          <w:rStyle w:val="FootnoteReference"/>
        </w:rPr>
        <w:footnoteRef/>
      </w:r>
      <w:r>
        <w:t xml:space="preserve"> Who sometimes are of similar height to people with RG. </w:t>
      </w:r>
    </w:p>
  </w:footnote>
  <w:footnote w:id="91">
    <w:p w14:paraId="7198E93F" w14:textId="77777777" w:rsidR="003142CE" w:rsidRDefault="003142CE" w:rsidP="00BE2C1D">
      <w:pPr>
        <w:pStyle w:val="FootnoteText"/>
      </w:pPr>
      <w:r>
        <w:rPr>
          <w:rStyle w:val="FootnoteReference"/>
        </w:rPr>
        <w:footnoteRef/>
      </w:r>
      <w:r>
        <w:t xml:space="preserve"> Having said that, I acknowledge that my reference to gender-binary toilets might be an adult-centric notion</w:t>
      </w:r>
    </w:p>
  </w:footnote>
  <w:footnote w:id="92">
    <w:p w14:paraId="1238F9B2" w14:textId="77777777" w:rsidR="003142CE" w:rsidRDefault="003142CE" w:rsidP="00BE2C1D">
      <w:pPr>
        <w:pStyle w:val="FootnoteText"/>
      </w:pPr>
      <w:r>
        <w:rPr>
          <w:rStyle w:val="FootnoteReference"/>
        </w:rPr>
        <w:footnoteRef/>
      </w:r>
      <w:r>
        <w:t xml:space="preserve"> Harry had also referred to his preference to cubicle toilets. </w:t>
      </w:r>
    </w:p>
  </w:footnote>
  <w:footnote w:id="93">
    <w:p w14:paraId="2ECFD30B" w14:textId="77777777" w:rsidR="003142CE" w:rsidRDefault="003142CE" w:rsidP="00BE2C1D">
      <w:pPr>
        <w:pStyle w:val="FootnoteText"/>
      </w:pPr>
      <w:r>
        <w:rPr>
          <w:rStyle w:val="FootnoteReference"/>
        </w:rPr>
        <w:footnoteRef/>
      </w:r>
      <w:r>
        <w:t xml:space="preserve"> Spatialisation is a technology of surveillance, considering how space is set out in such ways to classify bodies and position them under surveillance. The term is further explained in the next chapter. </w:t>
      </w:r>
    </w:p>
  </w:footnote>
  <w:footnote w:id="94">
    <w:p w14:paraId="75E01B5E" w14:textId="77777777" w:rsidR="003142CE" w:rsidRDefault="003142CE" w:rsidP="00BE2C1D">
      <w:pPr>
        <w:pStyle w:val="FootnoteText"/>
      </w:pPr>
      <w:r>
        <w:rPr>
          <w:rStyle w:val="FootnoteReference"/>
        </w:rPr>
        <w:footnoteRef/>
      </w:r>
      <w:r>
        <w:t xml:space="preserve"> For a detailed discussion of the disabled children’s rights see Broach and Clements 2020. </w:t>
      </w:r>
    </w:p>
  </w:footnote>
  <w:footnote w:id="95">
    <w:p w14:paraId="3186E534" w14:textId="77777777" w:rsidR="003142CE" w:rsidRDefault="003142CE" w:rsidP="00BE2C1D">
      <w:pPr>
        <w:pStyle w:val="FootnoteText"/>
      </w:pPr>
      <w:r>
        <w:rPr>
          <w:rStyle w:val="FootnoteReference"/>
        </w:rPr>
        <w:footnoteRef/>
      </w:r>
      <w:r>
        <w:t xml:space="preserve"> </w:t>
      </w:r>
      <w:r>
        <w:rPr>
          <w:rStyle w:val="FootnoteReference"/>
        </w:rPr>
        <w:footnoteRef/>
      </w:r>
      <w:r>
        <w:t xml:space="preserve"> The following extracts are from an interview I had conducted with Mary in 2014 for my MA thesis. Consent for these extracts to be re-used was gained both by Mary and her mother. Besides the extracts in this section, there is one more on p. 149.    </w:t>
      </w:r>
    </w:p>
    <w:p w14:paraId="1F13BFB4" w14:textId="77777777" w:rsidR="003142CE" w:rsidRDefault="003142CE" w:rsidP="00BE2C1D">
      <w:pPr>
        <w:pStyle w:val="FootnoteText"/>
      </w:pPr>
    </w:p>
  </w:footnote>
  <w:footnote w:id="96">
    <w:p w14:paraId="1F2DDE79" w14:textId="341995E2" w:rsidR="003142CE" w:rsidRPr="008F4D34" w:rsidRDefault="003142CE" w:rsidP="00D34C1B">
      <w:pPr>
        <w:pStyle w:val="FootnoteText"/>
      </w:pPr>
      <w:r w:rsidRPr="008F4D34">
        <w:rPr>
          <w:rStyle w:val="FootnoteReference"/>
        </w:rPr>
        <w:footnoteRef/>
      </w:r>
      <w:r w:rsidRPr="008F4D34">
        <w:t xml:space="preserve"> It is worth clarifying that the term ‘statement’, which the participants used, has been replaced by the term ‘Educational Health Care Plan’ (EHCP), following the reform of the relevant policy in 2015 (DfE &amp; DoH 2015).  For a critical analysis of the EHCP and its implications for disabled young people see Hunter et al.’s (2019) article.    </w:t>
      </w:r>
    </w:p>
    <w:p w14:paraId="573E0DC7" w14:textId="77777777" w:rsidR="003142CE" w:rsidRDefault="003142CE" w:rsidP="001E646A">
      <w:pPr>
        <w:pStyle w:val="FootnoteText"/>
      </w:pPr>
    </w:p>
  </w:footnote>
  <w:footnote w:id="97">
    <w:p w14:paraId="53AE1EA0" w14:textId="77777777" w:rsidR="003142CE" w:rsidRDefault="003142CE" w:rsidP="00BE2C1D">
      <w:pPr>
        <w:pStyle w:val="FootnoteText"/>
      </w:pPr>
      <w:r>
        <w:rPr>
          <w:rStyle w:val="FootnoteReference"/>
        </w:rPr>
        <w:footnoteRef/>
      </w:r>
      <w:r>
        <w:t xml:space="preserve"> This includes the first two sections: ‘Support as A Double-Edged Sword’ and ‘Support and In/dependence’.</w:t>
      </w:r>
      <w:r w:rsidRPr="00017B64">
        <w:t xml:space="preserve"> </w:t>
      </w:r>
    </w:p>
  </w:footnote>
  <w:footnote w:id="98">
    <w:p w14:paraId="59D9CFD8" w14:textId="77777777" w:rsidR="003142CE" w:rsidRDefault="003142CE" w:rsidP="00BE2C1D">
      <w:pPr>
        <w:pStyle w:val="FootnoteText"/>
      </w:pPr>
      <w:r>
        <w:rPr>
          <w:rStyle w:val="FootnoteReference"/>
        </w:rPr>
        <w:footnoteRef/>
      </w:r>
      <w:r>
        <w:t xml:space="preserve"> An increase in the number of TAs has been noted in other countries too, such as Belgium (Mortier et al. 2011), USA (Giangreco et al. 1997), New Zealand (Rutherford 2012).</w:t>
      </w:r>
    </w:p>
  </w:footnote>
  <w:footnote w:id="99">
    <w:p w14:paraId="140764A4" w14:textId="77777777" w:rsidR="003142CE" w:rsidRDefault="003142CE" w:rsidP="00BE2C1D">
      <w:pPr>
        <w:pStyle w:val="FootnoteText"/>
      </w:pPr>
      <w:r>
        <w:rPr>
          <w:rStyle w:val="FootnoteReference"/>
        </w:rPr>
        <w:footnoteRef/>
      </w:r>
      <w:r>
        <w:t xml:space="preserve"> Barker et al. (2010) referred to such segregated spaces as a form of ‘internal exclusion’. </w:t>
      </w:r>
    </w:p>
  </w:footnote>
  <w:footnote w:id="100">
    <w:p w14:paraId="7AACB2E1" w14:textId="77777777" w:rsidR="003142CE" w:rsidRDefault="003142CE" w:rsidP="00BE2C1D">
      <w:pPr>
        <w:pStyle w:val="FootnoteText"/>
      </w:pPr>
      <w:r>
        <w:rPr>
          <w:rStyle w:val="FootnoteReference"/>
        </w:rPr>
        <w:footnoteRef/>
      </w:r>
      <w:r>
        <w:t xml:space="preserve"> Here I am looking at articles and chapters focusing explicitly on this topic (TAs’ support) rather than TAs’ support being a ‘theme’ or a finding in research about the educational experiences of disabled young people (e.g. McLaughlin and Coleman-Fountain, 2018) The latter is integrated in the analysis of the stories.</w:t>
      </w:r>
    </w:p>
  </w:footnote>
  <w:footnote w:id="101">
    <w:p w14:paraId="4E5750A2" w14:textId="77777777" w:rsidR="003142CE" w:rsidRPr="00C42204" w:rsidRDefault="003142CE" w:rsidP="00BE2C1D">
      <w:pPr>
        <w:spacing w:line="240" w:lineRule="auto"/>
        <w:jc w:val="both"/>
        <w:rPr>
          <w:rFonts w:ascii="Calibri" w:hAnsi="Calibri" w:cs="Calibri"/>
          <w:color w:val="FF0000"/>
          <w:sz w:val="20"/>
          <w:szCs w:val="20"/>
        </w:rPr>
      </w:pPr>
      <w:r>
        <w:rPr>
          <w:rStyle w:val="FootnoteReference"/>
        </w:rPr>
        <w:footnoteRef/>
      </w:r>
      <w:r>
        <w:t xml:space="preserve"> </w:t>
      </w:r>
      <w:r w:rsidRPr="00E25858">
        <w:rPr>
          <w:rFonts w:ascii="Calibri" w:hAnsi="Calibri" w:cs="Calibri"/>
          <w:sz w:val="20"/>
          <w:szCs w:val="20"/>
        </w:rPr>
        <w:t>USA: Broer et al. 2005, Canada: Tews and Lupart 2008, Sweden: Hemmingson et al. 2003; Skar and Tamm 2001, Iceland: Egilson and Traustadottir 2009</w:t>
      </w:r>
      <w:r>
        <w:rPr>
          <w:rFonts w:ascii="Calibri" w:hAnsi="Calibri" w:cs="Calibri"/>
          <w:sz w:val="20"/>
          <w:szCs w:val="20"/>
        </w:rPr>
        <w:t>,</w:t>
      </w:r>
      <w:r w:rsidRPr="00E25858">
        <w:rPr>
          <w:rFonts w:ascii="Calibri" w:hAnsi="Calibri" w:cs="Calibri"/>
          <w:sz w:val="20"/>
          <w:szCs w:val="20"/>
        </w:rPr>
        <w:t xml:space="preserve"> Belgium: Mortier et al. 2010, 2011</w:t>
      </w:r>
      <w:r>
        <w:rPr>
          <w:rFonts w:ascii="Calibri" w:hAnsi="Calibri" w:cs="Calibri"/>
          <w:sz w:val="20"/>
          <w:szCs w:val="20"/>
        </w:rPr>
        <w:t>)</w:t>
      </w:r>
      <w:r w:rsidRPr="00E25858">
        <w:rPr>
          <w:rFonts w:ascii="Calibri" w:hAnsi="Calibri" w:cs="Calibri"/>
          <w:sz w:val="20"/>
          <w:szCs w:val="20"/>
        </w:rPr>
        <w:t xml:space="preserve"> </w:t>
      </w:r>
    </w:p>
  </w:footnote>
  <w:footnote w:id="102">
    <w:p w14:paraId="06BD2A1A" w14:textId="77777777" w:rsidR="003142CE" w:rsidRDefault="003142CE" w:rsidP="00BE2C1D">
      <w:pPr>
        <w:pStyle w:val="FootnoteText"/>
      </w:pPr>
      <w:r>
        <w:rPr>
          <w:rStyle w:val="FootnoteReference"/>
        </w:rPr>
        <w:footnoteRef/>
      </w:r>
      <w:r>
        <w:t xml:space="preserve"> On the issue of proximity see Giangreco et al. 1997 and Hemmingson et al. 2003) </w:t>
      </w:r>
    </w:p>
  </w:footnote>
  <w:footnote w:id="103">
    <w:p w14:paraId="2204D35B" w14:textId="77777777" w:rsidR="003142CE" w:rsidRDefault="003142CE" w:rsidP="00BE2C1D">
      <w:pPr>
        <w:pStyle w:val="FootnoteText"/>
      </w:pPr>
      <w:r>
        <w:rPr>
          <w:rStyle w:val="FootnoteReference"/>
        </w:rPr>
        <w:footnoteRef/>
      </w:r>
      <w:r>
        <w:t xml:space="preserve"> This perception of TAs as mothers also indicates the gendered labour of TAs, which was also mentioned earlier.</w:t>
      </w:r>
      <w:r w:rsidRPr="00E82CE8">
        <w:t xml:space="preserve"> </w:t>
      </w:r>
    </w:p>
  </w:footnote>
  <w:footnote w:id="104">
    <w:p w14:paraId="2E2D0E78" w14:textId="77777777" w:rsidR="003142CE" w:rsidRDefault="003142CE" w:rsidP="00BE2C1D">
      <w:pPr>
        <w:pStyle w:val="FootnoteText"/>
      </w:pPr>
      <w:r>
        <w:rPr>
          <w:rStyle w:val="FootnoteReference"/>
        </w:rPr>
        <w:footnoteRef/>
      </w:r>
      <w:r>
        <w:t xml:space="preserve"> Such as teachers, SENCOs and parents.</w:t>
      </w:r>
    </w:p>
  </w:footnote>
  <w:footnote w:id="105">
    <w:p w14:paraId="1190E538" w14:textId="77777777" w:rsidR="003142CE" w:rsidRDefault="003142CE" w:rsidP="00BE2C1D">
      <w:pPr>
        <w:pStyle w:val="FootnoteText"/>
      </w:pPr>
      <w:r>
        <w:rPr>
          <w:rStyle w:val="FootnoteReference"/>
        </w:rPr>
        <w:footnoteRef/>
      </w:r>
      <w:r>
        <w:t xml:space="preserve"> This was demonstrated, for instance, in the previous analysis chapter.</w:t>
      </w:r>
    </w:p>
  </w:footnote>
  <w:footnote w:id="106">
    <w:p w14:paraId="7EB63DBA" w14:textId="77777777" w:rsidR="003142CE" w:rsidRDefault="003142CE" w:rsidP="00BE2C1D">
      <w:pPr>
        <w:pStyle w:val="FootnoteText"/>
      </w:pPr>
      <w:r>
        <w:rPr>
          <w:rStyle w:val="FootnoteReference"/>
        </w:rPr>
        <w:footnoteRef/>
      </w:r>
      <w:r>
        <w:t xml:space="preserve"> SENCOs.</w:t>
      </w:r>
    </w:p>
  </w:footnote>
  <w:footnote w:id="107">
    <w:p w14:paraId="306B051A" w14:textId="77777777" w:rsidR="003142CE" w:rsidRDefault="003142CE" w:rsidP="00BE2C1D">
      <w:pPr>
        <w:pStyle w:val="FootnoteText"/>
      </w:pPr>
      <w:r>
        <w:rPr>
          <w:rStyle w:val="FootnoteReference"/>
        </w:rPr>
        <w:footnoteRef/>
      </w:r>
      <w:r>
        <w:t xml:space="preserve"> The missing parts are the acts of resistance that are discussed in the following chapter. </w:t>
      </w:r>
    </w:p>
  </w:footnote>
  <w:footnote w:id="108">
    <w:p w14:paraId="14AF8C17" w14:textId="77777777" w:rsidR="003142CE" w:rsidRDefault="003142CE" w:rsidP="00BE2C1D">
      <w:pPr>
        <w:pStyle w:val="FootnoteText"/>
      </w:pPr>
      <w:r>
        <w:rPr>
          <w:rStyle w:val="FootnoteReference"/>
        </w:rPr>
        <w:footnoteRef/>
      </w:r>
      <w:r>
        <w:t xml:space="preserve"> She meant TA here.</w:t>
      </w:r>
    </w:p>
  </w:footnote>
  <w:footnote w:id="109">
    <w:p w14:paraId="2D9E196F" w14:textId="77777777" w:rsidR="003142CE" w:rsidRDefault="003142CE" w:rsidP="00BE2C1D">
      <w:pPr>
        <w:pStyle w:val="FootnoteText"/>
      </w:pPr>
      <w:r>
        <w:rPr>
          <w:rStyle w:val="FootnoteReference"/>
        </w:rPr>
        <w:footnoteRef/>
      </w:r>
      <w:r>
        <w:t xml:space="preserve"> The use of visual metaphors is intentional, as it demonstrates the occularcentrism of surveillance. </w:t>
      </w:r>
    </w:p>
  </w:footnote>
  <w:footnote w:id="110">
    <w:p w14:paraId="25429151" w14:textId="77777777" w:rsidR="003142CE" w:rsidRDefault="003142CE" w:rsidP="00BE2C1D">
      <w:pPr>
        <w:pStyle w:val="FootnoteText"/>
      </w:pPr>
      <w:r>
        <w:rPr>
          <w:rStyle w:val="FootnoteReference"/>
        </w:rPr>
        <w:footnoteRef/>
      </w:r>
      <w:r>
        <w:t xml:space="preserve"> Surveillance exercised through sight.</w:t>
      </w:r>
    </w:p>
  </w:footnote>
  <w:footnote w:id="111">
    <w:p w14:paraId="05CD89AD" w14:textId="77777777" w:rsidR="003142CE" w:rsidRDefault="003142CE" w:rsidP="00BE2C1D">
      <w:pPr>
        <w:pStyle w:val="FootnoteText"/>
      </w:pPr>
      <w:r>
        <w:rPr>
          <w:rStyle w:val="FootnoteReference"/>
        </w:rPr>
        <w:footnoteRef/>
      </w:r>
      <w:r>
        <w:t xml:space="preserve"> Surveillance exercised through the sense of hearing. </w:t>
      </w:r>
    </w:p>
  </w:footnote>
  <w:footnote w:id="112">
    <w:p w14:paraId="39275CA2" w14:textId="77777777" w:rsidR="003142CE" w:rsidRDefault="003142CE" w:rsidP="00BE2C1D">
      <w:pPr>
        <w:pStyle w:val="FootnoteText"/>
      </w:pPr>
      <w:r>
        <w:rPr>
          <w:rStyle w:val="FootnoteReference"/>
        </w:rPr>
        <w:footnoteRef/>
      </w:r>
      <w:r>
        <w:t xml:space="preserve"> Allan (2008) referred to a boy with the physical impairment refusing to go to the toilet with his TA, but due to his refusal he presented medical problems.  </w:t>
      </w:r>
    </w:p>
  </w:footnote>
  <w:footnote w:id="113">
    <w:p w14:paraId="361981D4" w14:textId="77777777" w:rsidR="003142CE" w:rsidRDefault="003142CE" w:rsidP="00BE2C1D">
      <w:pPr>
        <w:pStyle w:val="FootnoteText"/>
      </w:pPr>
      <w:r>
        <w:rPr>
          <w:rStyle w:val="FootnoteReference"/>
        </w:rPr>
        <w:footnoteRef/>
      </w:r>
      <w:r>
        <w:t xml:space="preserve"> Referring to the two first volumes of his history of sexuality. </w:t>
      </w:r>
    </w:p>
  </w:footnote>
  <w:footnote w:id="114">
    <w:p w14:paraId="0B9666BA" w14:textId="77777777" w:rsidR="003142CE" w:rsidRDefault="003142CE" w:rsidP="00BE2C1D">
      <w:pPr>
        <w:pStyle w:val="FootnoteText"/>
      </w:pPr>
      <w:r>
        <w:rPr>
          <w:rStyle w:val="FootnoteReference"/>
        </w:rPr>
        <w:footnoteRef/>
      </w:r>
      <w:r>
        <w:t xml:space="preserve"> Seven types of resistance.</w:t>
      </w:r>
    </w:p>
  </w:footnote>
  <w:footnote w:id="115">
    <w:p w14:paraId="23EFB6B4" w14:textId="77777777" w:rsidR="003142CE" w:rsidRDefault="003142CE" w:rsidP="00BE2C1D">
      <w:pPr>
        <w:pStyle w:val="FootnoteText"/>
      </w:pPr>
      <w:r>
        <w:rPr>
          <w:rStyle w:val="FootnoteReference"/>
        </w:rPr>
        <w:footnoteRef/>
      </w:r>
      <w:r>
        <w:t xml:space="preserve"> I use ‘them’ as I am unaware of the TA’s gender.</w:t>
      </w:r>
    </w:p>
  </w:footnote>
  <w:footnote w:id="116">
    <w:p w14:paraId="3E40D5A8" w14:textId="77777777" w:rsidR="003142CE" w:rsidRDefault="003142CE" w:rsidP="00BE2C1D">
      <w:pPr>
        <w:pStyle w:val="FootnoteText"/>
      </w:pPr>
      <w:r>
        <w:rPr>
          <w:rStyle w:val="FootnoteReference"/>
        </w:rPr>
        <w:footnoteRef/>
      </w:r>
      <w:r>
        <w:t xml:space="preserve"> Due to their role, TAs (especially one-to-one TAs) performed ‘close’ surveillance, whereas teachers could only perform surveillance ‘from distance’. </w:t>
      </w:r>
    </w:p>
  </w:footnote>
  <w:footnote w:id="117">
    <w:p w14:paraId="585165B2" w14:textId="77777777" w:rsidR="003142CE" w:rsidRPr="00CD6C6C" w:rsidRDefault="003142CE" w:rsidP="00BE2C1D">
      <w:pPr>
        <w:pStyle w:val="FootnoteText"/>
      </w:pPr>
      <w:r>
        <w:rPr>
          <w:rStyle w:val="FootnoteReference"/>
        </w:rPr>
        <w:footnoteRef/>
      </w:r>
      <w:r>
        <w:t xml:space="preserve"> However, in his discussion of social dys-appearance, Leder (1990) referred to women’s dys-appearance due to the male, objectifying gaze, which was illustrative of the mundane sexism they deal with compared to men.</w:t>
      </w:r>
    </w:p>
  </w:footnote>
  <w:footnote w:id="118">
    <w:p w14:paraId="45B74B6F" w14:textId="77777777" w:rsidR="003142CE" w:rsidRPr="00A624E4" w:rsidRDefault="003142CE" w:rsidP="00BE2C1D">
      <w:pPr>
        <w:pStyle w:val="FootnoteText"/>
      </w:pPr>
      <w:r w:rsidRPr="00A624E4">
        <w:rPr>
          <w:rStyle w:val="FootnoteReference"/>
        </w:rPr>
        <w:footnoteRef/>
      </w:r>
      <w:r w:rsidRPr="00A624E4">
        <w:t xml:space="preserve"> I have left race out of this intersectional analysis, as all the participants were White. </w:t>
      </w:r>
    </w:p>
  </w:footnote>
  <w:footnote w:id="119">
    <w:p w14:paraId="23D5BF23" w14:textId="77777777" w:rsidR="003142CE" w:rsidRDefault="003142CE" w:rsidP="00BE2C1D">
      <w:pPr>
        <w:pStyle w:val="FootnoteText"/>
      </w:pPr>
      <w:r>
        <w:rPr>
          <w:rStyle w:val="FootnoteReference"/>
        </w:rPr>
        <w:footnoteRef/>
      </w:r>
      <w:r>
        <w:t xml:space="preserve"> I use bold letters to recognise moments of resistance. </w:t>
      </w:r>
    </w:p>
  </w:footnote>
  <w:footnote w:id="120">
    <w:p w14:paraId="5A126513" w14:textId="77777777" w:rsidR="003142CE" w:rsidRDefault="003142CE" w:rsidP="00BE2C1D">
      <w:pPr>
        <w:pStyle w:val="FootnoteText"/>
      </w:pPr>
      <w:r>
        <w:rPr>
          <w:rStyle w:val="FootnoteReference"/>
        </w:rPr>
        <w:footnoteRef/>
      </w:r>
      <w:r>
        <w:t xml:space="preserve"> This is an extract from the interview I had conducted with Mary in 2014 for my MA thesis. Consent for this extract to be re-used was gained both by Mary and her mother. </w:t>
      </w:r>
    </w:p>
  </w:footnote>
  <w:footnote w:id="121">
    <w:p w14:paraId="0EBC6F0F" w14:textId="77777777" w:rsidR="003142CE" w:rsidRDefault="003142CE" w:rsidP="00BE2C1D">
      <w:pPr>
        <w:pStyle w:val="FootnoteText"/>
      </w:pPr>
      <w:r>
        <w:rPr>
          <w:rStyle w:val="FootnoteReference"/>
        </w:rPr>
        <w:footnoteRef/>
      </w:r>
      <w:r>
        <w:t xml:space="preserve"> It refers to the stool Mary had to carry from one class to another. </w:t>
      </w:r>
    </w:p>
  </w:footnote>
  <w:footnote w:id="122">
    <w:p w14:paraId="6DFD4E2A" w14:textId="77777777" w:rsidR="003142CE" w:rsidRDefault="003142CE" w:rsidP="00BE2C1D">
      <w:pPr>
        <w:pStyle w:val="FootnoteText"/>
      </w:pPr>
      <w:r>
        <w:rPr>
          <w:rStyle w:val="FootnoteReference"/>
        </w:rPr>
        <w:footnoteRef/>
      </w:r>
      <w:r>
        <w:t xml:space="preserve"> </w:t>
      </w:r>
      <w:r w:rsidRPr="00780483">
        <w:t xml:space="preserve">  It is worth clarifying that Price’s discussion of crip time focused on the context of higher education (see also Isaacs 2020). The discussion of normative ableist time/crip time here refers to the context of secondary education and is also informed by Foucault’s (1982: 218) description of schools, with timeframes belonging to ‘the meticulous regulations which govern its internal life’.</w:t>
      </w:r>
    </w:p>
  </w:footnote>
  <w:footnote w:id="123">
    <w:p w14:paraId="29AC988C" w14:textId="77777777" w:rsidR="003142CE" w:rsidRDefault="003142CE" w:rsidP="00BE2C1D">
      <w:pPr>
        <w:pStyle w:val="FootnoteText"/>
      </w:pPr>
      <w:r>
        <w:rPr>
          <w:rStyle w:val="FootnoteReference"/>
        </w:rPr>
        <w:footnoteRef/>
      </w:r>
      <w:r>
        <w:t xml:space="preserve"> The use of ocularcentric metaphor as a way to consider ableist language (McKnight and Whitburn 2017). </w:t>
      </w:r>
    </w:p>
  </w:footnote>
  <w:footnote w:id="124">
    <w:p w14:paraId="5D64ECED" w14:textId="77777777" w:rsidR="003142CE" w:rsidRDefault="003142CE" w:rsidP="00BE2C1D">
      <w:pPr>
        <w:pStyle w:val="FootnoteText"/>
      </w:pPr>
      <w:r>
        <w:rPr>
          <w:rStyle w:val="FootnoteReference"/>
        </w:rPr>
        <w:footnoteRef/>
      </w:r>
      <w:r>
        <w:t xml:space="preserve"> Worth noting the exclusion of disability from the discussion (Flintoff et al. 2008).</w:t>
      </w:r>
    </w:p>
  </w:footnote>
  <w:footnote w:id="125">
    <w:p w14:paraId="03E2378A" w14:textId="77777777" w:rsidR="003142CE" w:rsidRPr="009C4377" w:rsidRDefault="003142CE" w:rsidP="00BE2C1D">
      <w:pPr>
        <w:pStyle w:val="FootnoteText"/>
      </w:pPr>
      <w:r w:rsidRPr="009C4377">
        <w:rPr>
          <w:rStyle w:val="FootnoteReference"/>
        </w:rPr>
        <w:footnoteRef/>
      </w:r>
      <w:r w:rsidRPr="009C4377">
        <w:t xml:space="preserve"> According to Zeiler (2010: 334.), eu-apperance is ‘the opposite of bodily dys-appearance, i.e. on bodily modes of being where the body appears to the subject as something good, easy or well.’</w:t>
      </w:r>
    </w:p>
  </w:footnote>
  <w:footnote w:id="126">
    <w:p w14:paraId="18794AC7" w14:textId="77777777" w:rsidR="003142CE" w:rsidRDefault="003142CE" w:rsidP="00BE2C1D">
      <w:pPr>
        <w:pStyle w:val="FootnoteText"/>
      </w:pPr>
      <w:r>
        <w:rPr>
          <w:rStyle w:val="FootnoteReference"/>
        </w:rPr>
        <w:footnoteRef/>
      </w:r>
      <w:r>
        <w:t xml:space="preserve"> Whether interviews in person or Skype interviews. </w:t>
      </w:r>
    </w:p>
  </w:footnote>
  <w:footnote w:id="127">
    <w:p w14:paraId="00367D21" w14:textId="77777777" w:rsidR="003142CE" w:rsidRDefault="003142CE" w:rsidP="00BE2C1D">
      <w:pPr>
        <w:pStyle w:val="FootnoteText"/>
      </w:pPr>
      <w:r>
        <w:rPr>
          <w:rStyle w:val="FootnoteReference"/>
        </w:rPr>
        <w:footnoteRef/>
      </w:r>
      <w:r>
        <w:t xml:space="preserve"> Other groups include LGBTQ and racialised young people.  </w:t>
      </w:r>
    </w:p>
  </w:footnote>
  <w:footnote w:id="128">
    <w:p w14:paraId="456AFD61" w14:textId="77777777" w:rsidR="003142CE" w:rsidRDefault="003142CE" w:rsidP="00BE2C1D">
      <w:pPr>
        <w:pStyle w:val="FootnoteText"/>
      </w:pPr>
      <w:r>
        <w:rPr>
          <w:rStyle w:val="FootnoteReference"/>
        </w:rPr>
        <w:footnoteRef/>
      </w:r>
      <w:r>
        <w:t xml:space="preserve"> The certain story became widely known across the globe after the video going ‘viral’ (meaning that it was widely shared by a huge number of people in different social media platforms), triggering various responses e.g. fundraising for a trip to Disneyland, which the mother rejected and proposed the money to be given to grassroots organisations, and debates e.g. the ethical issues of recording a child under distress (Cokley, 2020). However, it is beyond the scope of this thesis to discuss this story in further detail. The reference to the story is made to demonstrate that school violence against disabled bodies, including those with RG, is a recurring phenomenon, with a heavy psychoemotional toll, as also shown in the stories of psycho-emotional violence. </w:t>
      </w:r>
    </w:p>
  </w:footnote>
  <w:footnote w:id="129">
    <w:p w14:paraId="34875A64" w14:textId="77777777" w:rsidR="003142CE" w:rsidRDefault="003142CE" w:rsidP="00BE2C1D">
      <w:pPr>
        <w:pStyle w:val="FootnoteText"/>
      </w:pPr>
      <w:r>
        <w:rPr>
          <w:rStyle w:val="FootnoteReference"/>
        </w:rPr>
        <w:footnoteRef/>
      </w:r>
      <w:r>
        <w:t xml:space="preserve"> Horton (2016a: 209, my emphasis) asserted:</w:t>
      </w:r>
    </w:p>
    <w:p w14:paraId="47A3829F" w14:textId="77777777" w:rsidR="003142CE" w:rsidRDefault="003142CE" w:rsidP="00BE2C1D">
      <w:pPr>
        <w:pStyle w:val="FootnoteText"/>
        <w:ind w:left="720"/>
      </w:pPr>
      <w:r>
        <w:t>“These definitional criteria have ensured that the dominant discourse on bullying is one that is  characterised by blame, with the focus on powerful, aggressive bullies, who are understood to intentionally use their power to repeatedly subject their less powerful victims to negative actions, while being supported in their actions by bystanders.”</w:t>
      </w:r>
    </w:p>
    <w:p w14:paraId="66D6F4DC" w14:textId="77777777" w:rsidR="003142CE" w:rsidRDefault="003142CE" w:rsidP="00BE2C1D">
      <w:pPr>
        <w:pStyle w:val="FootnoteText"/>
      </w:pPr>
    </w:p>
  </w:footnote>
  <w:footnote w:id="130">
    <w:p w14:paraId="5F7C99BA" w14:textId="77777777" w:rsidR="003142CE" w:rsidRDefault="003142CE" w:rsidP="00BE2C1D">
      <w:pPr>
        <w:pStyle w:val="FootnoteText"/>
      </w:pPr>
      <w:r>
        <w:rPr>
          <w:rStyle w:val="FootnoteReference"/>
        </w:rPr>
        <w:footnoteRef/>
      </w:r>
      <w:r>
        <w:t xml:space="preserve"> Confero is a journal with essays on education, philosophy and politics. </w:t>
      </w:r>
    </w:p>
  </w:footnote>
  <w:footnote w:id="131">
    <w:p w14:paraId="4A224D6F" w14:textId="77777777" w:rsidR="003142CE" w:rsidRDefault="003142CE" w:rsidP="00BE2C1D">
      <w:pPr>
        <w:pStyle w:val="FootnoteText"/>
      </w:pPr>
      <w:r>
        <w:rPr>
          <w:rStyle w:val="FootnoteReference"/>
        </w:rPr>
        <w:footnoteRef/>
      </w:r>
      <w:r>
        <w:t xml:space="preserve"> See Horton and Forsberg (2015) for a summary of the articles of this special issue.</w:t>
      </w:r>
    </w:p>
  </w:footnote>
  <w:footnote w:id="132">
    <w:p w14:paraId="21018580" w14:textId="77777777" w:rsidR="003142CE" w:rsidRDefault="003142CE" w:rsidP="00BE2C1D">
      <w:pPr>
        <w:pStyle w:val="FootnoteText"/>
      </w:pPr>
      <w:r>
        <w:rPr>
          <w:rStyle w:val="FootnoteReference"/>
        </w:rPr>
        <w:footnoteRef/>
      </w:r>
      <w:r>
        <w:t xml:space="preserve"> E.g. Individualist, interactionist, social constructionist and intersectional approaches.  </w:t>
      </w:r>
    </w:p>
  </w:footnote>
  <w:footnote w:id="133">
    <w:p w14:paraId="526B41BC" w14:textId="77777777" w:rsidR="003142CE" w:rsidRDefault="003142CE" w:rsidP="00BE2C1D">
      <w:pPr>
        <w:pStyle w:val="FootnoteText"/>
      </w:pPr>
      <w:r>
        <w:rPr>
          <w:rStyle w:val="FootnoteReference"/>
        </w:rPr>
        <w:footnoteRef/>
      </w:r>
      <w:r>
        <w:t xml:space="preserve"> Butler’s work has also been adopted in the examination of bullying (see for example Ringrose and Renold, 2010)</w:t>
      </w:r>
    </w:p>
  </w:footnote>
  <w:footnote w:id="134">
    <w:p w14:paraId="77C5B903" w14:textId="77777777" w:rsidR="003142CE" w:rsidRDefault="003142CE" w:rsidP="00BE2C1D">
      <w:pPr>
        <w:pStyle w:val="FootnoteText"/>
      </w:pPr>
      <w:r>
        <w:rPr>
          <w:rStyle w:val="FootnoteReference"/>
        </w:rPr>
        <w:footnoteRef/>
      </w:r>
      <w:r>
        <w:t xml:space="preserve"> See for example Ribgy’s (2008: 23) typology of ‘power differences’ in schools, which involves:</w:t>
      </w:r>
    </w:p>
    <w:p w14:paraId="7757A19F" w14:textId="77777777" w:rsidR="003142CE" w:rsidRDefault="003142CE" w:rsidP="00BE2C1D">
      <w:pPr>
        <w:pStyle w:val="FootnoteText"/>
      </w:pPr>
      <w:r>
        <w:t xml:space="preserve"> </w:t>
      </w:r>
      <w:r>
        <w:tab/>
        <w:t>Being able to physically hurt others;</w:t>
      </w:r>
    </w:p>
    <w:p w14:paraId="77E04293" w14:textId="77777777" w:rsidR="003142CE" w:rsidRDefault="003142CE" w:rsidP="00BE2C1D">
      <w:pPr>
        <w:pStyle w:val="FootnoteText"/>
      </w:pPr>
      <w:r>
        <w:t xml:space="preserve"> </w:t>
      </w:r>
      <w:r>
        <w:tab/>
        <w:t>Being numerically superior;</w:t>
      </w:r>
    </w:p>
    <w:p w14:paraId="7166FE4E" w14:textId="77777777" w:rsidR="003142CE" w:rsidRDefault="003142CE" w:rsidP="00BE2C1D">
      <w:pPr>
        <w:pStyle w:val="FootnoteText"/>
      </w:pPr>
      <w:r>
        <w:t xml:space="preserve"> </w:t>
      </w:r>
      <w:r>
        <w:tab/>
        <w:t>Being more confident, more assertive than others;</w:t>
      </w:r>
    </w:p>
    <w:p w14:paraId="1736EEC0" w14:textId="77777777" w:rsidR="003142CE" w:rsidRDefault="003142CE" w:rsidP="00BE2C1D">
      <w:pPr>
        <w:pStyle w:val="FootnoteText"/>
        <w:ind w:left="720"/>
      </w:pPr>
      <w:r>
        <w:t>Having greater verbal dexterity - more specifically the capacity to hurt or threaten by one’s choice of words and how one speaks;</w:t>
      </w:r>
    </w:p>
    <w:p w14:paraId="3171EB55" w14:textId="77777777" w:rsidR="003142CE" w:rsidRDefault="003142CE" w:rsidP="00BE2C1D">
      <w:pPr>
        <w:pStyle w:val="FootnoteText"/>
        <w:ind w:left="720"/>
      </w:pPr>
      <w:r>
        <w:t>Having superior social or manipulative skill - the capacity to turn people against someone or get them excluded;</w:t>
      </w:r>
    </w:p>
    <w:p w14:paraId="7A5DDC77" w14:textId="77777777" w:rsidR="003142CE" w:rsidRDefault="003142CE" w:rsidP="00BE2C1D">
      <w:pPr>
        <w:pStyle w:val="FootnoteText"/>
      </w:pPr>
      <w:r>
        <w:t xml:space="preserve"> </w:t>
      </w:r>
      <w:r>
        <w:tab/>
        <w:t>Having greater status and the corresponding capacity to impose on others.</w:t>
      </w:r>
    </w:p>
  </w:footnote>
  <w:footnote w:id="135">
    <w:p w14:paraId="7DDFB118" w14:textId="77777777" w:rsidR="003142CE" w:rsidRDefault="003142CE" w:rsidP="00BE2C1D">
      <w:pPr>
        <w:pStyle w:val="FootnoteText"/>
      </w:pPr>
      <w:r>
        <w:rPr>
          <w:rStyle w:val="FootnoteReference"/>
        </w:rPr>
        <w:footnoteRef/>
      </w:r>
      <w:r>
        <w:t xml:space="preserve"> Each form of violence is explained under the section it is discussed.</w:t>
      </w:r>
    </w:p>
  </w:footnote>
  <w:footnote w:id="136">
    <w:p w14:paraId="0999ED45" w14:textId="77777777" w:rsidR="003142CE" w:rsidRDefault="003142CE" w:rsidP="00BE2C1D">
      <w:pPr>
        <w:pStyle w:val="FootnoteText"/>
      </w:pPr>
      <w:r>
        <w:rPr>
          <w:rStyle w:val="FootnoteReference"/>
        </w:rPr>
        <w:footnoteRef/>
      </w:r>
      <w:r>
        <w:t xml:space="preserve"> This is a slight alteration of Goodley’s and Runswick-Cole’s (2011) distinction, who discussed real and cultural violence separately. </w:t>
      </w:r>
    </w:p>
  </w:footnote>
  <w:footnote w:id="137">
    <w:p w14:paraId="713013CE" w14:textId="77777777" w:rsidR="003142CE" w:rsidRDefault="003142CE" w:rsidP="00BE2C1D">
      <w:pPr>
        <w:pStyle w:val="FootnoteText"/>
      </w:pPr>
      <w:r>
        <w:rPr>
          <w:rStyle w:val="FootnoteReference"/>
        </w:rPr>
        <w:footnoteRef/>
      </w:r>
      <w:r>
        <w:t xml:space="preserve"> For a more detailed discussion on the disavowal of disabled children see Goodley and Lawthom (2013). </w:t>
      </w:r>
    </w:p>
  </w:footnote>
  <w:footnote w:id="138">
    <w:p w14:paraId="5C74B853" w14:textId="77777777" w:rsidR="003142CE" w:rsidRDefault="003142CE" w:rsidP="00BE2C1D">
      <w:pPr>
        <w:pStyle w:val="FootnoteText"/>
      </w:pPr>
      <w:r>
        <w:rPr>
          <w:rStyle w:val="FootnoteReference"/>
        </w:rPr>
        <w:footnoteRef/>
      </w:r>
      <w:r>
        <w:t xml:space="preserve"> In the beginning of this chapter I referred to the story of Quaden, which was a tough to witness testimony to the link between bullying and suicidality. </w:t>
      </w:r>
    </w:p>
  </w:footnote>
  <w:footnote w:id="139">
    <w:p w14:paraId="04D036FA" w14:textId="77777777" w:rsidR="003142CE" w:rsidRPr="006A52A1" w:rsidRDefault="003142CE" w:rsidP="00BE2C1D">
      <w:pPr>
        <w:rPr>
          <w:sz w:val="20"/>
          <w:szCs w:val="20"/>
        </w:rPr>
      </w:pPr>
      <w:r w:rsidRPr="00365BC0">
        <w:rPr>
          <w:rStyle w:val="FootnoteReference"/>
        </w:rPr>
        <w:footnoteRef/>
      </w:r>
      <w:r w:rsidRPr="00365BC0">
        <w:rPr>
          <w:sz w:val="20"/>
          <w:szCs w:val="20"/>
        </w:rPr>
        <w:t xml:space="preserve"> See Olweus’</w:t>
      </w:r>
      <w:r>
        <w:rPr>
          <w:sz w:val="20"/>
          <w:szCs w:val="20"/>
        </w:rPr>
        <w:t xml:space="preserve"> (1993: 9)</w:t>
      </w:r>
      <w:r w:rsidRPr="00365BC0">
        <w:rPr>
          <w:sz w:val="20"/>
          <w:szCs w:val="20"/>
        </w:rPr>
        <w:t xml:space="preserve"> defi</w:t>
      </w:r>
      <w:r>
        <w:rPr>
          <w:sz w:val="20"/>
          <w:szCs w:val="20"/>
        </w:rPr>
        <w:t xml:space="preserve">nition of bulling for instance: ‘A student is being bullied or victimised when he or she is exposed repeatedly and over time, to negative actions in the part of one or more other students’. </w:t>
      </w:r>
    </w:p>
  </w:footnote>
  <w:footnote w:id="140">
    <w:p w14:paraId="42D9BABC" w14:textId="77777777" w:rsidR="003142CE" w:rsidRDefault="003142CE" w:rsidP="00BE2C1D">
      <w:pPr>
        <w:pStyle w:val="FootnoteText"/>
      </w:pPr>
      <w:r>
        <w:rPr>
          <w:rStyle w:val="FootnoteReference"/>
        </w:rPr>
        <w:footnoteRef/>
      </w:r>
      <w:r>
        <w:t xml:space="preserve"> For a more detailed overview on anti-bullying policies see Smith et al. 2008, 2012.</w:t>
      </w:r>
    </w:p>
  </w:footnote>
  <w:footnote w:id="141">
    <w:p w14:paraId="35DD94B1" w14:textId="77777777" w:rsidR="003142CE" w:rsidRDefault="003142CE" w:rsidP="00BE2C1D">
      <w:pPr>
        <w:pStyle w:val="FootnoteText"/>
      </w:pPr>
      <w:r>
        <w:rPr>
          <w:rStyle w:val="FootnoteReference"/>
        </w:rPr>
        <w:footnoteRef/>
      </w:r>
      <w:r>
        <w:t xml:space="preserve"> Predominantly non-disabled. </w:t>
      </w:r>
    </w:p>
  </w:footnote>
  <w:footnote w:id="142">
    <w:p w14:paraId="109E0E57" w14:textId="77777777" w:rsidR="003142CE" w:rsidRDefault="003142CE" w:rsidP="00BE2C1D">
      <w:pPr>
        <w:pStyle w:val="FootnoteText"/>
      </w:pPr>
      <w:r w:rsidRPr="000B2E35">
        <w:rPr>
          <w:rStyle w:val="FootnoteReference"/>
        </w:rPr>
        <w:footnoteRef/>
      </w:r>
      <w:r w:rsidRPr="000B2E35">
        <w:t xml:space="preserve"> As Goodley and Runswick-Cole (2015b: 251) proposed, ‘the systemic, material, relational, attitudinal barriers to the inclusion of disabled children have long been the focus of research and publications (Ainscow et al., 2006; Allan, 2006; Baker, 2002; Barton, 1997). We already know a lot about the discrimination the disabled children face in schools.’</w:t>
      </w:r>
    </w:p>
  </w:footnote>
  <w:footnote w:id="143">
    <w:p w14:paraId="1A98D063" w14:textId="77777777" w:rsidR="003142CE" w:rsidRDefault="003142CE" w:rsidP="00BE2C1D">
      <w:pPr>
        <w:pStyle w:val="FootnoteText"/>
      </w:pPr>
      <w:r>
        <w:rPr>
          <w:rStyle w:val="FootnoteReference"/>
        </w:rPr>
        <w:footnoteRef/>
      </w:r>
      <w:r>
        <w:t xml:space="preserve"> After how it had been adapted.</w:t>
      </w:r>
    </w:p>
  </w:footnote>
  <w:footnote w:id="144">
    <w:p w14:paraId="737F22F4" w14:textId="77777777" w:rsidR="003142CE" w:rsidRDefault="003142CE" w:rsidP="00BE2C1D">
      <w:pPr>
        <w:pStyle w:val="FootnoteText"/>
      </w:pPr>
      <w:r>
        <w:rPr>
          <w:rStyle w:val="FootnoteReference"/>
        </w:rPr>
        <w:footnoteRef/>
      </w:r>
      <w:r>
        <w:t xml:space="preserve"> In </w:t>
      </w:r>
      <w:bookmarkStart w:id="181" w:name="_Hlk36896970"/>
      <w:r>
        <w:t>Ahmed’s (2012</w:t>
      </w:r>
      <w:bookmarkEnd w:id="181"/>
      <w:r>
        <w:t>: 2) words, ‘</w:t>
      </w:r>
      <w:r w:rsidRPr="00D27663">
        <w:t>how some bodies become understood as the rightful oc</w:t>
      </w:r>
      <w:r>
        <w:t>cupants of certain spaces.’</w:t>
      </w:r>
    </w:p>
  </w:footnote>
  <w:footnote w:id="145">
    <w:p w14:paraId="6F6CE54C" w14:textId="77777777" w:rsidR="003142CE" w:rsidRDefault="003142CE" w:rsidP="00BE2C1D">
      <w:pPr>
        <w:pStyle w:val="FootnoteText"/>
      </w:pPr>
      <w:r>
        <w:rPr>
          <w:rStyle w:val="FootnoteReference"/>
        </w:rPr>
        <w:footnoteRef/>
      </w:r>
      <w:r>
        <w:t xml:space="preserve"> Nevertheless, I remained vigilant throughout the thesis about the kind of readings I drew on to make sense of such experiences (Goodley and Runswick-Cole 2012a). </w:t>
      </w:r>
    </w:p>
  </w:footnote>
  <w:footnote w:id="146">
    <w:p w14:paraId="3FA57BC9" w14:textId="77777777" w:rsidR="003142CE" w:rsidRDefault="003142CE" w:rsidP="00BE2C1D">
      <w:pPr>
        <w:pStyle w:val="FootnoteText"/>
      </w:pPr>
      <w:r>
        <w:rPr>
          <w:rStyle w:val="FootnoteReference"/>
        </w:rPr>
        <w:footnoteRef/>
      </w:r>
      <w:r>
        <w:t xml:space="preserve"> Implications in this section are discussed as lessons that I learned from doing the fieldwork. </w:t>
      </w:r>
    </w:p>
  </w:footnote>
  <w:footnote w:id="147">
    <w:p w14:paraId="4A8AAC81" w14:textId="77777777" w:rsidR="003142CE" w:rsidRDefault="003142CE" w:rsidP="00BE2C1D">
      <w:pPr>
        <w:pStyle w:val="FootnoteText"/>
      </w:pPr>
      <w:r>
        <w:rPr>
          <w:rStyle w:val="FootnoteReference"/>
        </w:rPr>
        <w:footnoteRef/>
      </w:r>
      <w:r>
        <w:t xml:space="preserve"> These issues have also been brought been up in other studies (Abbott 2013; Liddiard et al. 2018)</w:t>
      </w:r>
    </w:p>
  </w:footnote>
  <w:footnote w:id="148">
    <w:p w14:paraId="4508AC93" w14:textId="77777777" w:rsidR="003142CE" w:rsidRDefault="003142CE" w:rsidP="00BE2C1D">
      <w:pPr>
        <w:pStyle w:val="FootnoteText"/>
      </w:pPr>
      <w:r>
        <w:rPr>
          <w:rStyle w:val="FootnoteReference"/>
        </w:rPr>
        <w:footnoteRef/>
      </w:r>
      <w:r>
        <w:t xml:space="preserve"> In relation to inclusive policy and its enactment, see Armstrong et al. (2009)</w:t>
      </w:r>
    </w:p>
  </w:footnote>
  <w:footnote w:id="149">
    <w:p w14:paraId="78D169D4" w14:textId="77777777" w:rsidR="003142CE" w:rsidRDefault="003142CE" w:rsidP="00BE2C1D">
      <w:pPr>
        <w:pStyle w:val="FootnoteText"/>
      </w:pPr>
      <w:r>
        <w:rPr>
          <w:rStyle w:val="FootnoteReference"/>
        </w:rPr>
        <w:footnoteRef/>
      </w:r>
      <w:r>
        <w:t xml:space="preserve"> </w:t>
      </w:r>
      <w:r w:rsidRPr="00CE4E51">
        <w:t>Getting your research into the UK Parliament: A how-to guide from Taylor &amp; Francis, Sense about Science and POST)</w:t>
      </w:r>
    </w:p>
  </w:footnote>
  <w:footnote w:id="150">
    <w:p w14:paraId="14D5CF79" w14:textId="77777777" w:rsidR="003142CE" w:rsidRPr="00F95607" w:rsidRDefault="003142CE" w:rsidP="00BE2C1D">
      <w:pPr>
        <w:spacing w:line="240" w:lineRule="auto"/>
        <w:jc w:val="both"/>
        <w:rPr>
          <w:rFonts w:ascii="Times New Roman" w:hAnsi="Times New Roman" w:cs="Times New Roman"/>
        </w:rPr>
      </w:pPr>
      <w:r>
        <w:rPr>
          <w:rStyle w:val="FootnoteReference"/>
        </w:rPr>
        <w:footnoteRef/>
      </w:r>
      <w:r>
        <w:t xml:space="preserve"> </w:t>
      </w:r>
      <w:r w:rsidRPr="00CC4BF3">
        <w:rPr>
          <w:sz w:val="20"/>
          <w:szCs w:val="20"/>
        </w:rPr>
        <w:t>. Idiopathic short stature is defined as “</w:t>
      </w:r>
      <w:r w:rsidRPr="00CC4BF3">
        <w:rPr>
          <w:rFonts w:cs="Times New Roman"/>
          <w:sz w:val="20"/>
          <w:szCs w:val="20"/>
        </w:rPr>
        <w:t>“a condition characterized by a height more than 2 standard deviations from below the  corresponding</w:t>
      </w:r>
      <w:r>
        <w:rPr>
          <w:rFonts w:cs="Times New Roman"/>
          <w:sz w:val="20"/>
          <w:szCs w:val="20"/>
        </w:rPr>
        <w:t xml:space="preserve"> </w:t>
      </w:r>
      <w:r w:rsidRPr="00DF2B06">
        <w:rPr>
          <w:rFonts w:cs="Times New Roman"/>
          <w:sz w:val="20"/>
          <w:szCs w:val="20"/>
        </w:rPr>
        <w:t>average height for a given age, sex and population</w:t>
      </w:r>
      <w:r w:rsidRPr="00CC4BF3">
        <w:rPr>
          <w:rFonts w:cs="Times New Roman"/>
          <w:sz w:val="20"/>
          <w:szCs w:val="20"/>
        </w:rPr>
        <w:t>, without any findings of disease” (Pedicel</w:t>
      </w:r>
      <w:r>
        <w:rPr>
          <w:rFonts w:cs="Times New Roman"/>
          <w:sz w:val="20"/>
          <w:szCs w:val="20"/>
        </w:rPr>
        <w:t>li et al. 2009: 105)</w:t>
      </w:r>
      <w:r w:rsidRPr="003F2360">
        <w:rPr>
          <w:rFonts w:ascii="Times New Roman" w:hAnsi="Times New Roman" w:cs="Times New Roman"/>
        </w:rPr>
        <w:t>.</w:t>
      </w:r>
    </w:p>
  </w:footnote>
  <w:footnote w:id="151">
    <w:p w14:paraId="69850655" w14:textId="77777777" w:rsidR="003142CE" w:rsidRPr="00322034" w:rsidRDefault="003142CE" w:rsidP="00BE2C1D">
      <w:pPr>
        <w:pStyle w:val="FootnoteText"/>
        <w:rPr>
          <w:lang w:val="en-US"/>
        </w:rPr>
      </w:pPr>
      <w:r>
        <w:rPr>
          <w:rStyle w:val="FootnoteReference"/>
        </w:rPr>
        <w:footnoteRef/>
      </w:r>
      <w:r w:rsidRPr="00142D55">
        <w:rPr>
          <w:rFonts w:cs="Times New Roman"/>
          <w:lang w:val="en-US"/>
        </w:rPr>
        <w:t>How Fair Is Britain: Equality, Human Rights And Good Relations in 2010, The First Triennial Review” (2010), Is Britain Fairer? The State of Equality and Human Rights 2015” (2015) &amp; “Being Disabled In Britain 2016: A Journey Less Equal” (2017)</w:t>
      </w:r>
    </w:p>
  </w:footnote>
  <w:footnote w:id="152">
    <w:p w14:paraId="2F50DF9E" w14:textId="77777777" w:rsidR="003142CE" w:rsidRPr="00B53957" w:rsidRDefault="003142CE" w:rsidP="00BE2C1D">
      <w:pPr>
        <w:spacing w:line="240" w:lineRule="auto"/>
        <w:jc w:val="both"/>
        <w:rPr>
          <w:rFonts w:ascii="Times New Roman" w:hAnsi="Times New Roman" w:cs="Times New Roman"/>
        </w:rPr>
      </w:pPr>
      <w:r>
        <w:rPr>
          <w:rStyle w:val="FootnoteReference"/>
        </w:rPr>
        <w:footnoteRef/>
      </w:r>
      <w:r>
        <w:t xml:space="preserve"> </w:t>
      </w:r>
      <w:r w:rsidRPr="00CC4BF3">
        <w:rPr>
          <w:sz w:val="20"/>
          <w:szCs w:val="20"/>
        </w:rPr>
        <w:t>. Idiopathic short stature is defined as “</w:t>
      </w:r>
      <w:r w:rsidRPr="00CC4BF3">
        <w:rPr>
          <w:rFonts w:cs="Times New Roman"/>
          <w:sz w:val="20"/>
          <w:szCs w:val="20"/>
        </w:rPr>
        <w:t>“a condition characterized by a height more than 2 standard deviations from below the  corresponding</w:t>
      </w:r>
      <w:r>
        <w:rPr>
          <w:rFonts w:cs="Times New Roman"/>
          <w:sz w:val="20"/>
          <w:szCs w:val="20"/>
        </w:rPr>
        <w:t xml:space="preserve"> </w:t>
      </w:r>
      <w:r w:rsidRPr="00DF2B06">
        <w:rPr>
          <w:rFonts w:cs="Times New Roman"/>
          <w:sz w:val="20"/>
          <w:szCs w:val="20"/>
        </w:rPr>
        <w:t>average height for a given age, sex and population</w:t>
      </w:r>
      <w:r w:rsidRPr="00CC4BF3">
        <w:rPr>
          <w:rFonts w:cs="Times New Roman"/>
          <w:sz w:val="20"/>
          <w:szCs w:val="20"/>
        </w:rPr>
        <w:t>, without any findings of disease” (Pedicelli et al. 2009: 105, my emphasis</w:t>
      </w:r>
      <w:r w:rsidRPr="003F2360">
        <w:rPr>
          <w:rFonts w:ascii="Times New Roman" w:hAnsi="Times New Roman" w:cs="Times New Roman"/>
        </w:rPr>
        <w:t>).</w:t>
      </w:r>
    </w:p>
  </w:footnote>
  <w:footnote w:id="153">
    <w:p w14:paraId="4C9F8A16" w14:textId="77777777" w:rsidR="003142CE" w:rsidRPr="00322034" w:rsidRDefault="003142CE" w:rsidP="00BE2C1D">
      <w:pPr>
        <w:pStyle w:val="FootnoteText"/>
        <w:rPr>
          <w:lang w:val="en-US"/>
        </w:rPr>
      </w:pPr>
      <w:r>
        <w:rPr>
          <w:rStyle w:val="FootnoteReference"/>
        </w:rPr>
        <w:footnoteRef/>
      </w:r>
      <w:r w:rsidRPr="00142D55">
        <w:rPr>
          <w:rFonts w:cs="Times New Roman"/>
          <w:lang w:val="en-US"/>
        </w:rPr>
        <w:t>How Fair Is Britain: Equality, Human Rights And Good Relations in 2010, The First Triennial Review” (2010), Is Britain Fairer? The State of Equality and Human Rights 2015” (2015) &amp; “Being Disabled In Britain 2016: A Journey Less Equal” (2017)</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127555"/>
    <w:multiLevelType w:val="hybridMultilevel"/>
    <w:tmpl w:val="1D8CF93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5C0A52"/>
    <w:multiLevelType w:val="hybridMultilevel"/>
    <w:tmpl w:val="56DA7C0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52F5A84"/>
    <w:multiLevelType w:val="hybridMultilevel"/>
    <w:tmpl w:val="A232D2D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5DA7FEC"/>
    <w:multiLevelType w:val="hybridMultilevel"/>
    <w:tmpl w:val="898ADF9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9225DA3"/>
    <w:multiLevelType w:val="hybridMultilevel"/>
    <w:tmpl w:val="FDDC676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AE9229A"/>
    <w:multiLevelType w:val="hybridMultilevel"/>
    <w:tmpl w:val="514E7856"/>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75F12DE"/>
    <w:multiLevelType w:val="hybridMultilevel"/>
    <w:tmpl w:val="58A401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A4C7129"/>
    <w:multiLevelType w:val="hybridMultilevel"/>
    <w:tmpl w:val="EE0ABC7E"/>
    <w:lvl w:ilvl="0" w:tplc="C6A68C22">
      <w:start w:val="1"/>
      <w:numFmt w:val="none"/>
      <w:lvlText w:val="5."/>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2BEE0592"/>
    <w:multiLevelType w:val="hybridMultilevel"/>
    <w:tmpl w:val="85FA2BE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D7D50CA"/>
    <w:multiLevelType w:val="hybridMultilevel"/>
    <w:tmpl w:val="4F0CEA9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59A064B"/>
    <w:multiLevelType w:val="hybridMultilevel"/>
    <w:tmpl w:val="3E76843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60F0E9A"/>
    <w:multiLevelType w:val="hybridMultilevel"/>
    <w:tmpl w:val="219E284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62F6F32"/>
    <w:multiLevelType w:val="hybridMultilevel"/>
    <w:tmpl w:val="219E11C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79B61CF"/>
    <w:multiLevelType w:val="multilevel"/>
    <w:tmpl w:val="FBA228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87B6B2B"/>
    <w:multiLevelType w:val="hybridMultilevel"/>
    <w:tmpl w:val="1C1E24A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48B0439F"/>
    <w:multiLevelType w:val="hybridMultilevel"/>
    <w:tmpl w:val="F9A4D13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F6E7AB2"/>
    <w:multiLevelType w:val="hybridMultilevel"/>
    <w:tmpl w:val="28EC51C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BC43AA3"/>
    <w:multiLevelType w:val="hybridMultilevel"/>
    <w:tmpl w:val="CDB0748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C4105C3"/>
    <w:multiLevelType w:val="hybridMultilevel"/>
    <w:tmpl w:val="B0A6636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F2C5536"/>
    <w:multiLevelType w:val="hybridMultilevel"/>
    <w:tmpl w:val="4C3CFA0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0FA1EFD"/>
    <w:multiLevelType w:val="hybridMultilevel"/>
    <w:tmpl w:val="08C024F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17E79EC"/>
    <w:multiLevelType w:val="hybridMultilevel"/>
    <w:tmpl w:val="98706F6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4DB72C2"/>
    <w:multiLevelType w:val="hybridMultilevel"/>
    <w:tmpl w:val="91E2207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82238CB"/>
    <w:multiLevelType w:val="hybridMultilevel"/>
    <w:tmpl w:val="5680E0C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9C73C8B"/>
    <w:multiLevelType w:val="hybridMultilevel"/>
    <w:tmpl w:val="C9A417D4"/>
    <w:lvl w:ilvl="0" w:tplc="0809000B">
      <w:start w:val="1"/>
      <w:numFmt w:val="bullet"/>
      <w:lvlText w:val=""/>
      <w:lvlJc w:val="left"/>
      <w:pPr>
        <w:ind w:left="870" w:hanging="360"/>
      </w:pPr>
      <w:rPr>
        <w:rFonts w:ascii="Wingdings" w:hAnsi="Wingdings" w:hint="default"/>
      </w:rPr>
    </w:lvl>
    <w:lvl w:ilvl="1" w:tplc="08090003" w:tentative="1">
      <w:start w:val="1"/>
      <w:numFmt w:val="bullet"/>
      <w:lvlText w:val="o"/>
      <w:lvlJc w:val="left"/>
      <w:pPr>
        <w:ind w:left="1590" w:hanging="360"/>
      </w:pPr>
      <w:rPr>
        <w:rFonts w:ascii="Courier New" w:hAnsi="Courier New" w:cs="Courier New" w:hint="default"/>
      </w:rPr>
    </w:lvl>
    <w:lvl w:ilvl="2" w:tplc="08090005" w:tentative="1">
      <w:start w:val="1"/>
      <w:numFmt w:val="bullet"/>
      <w:lvlText w:val=""/>
      <w:lvlJc w:val="left"/>
      <w:pPr>
        <w:ind w:left="2310" w:hanging="360"/>
      </w:pPr>
      <w:rPr>
        <w:rFonts w:ascii="Wingdings" w:hAnsi="Wingdings" w:hint="default"/>
      </w:rPr>
    </w:lvl>
    <w:lvl w:ilvl="3" w:tplc="08090001" w:tentative="1">
      <w:start w:val="1"/>
      <w:numFmt w:val="bullet"/>
      <w:lvlText w:val=""/>
      <w:lvlJc w:val="left"/>
      <w:pPr>
        <w:ind w:left="3030" w:hanging="360"/>
      </w:pPr>
      <w:rPr>
        <w:rFonts w:ascii="Symbol" w:hAnsi="Symbol" w:hint="default"/>
      </w:rPr>
    </w:lvl>
    <w:lvl w:ilvl="4" w:tplc="08090003" w:tentative="1">
      <w:start w:val="1"/>
      <w:numFmt w:val="bullet"/>
      <w:lvlText w:val="o"/>
      <w:lvlJc w:val="left"/>
      <w:pPr>
        <w:ind w:left="3750" w:hanging="360"/>
      </w:pPr>
      <w:rPr>
        <w:rFonts w:ascii="Courier New" w:hAnsi="Courier New" w:cs="Courier New" w:hint="default"/>
      </w:rPr>
    </w:lvl>
    <w:lvl w:ilvl="5" w:tplc="08090005" w:tentative="1">
      <w:start w:val="1"/>
      <w:numFmt w:val="bullet"/>
      <w:lvlText w:val=""/>
      <w:lvlJc w:val="left"/>
      <w:pPr>
        <w:ind w:left="4470" w:hanging="360"/>
      </w:pPr>
      <w:rPr>
        <w:rFonts w:ascii="Wingdings" w:hAnsi="Wingdings" w:hint="default"/>
      </w:rPr>
    </w:lvl>
    <w:lvl w:ilvl="6" w:tplc="08090001" w:tentative="1">
      <w:start w:val="1"/>
      <w:numFmt w:val="bullet"/>
      <w:lvlText w:val=""/>
      <w:lvlJc w:val="left"/>
      <w:pPr>
        <w:ind w:left="5190" w:hanging="360"/>
      </w:pPr>
      <w:rPr>
        <w:rFonts w:ascii="Symbol" w:hAnsi="Symbol" w:hint="default"/>
      </w:rPr>
    </w:lvl>
    <w:lvl w:ilvl="7" w:tplc="08090003" w:tentative="1">
      <w:start w:val="1"/>
      <w:numFmt w:val="bullet"/>
      <w:lvlText w:val="o"/>
      <w:lvlJc w:val="left"/>
      <w:pPr>
        <w:ind w:left="5910" w:hanging="360"/>
      </w:pPr>
      <w:rPr>
        <w:rFonts w:ascii="Courier New" w:hAnsi="Courier New" w:cs="Courier New" w:hint="default"/>
      </w:rPr>
    </w:lvl>
    <w:lvl w:ilvl="8" w:tplc="08090005" w:tentative="1">
      <w:start w:val="1"/>
      <w:numFmt w:val="bullet"/>
      <w:lvlText w:val=""/>
      <w:lvlJc w:val="left"/>
      <w:pPr>
        <w:ind w:left="6630" w:hanging="360"/>
      </w:pPr>
      <w:rPr>
        <w:rFonts w:ascii="Wingdings" w:hAnsi="Wingdings" w:hint="default"/>
      </w:rPr>
    </w:lvl>
  </w:abstractNum>
  <w:abstractNum w:abstractNumId="25" w15:restartNumberingAfterBreak="0">
    <w:nsid w:val="6A9811B3"/>
    <w:multiLevelType w:val="hybridMultilevel"/>
    <w:tmpl w:val="83864ED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355602D"/>
    <w:multiLevelType w:val="hybridMultilevel"/>
    <w:tmpl w:val="8D5473D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772A5FB5"/>
    <w:multiLevelType w:val="hybridMultilevel"/>
    <w:tmpl w:val="C22A374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77D868FC"/>
    <w:multiLevelType w:val="hybridMultilevel"/>
    <w:tmpl w:val="B46E71F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7E85F6A"/>
    <w:multiLevelType w:val="hybridMultilevel"/>
    <w:tmpl w:val="6E205C1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20"/>
  </w:num>
  <w:num w:numId="3">
    <w:abstractNumId w:val="16"/>
  </w:num>
  <w:num w:numId="4">
    <w:abstractNumId w:val="28"/>
  </w:num>
  <w:num w:numId="5">
    <w:abstractNumId w:val="0"/>
  </w:num>
  <w:num w:numId="6">
    <w:abstractNumId w:val="25"/>
  </w:num>
  <w:num w:numId="7">
    <w:abstractNumId w:val="29"/>
  </w:num>
  <w:num w:numId="8">
    <w:abstractNumId w:val="24"/>
  </w:num>
  <w:num w:numId="9">
    <w:abstractNumId w:val="4"/>
  </w:num>
  <w:num w:numId="10">
    <w:abstractNumId w:val="12"/>
  </w:num>
  <w:num w:numId="11">
    <w:abstractNumId w:val="17"/>
  </w:num>
  <w:num w:numId="12">
    <w:abstractNumId w:val="14"/>
  </w:num>
  <w:num w:numId="13">
    <w:abstractNumId w:val="18"/>
  </w:num>
  <w:num w:numId="14">
    <w:abstractNumId w:val="3"/>
  </w:num>
  <w:num w:numId="15">
    <w:abstractNumId w:val="23"/>
  </w:num>
  <w:num w:numId="16">
    <w:abstractNumId w:val="10"/>
  </w:num>
  <w:num w:numId="17">
    <w:abstractNumId w:val="11"/>
  </w:num>
  <w:num w:numId="18">
    <w:abstractNumId w:val="27"/>
  </w:num>
  <w:num w:numId="19">
    <w:abstractNumId w:val="26"/>
  </w:num>
  <w:num w:numId="20">
    <w:abstractNumId w:val="2"/>
  </w:num>
  <w:num w:numId="21">
    <w:abstractNumId w:val="21"/>
  </w:num>
  <w:num w:numId="22">
    <w:abstractNumId w:val="8"/>
  </w:num>
  <w:num w:numId="23">
    <w:abstractNumId w:val="22"/>
  </w:num>
  <w:num w:numId="24">
    <w:abstractNumId w:val="19"/>
  </w:num>
  <w:num w:numId="25">
    <w:abstractNumId w:val="15"/>
  </w:num>
  <w:num w:numId="26">
    <w:abstractNumId w:val="6"/>
  </w:num>
  <w:num w:numId="27">
    <w:abstractNumId w:val="7"/>
  </w:num>
  <w:num w:numId="28">
    <w:abstractNumId w:val="13"/>
  </w:num>
  <w:num w:numId="29">
    <w:abstractNumId w:val="9"/>
  </w:num>
  <w:num w:numId="3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7CEA"/>
    <w:rsid w:val="00034349"/>
    <w:rsid w:val="0009778C"/>
    <w:rsid w:val="0010610F"/>
    <w:rsid w:val="00171C55"/>
    <w:rsid w:val="0017747F"/>
    <w:rsid w:val="00183866"/>
    <w:rsid w:val="0018526D"/>
    <w:rsid w:val="001B67B4"/>
    <w:rsid w:val="001E1CC4"/>
    <w:rsid w:val="001E646A"/>
    <w:rsid w:val="00243BF7"/>
    <w:rsid w:val="00270FDE"/>
    <w:rsid w:val="002855FB"/>
    <w:rsid w:val="002955D3"/>
    <w:rsid w:val="003002EE"/>
    <w:rsid w:val="003142CE"/>
    <w:rsid w:val="003538EC"/>
    <w:rsid w:val="003B472D"/>
    <w:rsid w:val="004106B0"/>
    <w:rsid w:val="0043116F"/>
    <w:rsid w:val="0046350E"/>
    <w:rsid w:val="004A39F2"/>
    <w:rsid w:val="004B7942"/>
    <w:rsid w:val="004E2F25"/>
    <w:rsid w:val="00520499"/>
    <w:rsid w:val="00527A07"/>
    <w:rsid w:val="00597EE9"/>
    <w:rsid w:val="005E1DB5"/>
    <w:rsid w:val="00606298"/>
    <w:rsid w:val="00692A21"/>
    <w:rsid w:val="006958B5"/>
    <w:rsid w:val="006B7AD0"/>
    <w:rsid w:val="006E63A0"/>
    <w:rsid w:val="00752708"/>
    <w:rsid w:val="00794AD0"/>
    <w:rsid w:val="007B7147"/>
    <w:rsid w:val="007E38C3"/>
    <w:rsid w:val="00854555"/>
    <w:rsid w:val="008605B0"/>
    <w:rsid w:val="00872142"/>
    <w:rsid w:val="008A6F4D"/>
    <w:rsid w:val="008B4714"/>
    <w:rsid w:val="008C2378"/>
    <w:rsid w:val="008E5DAB"/>
    <w:rsid w:val="008F4D34"/>
    <w:rsid w:val="00906CA4"/>
    <w:rsid w:val="00954ED7"/>
    <w:rsid w:val="009B7A61"/>
    <w:rsid w:val="00A11CF9"/>
    <w:rsid w:val="00A205E9"/>
    <w:rsid w:val="00A30738"/>
    <w:rsid w:val="00AA4109"/>
    <w:rsid w:val="00B146FC"/>
    <w:rsid w:val="00B352C2"/>
    <w:rsid w:val="00B76548"/>
    <w:rsid w:val="00B84C68"/>
    <w:rsid w:val="00BC0187"/>
    <w:rsid w:val="00BC0CB3"/>
    <w:rsid w:val="00BE2C1D"/>
    <w:rsid w:val="00C10FE4"/>
    <w:rsid w:val="00C24538"/>
    <w:rsid w:val="00C518FE"/>
    <w:rsid w:val="00C64E2B"/>
    <w:rsid w:val="00CB0FF8"/>
    <w:rsid w:val="00CC4242"/>
    <w:rsid w:val="00CE2A86"/>
    <w:rsid w:val="00D34C1B"/>
    <w:rsid w:val="00D948C4"/>
    <w:rsid w:val="00DE61AA"/>
    <w:rsid w:val="00E27C53"/>
    <w:rsid w:val="00E27CEA"/>
    <w:rsid w:val="00ED5033"/>
    <w:rsid w:val="00EE5233"/>
    <w:rsid w:val="00EF182C"/>
    <w:rsid w:val="00EF19D4"/>
    <w:rsid w:val="00F01226"/>
    <w:rsid w:val="00F6416A"/>
    <w:rsid w:val="00FA7F0C"/>
    <w:rsid w:val="00FB048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041DE14"/>
  <w15:chartTrackingRefBased/>
  <w15:docId w15:val="{F506E1BB-858C-47F1-AA65-0C2DC4E82B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E2C1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BE2C1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BE2C1D"/>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BE2C1D"/>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B714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B7147"/>
    <w:rPr>
      <w:rFonts w:ascii="Segoe UI" w:hAnsi="Segoe UI" w:cs="Segoe UI"/>
      <w:sz w:val="18"/>
      <w:szCs w:val="18"/>
    </w:rPr>
  </w:style>
  <w:style w:type="paragraph" w:styleId="FootnoteText">
    <w:name w:val="footnote text"/>
    <w:basedOn w:val="Normal"/>
    <w:link w:val="FootnoteTextChar"/>
    <w:uiPriority w:val="99"/>
    <w:unhideWhenUsed/>
    <w:rsid w:val="007B7147"/>
    <w:pPr>
      <w:spacing w:after="0" w:line="240" w:lineRule="auto"/>
    </w:pPr>
    <w:rPr>
      <w:sz w:val="20"/>
      <w:szCs w:val="20"/>
    </w:rPr>
  </w:style>
  <w:style w:type="character" w:customStyle="1" w:styleId="FootnoteTextChar">
    <w:name w:val="Footnote Text Char"/>
    <w:basedOn w:val="DefaultParagraphFont"/>
    <w:link w:val="FootnoteText"/>
    <w:uiPriority w:val="99"/>
    <w:rsid w:val="007B7147"/>
    <w:rPr>
      <w:sz w:val="20"/>
      <w:szCs w:val="20"/>
    </w:rPr>
  </w:style>
  <w:style w:type="character" w:styleId="FootnoteReference">
    <w:name w:val="footnote reference"/>
    <w:basedOn w:val="DefaultParagraphFont"/>
    <w:uiPriority w:val="99"/>
    <w:semiHidden/>
    <w:unhideWhenUsed/>
    <w:rsid w:val="007B7147"/>
    <w:rPr>
      <w:vertAlign w:val="superscript"/>
    </w:rPr>
  </w:style>
  <w:style w:type="character" w:customStyle="1" w:styleId="Heading1Char">
    <w:name w:val="Heading 1 Char"/>
    <w:basedOn w:val="DefaultParagraphFont"/>
    <w:link w:val="Heading1"/>
    <w:uiPriority w:val="9"/>
    <w:rsid w:val="00BE2C1D"/>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BE2C1D"/>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BE2C1D"/>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sid w:val="00BE2C1D"/>
    <w:rPr>
      <w:rFonts w:asciiTheme="majorHAnsi" w:eastAsiaTheme="majorEastAsia" w:hAnsiTheme="majorHAnsi" w:cstheme="majorBidi"/>
      <w:i/>
      <w:iCs/>
      <w:color w:val="2F5496" w:themeColor="accent1" w:themeShade="BF"/>
    </w:rPr>
  </w:style>
  <w:style w:type="paragraph" w:styleId="NormalWeb">
    <w:name w:val="Normal (Web)"/>
    <w:basedOn w:val="Normal"/>
    <w:uiPriority w:val="99"/>
    <w:semiHidden/>
    <w:unhideWhenUsed/>
    <w:rsid w:val="00BE2C1D"/>
    <w:rPr>
      <w:rFonts w:ascii="Times New Roman" w:hAnsi="Times New Roman" w:cs="Times New Roman"/>
      <w:sz w:val="24"/>
      <w:szCs w:val="24"/>
    </w:rPr>
  </w:style>
  <w:style w:type="paragraph" w:styleId="Header">
    <w:name w:val="header"/>
    <w:basedOn w:val="Normal"/>
    <w:link w:val="HeaderChar"/>
    <w:unhideWhenUsed/>
    <w:rsid w:val="00BE2C1D"/>
    <w:pPr>
      <w:tabs>
        <w:tab w:val="center" w:pos="4513"/>
        <w:tab w:val="right" w:pos="9026"/>
      </w:tabs>
      <w:spacing w:after="0" w:line="240" w:lineRule="auto"/>
    </w:pPr>
    <w:rPr>
      <w:rFonts w:eastAsiaTheme="minorEastAsia"/>
      <w:lang w:eastAsia="zh-CN"/>
    </w:rPr>
  </w:style>
  <w:style w:type="character" w:customStyle="1" w:styleId="HeaderChar">
    <w:name w:val="Header Char"/>
    <w:basedOn w:val="DefaultParagraphFont"/>
    <w:link w:val="Header"/>
    <w:rsid w:val="00BE2C1D"/>
    <w:rPr>
      <w:rFonts w:eastAsiaTheme="minorEastAsia"/>
      <w:lang w:eastAsia="zh-CN"/>
    </w:rPr>
  </w:style>
  <w:style w:type="paragraph" w:styleId="TOCHeading">
    <w:name w:val="TOC Heading"/>
    <w:basedOn w:val="Heading1"/>
    <w:next w:val="Normal"/>
    <w:uiPriority w:val="39"/>
    <w:unhideWhenUsed/>
    <w:qFormat/>
    <w:rsid w:val="00BE2C1D"/>
    <w:pPr>
      <w:outlineLvl w:val="9"/>
    </w:pPr>
    <w:rPr>
      <w:lang w:val="en-US"/>
    </w:rPr>
  </w:style>
  <w:style w:type="paragraph" w:styleId="TOC1">
    <w:name w:val="toc 1"/>
    <w:basedOn w:val="Normal"/>
    <w:next w:val="Normal"/>
    <w:autoRedefine/>
    <w:uiPriority w:val="39"/>
    <w:unhideWhenUsed/>
    <w:rsid w:val="00BE2C1D"/>
    <w:pPr>
      <w:spacing w:after="100"/>
    </w:pPr>
  </w:style>
  <w:style w:type="paragraph" w:styleId="TOC2">
    <w:name w:val="toc 2"/>
    <w:basedOn w:val="Normal"/>
    <w:next w:val="Normal"/>
    <w:autoRedefine/>
    <w:uiPriority w:val="39"/>
    <w:unhideWhenUsed/>
    <w:rsid w:val="00BE2C1D"/>
    <w:pPr>
      <w:spacing w:after="100"/>
      <w:ind w:left="220"/>
    </w:pPr>
  </w:style>
  <w:style w:type="paragraph" w:styleId="TOC3">
    <w:name w:val="toc 3"/>
    <w:basedOn w:val="Normal"/>
    <w:next w:val="Normal"/>
    <w:autoRedefine/>
    <w:uiPriority w:val="39"/>
    <w:unhideWhenUsed/>
    <w:rsid w:val="00BE2C1D"/>
    <w:pPr>
      <w:spacing w:after="100"/>
      <w:ind w:left="440"/>
    </w:pPr>
  </w:style>
  <w:style w:type="character" w:styleId="Hyperlink">
    <w:name w:val="Hyperlink"/>
    <w:basedOn w:val="DefaultParagraphFont"/>
    <w:uiPriority w:val="99"/>
    <w:unhideWhenUsed/>
    <w:rsid w:val="00BE2C1D"/>
    <w:rPr>
      <w:color w:val="0563C1" w:themeColor="hyperlink"/>
      <w:u w:val="single"/>
    </w:rPr>
  </w:style>
  <w:style w:type="table" w:customStyle="1" w:styleId="TableGrid1">
    <w:name w:val="Table Grid1"/>
    <w:basedOn w:val="TableNormal"/>
    <w:next w:val="TableGrid"/>
    <w:uiPriority w:val="59"/>
    <w:rsid w:val="00BE2C1D"/>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TableGrid">
    <w:name w:val="Table Grid"/>
    <w:basedOn w:val="TableNormal"/>
    <w:uiPriority w:val="39"/>
    <w:rsid w:val="00BE2C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BE2C1D"/>
    <w:rPr>
      <w:b/>
      <w:bCs/>
    </w:rPr>
  </w:style>
  <w:style w:type="paragraph" w:styleId="BodyText2">
    <w:name w:val="Body Text 2"/>
    <w:basedOn w:val="Normal"/>
    <w:link w:val="BodyText2Char"/>
    <w:rsid w:val="00BE2C1D"/>
    <w:pPr>
      <w:spacing w:after="0" w:line="240" w:lineRule="auto"/>
    </w:pPr>
    <w:rPr>
      <w:rFonts w:ascii="Times New Roman" w:eastAsia="Times New Roman" w:hAnsi="Times New Roman" w:cs="Times New Roman"/>
      <w:b/>
      <w:bCs/>
      <w:sz w:val="24"/>
      <w:szCs w:val="24"/>
    </w:rPr>
  </w:style>
  <w:style w:type="character" w:customStyle="1" w:styleId="BodyText2Char">
    <w:name w:val="Body Text 2 Char"/>
    <w:basedOn w:val="DefaultParagraphFont"/>
    <w:link w:val="BodyText2"/>
    <w:rsid w:val="00BE2C1D"/>
    <w:rPr>
      <w:rFonts w:ascii="Times New Roman" w:eastAsia="Times New Roman" w:hAnsi="Times New Roman" w:cs="Times New Roman"/>
      <w:b/>
      <w:bCs/>
      <w:sz w:val="24"/>
      <w:szCs w:val="24"/>
    </w:rPr>
  </w:style>
  <w:style w:type="paragraph" w:styleId="ListParagraph">
    <w:name w:val="List Paragraph"/>
    <w:basedOn w:val="Normal"/>
    <w:uiPriority w:val="34"/>
    <w:qFormat/>
    <w:rsid w:val="00BE2C1D"/>
    <w:pPr>
      <w:spacing w:after="200" w:line="276" w:lineRule="auto"/>
      <w:ind w:left="720"/>
      <w:contextualSpacing/>
    </w:pPr>
    <w:rPr>
      <w:rFonts w:eastAsiaTheme="minorEastAsia"/>
      <w:lang w:eastAsia="zh-CN"/>
    </w:rPr>
  </w:style>
  <w:style w:type="paragraph" w:styleId="Footer">
    <w:name w:val="footer"/>
    <w:basedOn w:val="Normal"/>
    <w:link w:val="FooterChar"/>
    <w:uiPriority w:val="99"/>
    <w:unhideWhenUsed/>
    <w:rsid w:val="00BE2C1D"/>
    <w:pPr>
      <w:tabs>
        <w:tab w:val="center" w:pos="4680"/>
        <w:tab w:val="right" w:pos="9360"/>
      </w:tabs>
      <w:spacing w:after="0" w:line="240" w:lineRule="auto"/>
    </w:pPr>
    <w:rPr>
      <w:rFonts w:eastAsiaTheme="minorEastAsia"/>
      <w:lang w:eastAsia="zh-CN"/>
    </w:rPr>
  </w:style>
  <w:style w:type="character" w:customStyle="1" w:styleId="FooterChar">
    <w:name w:val="Footer Char"/>
    <w:basedOn w:val="DefaultParagraphFont"/>
    <w:link w:val="Footer"/>
    <w:uiPriority w:val="99"/>
    <w:rsid w:val="00BE2C1D"/>
    <w:rPr>
      <w:rFonts w:eastAsiaTheme="minorEastAsia"/>
      <w:lang w:eastAsia="zh-CN"/>
    </w:rPr>
  </w:style>
  <w:style w:type="character" w:customStyle="1" w:styleId="hlfld-contribauthor">
    <w:name w:val="hlfld-contribauthor"/>
    <w:basedOn w:val="DefaultParagraphFont"/>
    <w:rsid w:val="00BE2C1D"/>
  </w:style>
  <w:style w:type="character" w:customStyle="1" w:styleId="nlmgiven-names">
    <w:name w:val="nlm_given-names"/>
    <w:basedOn w:val="DefaultParagraphFont"/>
    <w:rsid w:val="00BE2C1D"/>
  </w:style>
  <w:style w:type="character" w:customStyle="1" w:styleId="nlmyear">
    <w:name w:val="nlm_year"/>
    <w:basedOn w:val="DefaultParagraphFont"/>
    <w:rsid w:val="00BE2C1D"/>
  </w:style>
  <w:style w:type="character" w:customStyle="1" w:styleId="nlmarticle-title">
    <w:name w:val="nlm_article-title"/>
    <w:basedOn w:val="DefaultParagraphFont"/>
    <w:rsid w:val="00BE2C1D"/>
  </w:style>
  <w:style w:type="character" w:customStyle="1" w:styleId="nlmfpage">
    <w:name w:val="nlm_fpage"/>
    <w:basedOn w:val="DefaultParagraphFont"/>
    <w:rsid w:val="00BE2C1D"/>
  </w:style>
  <w:style w:type="character" w:customStyle="1" w:styleId="nlmlpage">
    <w:name w:val="nlm_lpage"/>
    <w:basedOn w:val="DefaultParagraphFont"/>
    <w:rsid w:val="00BE2C1D"/>
  </w:style>
  <w:style w:type="character" w:customStyle="1" w:styleId="nlmpublisher-loc">
    <w:name w:val="nlm_publisher-loc"/>
    <w:basedOn w:val="DefaultParagraphFont"/>
    <w:rsid w:val="00BE2C1D"/>
  </w:style>
  <w:style w:type="character" w:customStyle="1" w:styleId="nlmpublisher-name">
    <w:name w:val="nlm_publisher-name"/>
    <w:basedOn w:val="DefaultParagraphFont"/>
    <w:rsid w:val="00BE2C1D"/>
  </w:style>
  <w:style w:type="character" w:customStyle="1" w:styleId="nlmchapter-title">
    <w:name w:val="nlm_chapter-title"/>
    <w:basedOn w:val="DefaultParagraphFont"/>
    <w:rsid w:val="00BE2C1D"/>
  </w:style>
  <w:style w:type="character" w:customStyle="1" w:styleId="reflink-block">
    <w:name w:val="reflink-block"/>
    <w:basedOn w:val="DefaultParagraphFont"/>
    <w:rsid w:val="00BE2C1D"/>
  </w:style>
  <w:style w:type="paragraph" w:customStyle="1" w:styleId="c-article-referencestext">
    <w:name w:val="c-article-references__text"/>
    <w:basedOn w:val="Normal"/>
    <w:rsid w:val="00BE2C1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person">
    <w:name w:val="person"/>
    <w:basedOn w:val="DefaultParagraphFont"/>
    <w:rsid w:val="00BE2C1D"/>
  </w:style>
  <w:style w:type="character" w:customStyle="1" w:styleId="personname">
    <w:name w:val="person_name"/>
    <w:basedOn w:val="DefaultParagraphFont"/>
    <w:rsid w:val="00BE2C1D"/>
  </w:style>
  <w:style w:type="character" w:styleId="Emphasis">
    <w:name w:val="Emphasis"/>
    <w:basedOn w:val="DefaultParagraphFont"/>
    <w:uiPriority w:val="20"/>
    <w:qFormat/>
    <w:rsid w:val="00BE2C1D"/>
    <w:rPr>
      <w:i/>
      <w:iCs/>
    </w:rPr>
  </w:style>
  <w:style w:type="character" w:customStyle="1" w:styleId="Subtitle1">
    <w:name w:val="Subtitle1"/>
    <w:basedOn w:val="DefaultParagraphFont"/>
    <w:rsid w:val="00BE2C1D"/>
  </w:style>
  <w:style w:type="character" w:customStyle="1" w:styleId="colon-for-citation-subtitle">
    <w:name w:val="colon-for-citation-subtitle"/>
    <w:basedOn w:val="DefaultParagraphFont"/>
    <w:rsid w:val="00BE2C1D"/>
  </w:style>
  <w:style w:type="character" w:styleId="CommentReference">
    <w:name w:val="annotation reference"/>
    <w:basedOn w:val="DefaultParagraphFont"/>
    <w:uiPriority w:val="99"/>
    <w:semiHidden/>
    <w:unhideWhenUsed/>
    <w:rsid w:val="00BE2C1D"/>
    <w:rPr>
      <w:sz w:val="16"/>
      <w:szCs w:val="16"/>
    </w:rPr>
  </w:style>
  <w:style w:type="paragraph" w:styleId="CommentText">
    <w:name w:val="annotation text"/>
    <w:basedOn w:val="Normal"/>
    <w:link w:val="CommentTextChar"/>
    <w:uiPriority w:val="99"/>
    <w:unhideWhenUsed/>
    <w:rsid w:val="00BE2C1D"/>
    <w:pPr>
      <w:spacing w:line="240" w:lineRule="auto"/>
    </w:pPr>
    <w:rPr>
      <w:sz w:val="20"/>
      <w:szCs w:val="20"/>
    </w:rPr>
  </w:style>
  <w:style w:type="character" w:customStyle="1" w:styleId="CommentTextChar">
    <w:name w:val="Comment Text Char"/>
    <w:basedOn w:val="DefaultParagraphFont"/>
    <w:link w:val="CommentText"/>
    <w:uiPriority w:val="99"/>
    <w:rsid w:val="00BE2C1D"/>
    <w:rPr>
      <w:sz w:val="20"/>
      <w:szCs w:val="20"/>
    </w:rPr>
  </w:style>
  <w:style w:type="character" w:customStyle="1" w:styleId="CommentSubjectChar">
    <w:name w:val="Comment Subject Char"/>
    <w:basedOn w:val="CommentTextChar"/>
    <w:link w:val="CommentSubject"/>
    <w:uiPriority w:val="99"/>
    <w:semiHidden/>
    <w:rsid w:val="00BE2C1D"/>
    <w:rPr>
      <w:b/>
      <w:bCs/>
      <w:sz w:val="20"/>
      <w:szCs w:val="20"/>
    </w:rPr>
  </w:style>
  <w:style w:type="paragraph" w:styleId="CommentSubject">
    <w:name w:val="annotation subject"/>
    <w:basedOn w:val="CommentText"/>
    <w:next w:val="CommentText"/>
    <w:link w:val="CommentSubjectChar"/>
    <w:uiPriority w:val="99"/>
    <w:semiHidden/>
    <w:unhideWhenUsed/>
    <w:rsid w:val="00BE2C1D"/>
    <w:rPr>
      <w:b/>
      <w:bCs/>
    </w:rPr>
  </w:style>
  <w:style w:type="character" w:customStyle="1" w:styleId="CommentSubjectChar1">
    <w:name w:val="Comment Subject Char1"/>
    <w:basedOn w:val="CommentTextChar"/>
    <w:uiPriority w:val="99"/>
    <w:semiHidden/>
    <w:rsid w:val="00BE2C1D"/>
    <w:rPr>
      <w:b/>
      <w:bCs/>
      <w:sz w:val="20"/>
      <w:szCs w:val="20"/>
    </w:rPr>
  </w:style>
  <w:style w:type="character" w:customStyle="1" w:styleId="capture-id">
    <w:name w:val="capture-id"/>
    <w:basedOn w:val="DefaultParagraphFont"/>
    <w:rsid w:val="00BE2C1D"/>
  </w:style>
  <w:style w:type="character" w:customStyle="1" w:styleId="gen">
    <w:name w:val="gen"/>
    <w:basedOn w:val="DefaultParagraphFont"/>
    <w:rsid w:val="00BE2C1D"/>
  </w:style>
  <w:style w:type="character" w:styleId="FollowedHyperlink">
    <w:name w:val="FollowedHyperlink"/>
    <w:basedOn w:val="DefaultParagraphFont"/>
    <w:uiPriority w:val="99"/>
    <w:semiHidden/>
    <w:unhideWhenUsed/>
    <w:rsid w:val="00BE2C1D"/>
    <w:rPr>
      <w:color w:val="954F72" w:themeColor="followedHyperlink"/>
      <w:u w:val="single"/>
    </w:rPr>
  </w:style>
  <w:style w:type="character" w:customStyle="1" w:styleId="authors">
    <w:name w:val="authors"/>
    <w:basedOn w:val="DefaultParagraphFont"/>
    <w:rsid w:val="00BE2C1D"/>
  </w:style>
  <w:style w:type="character" w:customStyle="1" w:styleId="Date1">
    <w:name w:val="Date1"/>
    <w:basedOn w:val="DefaultParagraphFont"/>
    <w:rsid w:val="00BE2C1D"/>
  </w:style>
  <w:style w:type="character" w:customStyle="1" w:styleId="arttitle">
    <w:name w:val="art_title"/>
    <w:basedOn w:val="DefaultParagraphFont"/>
    <w:rsid w:val="00BE2C1D"/>
  </w:style>
  <w:style w:type="character" w:customStyle="1" w:styleId="serialtitle">
    <w:name w:val="serial_title"/>
    <w:basedOn w:val="DefaultParagraphFont"/>
    <w:rsid w:val="00BE2C1D"/>
  </w:style>
  <w:style w:type="character" w:customStyle="1" w:styleId="volumeissue">
    <w:name w:val="volume_issue"/>
    <w:basedOn w:val="DefaultParagraphFont"/>
    <w:rsid w:val="00BE2C1D"/>
  </w:style>
  <w:style w:type="character" w:customStyle="1" w:styleId="pagerange">
    <w:name w:val="page_range"/>
    <w:basedOn w:val="DefaultParagraphFont"/>
    <w:rsid w:val="00BE2C1D"/>
  </w:style>
  <w:style w:type="paragraph" w:styleId="TOC4">
    <w:name w:val="toc 4"/>
    <w:basedOn w:val="Normal"/>
    <w:next w:val="Normal"/>
    <w:autoRedefine/>
    <w:uiPriority w:val="39"/>
    <w:unhideWhenUsed/>
    <w:rsid w:val="00BE2C1D"/>
    <w:pPr>
      <w:spacing w:after="100"/>
      <w:ind w:left="660"/>
    </w:pPr>
    <w:rPr>
      <w:rFonts w:eastAsiaTheme="minorEastAsia"/>
      <w:lang w:eastAsia="en-GB"/>
    </w:rPr>
  </w:style>
  <w:style w:type="paragraph" w:styleId="TOC5">
    <w:name w:val="toc 5"/>
    <w:basedOn w:val="Normal"/>
    <w:next w:val="Normal"/>
    <w:autoRedefine/>
    <w:uiPriority w:val="39"/>
    <w:unhideWhenUsed/>
    <w:rsid w:val="00BE2C1D"/>
    <w:pPr>
      <w:spacing w:after="100"/>
      <w:ind w:left="880"/>
    </w:pPr>
    <w:rPr>
      <w:rFonts w:eastAsiaTheme="minorEastAsia"/>
      <w:lang w:eastAsia="en-GB"/>
    </w:rPr>
  </w:style>
  <w:style w:type="paragraph" w:styleId="TOC6">
    <w:name w:val="toc 6"/>
    <w:basedOn w:val="Normal"/>
    <w:next w:val="Normal"/>
    <w:autoRedefine/>
    <w:uiPriority w:val="39"/>
    <w:unhideWhenUsed/>
    <w:rsid w:val="00BE2C1D"/>
    <w:pPr>
      <w:spacing w:after="100"/>
      <w:ind w:left="1100"/>
    </w:pPr>
    <w:rPr>
      <w:rFonts w:eastAsiaTheme="minorEastAsia"/>
      <w:lang w:eastAsia="en-GB"/>
    </w:rPr>
  </w:style>
  <w:style w:type="paragraph" w:styleId="TOC7">
    <w:name w:val="toc 7"/>
    <w:basedOn w:val="Normal"/>
    <w:next w:val="Normal"/>
    <w:autoRedefine/>
    <w:uiPriority w:val="39"/>
    <w:unhideWhenUsed/>
    <w:rsid w:val="00BE2C1D"/>
    <w:pPr>
      <w:spacing w:after="100"/>
      <w:ind w:left="1320"/>
    </w:pPr>
    <w:rPr>
      <w:rFonts w:eastAsiaTheme="minorEastAsia"/>
      <w:lang w:eastAsia="en-GB"/>
    </w:rPr>
  </w:style>
  <w:style w:type="paragraph" w:styleId="TOC8">
    <w:name w:val="toc 8"/>
    <w:basedOn w:val="Normal"/>
    <w:next w:val="Normal"/>
    <w:autoRedefine/>
    <w:uiPriority w:val="39"/>
    <w:unhideWhenUsed/>
    <w:rsid w:val="00BE2C1D"/>
    <w:pPr>
      <w:spacing w:after="100"/>
      <w:ind w:left="1540"/>
    </w:pPr>
    <w:rPr>
      <w:rFonts w:eastAsiaTheme="minorEastAsia"/>
      <w:lang w:eastAsia="en-GB"/>
    </w:rPr>
  </w:style>
  <w:style w:type="paragraph" w:styleId="TOC9">
    <w:name w:val="toc 9"/>
    <w:basedOn w:val="Normal"/>
    <w:next w:val="Normal"/>
    <w:autoRedefine/>
    <w:uiPriority w:val="39"/>
    <w:unhideWhenUsed/>
    <w:rsid w:val="00BE2C1D"/>
    <w:pPr>
      <w:spacing w:after="100"/>
      <w:ind w:left="1760"/>
    </w:pPr>
    <w:rPr>
      <w:rFonts w:eastAsiaTheme="minorEastAsia"/>
      <w:lang w:eastAsia="en-GB"/>
    </w:rPr>
  </w:style>
  <w:style w:type="character" w:customStyle="1" w:styleId="UnresolvedMention1">
    <w:name w:val="Unresolved Mention1"/>
    <w:basedOn w:val="DefaultParagraphFont"/>
    <w:uiPriority w:val="99"/>
    <w:semiHidden/>
    <w:unhideWhenUsed/>
    <w:rsid w:val="00BE2C1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src.ukri.org/files/funding/guidance-for-applicants/esrc-framework-for-research-ethics-2015/" TargetMode="External"/><Relationship Id="rId18" Type="http://schemas.openxmlformats.org/officeDocument/2006/relationships/hyperlink" Target="https://www.gov.uk/rights-disabled-person/education-rights" TargetMode="External"/><Relationship Id="rId26" Type="http://schemas.openxmlformats.org/officeDocument/2006/relationships/hyperlink" Target="http://www.research.lancs.ac.uk/portal/en/publications/psychoemotional-disablism-and-internalised-oppression(9cba5075-3527-472d-8c84-bd021bf2bb8b).html" TargetMode="External"/><Relationship Id="rId39" Type="http://schemas.openxmlformats.org/officeDocument/2006/relationships/hyperlink" Target="mailto:k.liddiard@sheffield.ac.uk" TargetMode="External"/><Relationship Id="rId21" Type="http://schemas.openxmlformats.org/officeDocument/2006/relationships/hyperlink" Target="https://metro.co.uk/2018/07/31/just-because-im-visually-impaired-it-doesnt-give-you-the-right-to-grab-me-7780931/" TargetMode="External"/><Relationship Id="rId34" Type="http://schemas.openxmlformats.org/officeDocument/2006/relationships/image" Target="media/image4.emf"/><Relationship Id="rId42" Type="http://schemas.openxmlformats.org/officeDocument/2006/relationships/hyperlink" Target="mailto:d.goodley@sheffield.ac.uk" TargetMode="External"/><Relationship Id="rId47" Type="http://schemas.openxmlformats.org/officeDocument/2006/relationships/image" Target="media/image9.jpeg"/><Relationship Id="rId50" Type="http://schemas.openxmlformats.org/officeDocument/2006/relationships/image" Target="media/image12.jpeg"/><Relationship Id="rId55" Type="http://schemas.openxmlformats.org/officeDocument/2006/relationships/image" Target="media/image17.jpeg"/><Relationship Id="rId63" Type="http://schemas.openxmlformats.org/officeDocument/2006/relationships/image" Target="media/image25.jpeg"/><Relationship Id="rId68" Type="http://schemas.openxmlformats.org/officeDocument/2006/relationships/image" Target="media/image29.jpeg"/><Relationship Id="rId76" Type="http://schemas.openxmlformats.org/officeDocument/2006/relationships/image" Target="media/image37.jpeg"/><Relationship Id="rId84" Type="http://schemas.openxmlformats.org/officeDocument/2006/relationships/image" Target="media/image43.jpeg"/><Relationship Id="rId89"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32.jpeg"/><Relationship Id="rId2" Type="http://schemas.openxmlformats.org/officeDocument/2006/relationships/numbering" Target="numbering.xml"/><Relationship Id="rId16" Type="http://schemas.openxmlformats.org/officeDocument/2006/relationships/hyperlink" Target="https://www.manchestereveningnews.co.uk/news/greater-manchester-news/jimmy-carr-dwarf-abortion-joke-16452437" TargetMode="External"/><Relationship Id="rId29" Type="http://schemas.openxmlformats.org/officeDocument/2006/relationships/hyperlink" Target="https://www.dailymail.co.uk/news/article-4043436/Dwarf-tossed-drunken-England-rugby-fan-famous-Game-Thrones-star-died-aged-42.html" TargetMode="External"/><Relationship Id="rId11" Type="http://schemas.openxmlformats.org/officeDocument/2006/relationships/hyperlink" Target="https://councilfordisabledchildren.org.uk/help-resources/resources/disabled-children-legal-handbook-3rd-edition" TargetMode="External"/><Relationship Id="rId24" Type="http://schemas.openxmlformats.org/officeDocument/2006/relationships/hyperlink" Target="https://ethos.bl.uk/OrderDetails.do?uin=uk.bl.ethos.654905" TargetMode="External"/><Relationship Id="rId32" Type="http://schemas.openxmlformats.org/officeDocument/2006/relationships/image" Target="media/image2.emf"/><Relationship Id="rId37" Type="http://schemas.openxmlformats.org/officeDocument/2006/relationships/hyperlink" Target="mailto:aktenidis1@sheffield.ac.uk" TargetMode="External"/><Relationship Id="rId40" Type="http://schemas.openxmlformats.org/officeDocument/2006/relationships/hyperlink" Target="mailto:d.hyatt@sheffield.ac.uk" TargetMode="External"/><Relationship Id="rId45" Type="http://schemas.openxmlformats.org/officeDocument/2006/relationships/image" Target="media/image7.jpeg"/><Relationship Id="rId53" Type="http://schemas.openxmlformats.org/officeDocument/2006/relationships/image" Target="media/image15.jpeg"/><Relationship Id="rId58" Type="http://schemas.openxmlformats.org/officeDocument/2006/relationships/image" Target="media/image20.jpeg"/><Relationship Id="rId66" Type="http://schemas.openxmlformats.org/officeDocument/2006/relationships/hyperlink" Target="mailto:d.hyatt@sheffield.ac.uk" TargetMode="External"/><Relationship Id="rId74" Type="http://schemas.openxmlformats.org/officeDocument/2006/relationships/image" Target="media/image35.png"/><Relationship Id="rId79" Type="http://schemas.openxmlformats.org/officeDocument/2006/relationships/hyperlink" Target="mailto:k.liddiard@sheffield.ac.uk" TargetMode="External"/><Relationship Id="rId87" Type="http://schemas.openxmlformats.org/officeDocument/2006/relationships/footer" Target="footer2.xml"/><Relationship Id="rId5" Type="http://schemas.openxmlformats.org/officeDocument/2006/relationships/webSettings" Target="webSettings.xml"/><Relationship Id="rId61" Type="http://schemas.openxmlformats.org/officeDocument/2006/relationships/image" Target="media/image23.jpeg"/><Relationship Id="rId82" Type="http://schemas.openxmlformats.org/officeDocument/2006/relationships/image" Target="media/image41.jpeg"/><Relationship Id="rId19" Type="http://schemas.openxmlformats.org/officeDocument/2006/relationships/hyperlink" Target="http://www.carolhanisch.org/CHwritings/PIP.html"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equalityhumanrights.com/en/publication-download/being-disabled-britain-journey-less-equal" TargetMode="External"/><Relationship Id="rId22" Type="http://schemas.openxmlformats.org/officeDocument/2006/relationships/hyperlink" Target="http://www.restrictedgrowth.co.uk/Publications.html" TargetMode="External"/><Relationship Id="rId27" Type="http://schemas.openxmlformats.org/officeDocument/2006/relationships/hyperlink" Target="http://www.esrcsocietytoday.ac.uk/ESRCInfoCentre/ViewOutputPage.aspx?data=z8HSvl3fWwVY2sDo4JNP8iOLJQdQnq85gWScqW%2fOpI2%2b5YiUw2%2bKJTJyRuKMeMICf1M%2bXm3GT0nPA52slwsnHEgtdyAN3GYp%2fJNGzX3FbpPG6ayZQVnNhKaIuLfseLAaKzCiNI3AZ1nKZF4C3UZ2Fdz%2bQLgS4YsW%2fghO4ZAG4LNR9Fm99tNGR9cx2Zsv%2bi1IiCuI%2fKeBkpKKN%2fZfe8nzeNA9O5Htd6Q7k5FiS7zbBwI%3d&amp;xu=0&amp;isAwardHolder=&amp;isProfiled=&amp;AwardHolderID=&amp;Sector=" TargetMode="External"/><Relationship Id="rId30" Type="http://schemas.openxmlformats.org/officeDocument/2006/relationships/hyperlink" Target="https://www.un.org/development/desa/disabilities/convention-on-the-rights-of-persons-with-disabilities/article-7-children-with-disabilities.html" TargetMode="External"/><Relationship Id="rId35" Type="http://schemas.openxmlformats.org/officeDocument/2006/relationships/hyperlink" Target="mailto:d.hyatt@sheffield.ac.uk" TargetMode="External"/><Relationship Id="rId43" Type="http://schemas.openxmlformats.org/officeDocument/2006/relationships/hyperlink" Target="mailto:k.liddiard@sheffield.ac.uk" TargetMode="External"/><Relationship Id="rId48" Type="http://schemas.openxmlformats.org/officeDocument/2006/relationships/image" Target="media/image10.png"/><Relationship Id="rId56" Type="http://schemas.openxmlformats.org/officeDocument/2006/relationships/image" Target="media/image18.jpeg"/><Relationship Id="rId64" Type="http://schemas.openxmlformats.org/officeDocument/2006/relationships/image" Target="media/image26.jpeg"/><Relationship Id="rId69" Type="http://schemas.openxmlformats.org/officeDocument/2006/relationships/image" Target="media/image30.png"/><Relationship Id="rId77" Type="http://schemas.openxmlformats.org/officeDocument/2006/relationships/hyperlink" Target="mailto:aktenidis1@sheffield.ac.uk" TargetMode="External"/><Relationship Id="rId8" Type="http://schemas.openxmlformats.org/officeDocument/2006/relationships/image" Target="media/image1.emf"/><Relationship Id="rId51" Type="http://schemas.openxmlformats.org/officeDocument/2006/relationships/image" Target="media/image13.jpeg"/><Relationship Id="rId72" Type="http://schemas.openxmlformats.org/officeDocument/2006/relationships/image" Target="media/image33.jpeg"/><Relationship Id="rId80" Type="http://schemas.openxmlformats.org/officeDocument/2006/relationships/image" Target="media/image39.jpeg"/><Relationship Id="rId85" Type="http://schemas.openxmlformats.org/officeDocument/2006/relationships/image" Target="media/image44.jpeg"/><Relationship Id="rId3" Type="http://schemas.openxmlformats.org/officeDocument/2006/relationships/styles" Target="styles.xml"/><Relationship Id="rId12" Type="http://schemas.openxmlformats.org/officeDocument/2006/relationships/hyperlink" Target="https://medium.com/@rebecca.cokley/the-little-people-still-think-you-dont-understand-bullying-11b1daa5b3d" TargetMode="External"/><Relationship Id="rId17" Type="http://schemas.openxmlformats.org/officeDocument/2006/relationships/hyperlink" Target="https://assets.publishing.service.gov.uk/government/uploads/system/uploads/attachment_data/file/623895/Preventing_and_tackling_bullying_advice.pdf" TargetMode="External"/><Relationship Id="rId25" Type="http://schemas.openxmlformats.org/officeDocument/2006/relationships/hyperlink" Target="http://www.research.lancs.ac.uk/portal/en/people/donna-reeve(f4742dad-d131-47c8-8367-6cc4b2d6e204).html" TargetMode="External"/><Relationship Id="rId33" Type="http://schemas.openxmlformats.org/officeDocument/2006/relationships/image" Target="media/image3.emf"/><Relationship Id="rId38" Type="http://schemas.openxmlformats.org/officeDocument/2006/relationships/hyperlink" Target="mailto:d.goodley@sheffield.ac.uk" TargetMode="External"/><Relationship Id="rId46" Type="http://schemas.openxmlformats.org/officeDocument/2006/relationships/image" Target="media/image8.jpeg"/><Relationship Id="rId59" Type="http://schemas.openxmlformats.org/officeDocument/2006/relationships/image" Target="media/image21.jpeg"/><Relationship Id="rId67" Type="http://schemas.openxmlformats.org/officeDocument/2006/relationships/image" Target="media/image28.jpeg"/><Relationship Id="rId20" Type="http://schemas.openxmlformats.org/officeDocument/2006/relationships/hyperlink" Target="http://eprints.lse.ac.uk/961" TargetMode="External"/><Relationship Id="rId41" Type="http://schemas.openxmlformats.org/officeDocument/2006/relationships/hyperlink" Target="mailto:aktenidis1@sheffield.ac.uk" TargetMode="External"/><Relationship Id="rId54" Type="http://schemas.openxmlformats.org/officeDocument/2006/relationships/image" Target="media/image16.jpeg"/><Relationship Id="rId62" Type="http://schemas.openxmlformats.org/officeDocument/2006/relationships/image" Target="media/image24.jpeg"/><Relationship Id="rId70" Type="http://schemas.openxmlformats.org/officeDocument/2006/relationships/image" Target="media/image31.jpeg"/><Relationship Id="rId75" Type="http://schemas.openxmlformats.org/officeDocument/2006/relationships/image" Target="media/image36.png"/><Relationship Id="rId83" Type="http://schemas.openxmlformats.org/officeDocument/2006/relationships/image" Target="media/image42.jpeg"/><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equalityhumanrights.com/en/publication-download/britain-fairer-2018" TargetMode="External"/><Relationship Id="rId23" Type="http://schemas.openxmlformats.org/officeDocument/2006/relationships/hyperlink" Target="http://eprints.gla.ac.uk/view/author/8734.html" TargetMode="External"/><Relationship Id="rId28" Type="http://schemas.openxmlformats.org/officeDocument/2006/relationships/hyperlink" Target="https://journals.sagepub.com/doi/10.1177/2043610616671062" TargetMode="External"/><Relationship Id="rId36" Type="http://schemas.openxmlformats.org/officeDocument/2006/relationships/image" Target="media/image5.jpeg"/><Relationship Id="rId49" Type="http://schemas.openxmlformats.org/officeDocument/2006/relationships/image" Target="media/image11.png"/><Relationship Id="rId57" Type="http://schemas.openxmlformats.org/officeDocument/2006/relationships/image" Target="media/image19.jpeg"/><Relationship Id="rId10" Type="http://schemas.openxmlformats.org/officeDocument/2006/relationships/hyperlink" Target="https://www.semanticscholar.org/paper/Teacher-Assessment-Biases-and-Future-Academic-Black-Sonja/8fa573f4284fbc6b085de4e1c233d902ec49d08f" TargetMode="External"/><Relationship Id="rId31" Type="http://schemas.openxmlformats.org/officeDocument/2006/relationships/hyperlink" Target="https://www.sheffield.ac.uk/media/3499/download" TargetMode="External"/><Relationship Id="rId44" Type="http://schemas.openxmlformats.org/officeDocument/2006/relationships/image" Target="media/image6.jpeg"/><Relationship Id="rId52" Type="http://schemas.openxmlformats.org/officeDocument/2006/relationships/image" Target="media/image14.jpeg"/><Relationship Id="rId60" Type="http://schemas.openxmlformats.org/officeDocument/2006/relationships/image" Target="media/image22.png"/><Relationship Id="rId65" Type="http://schemas.openxmlformats.org/officeDocument/2006/relationships/image" Target="media/image27.jpeg"/><Relationship Id="rId73" Type="http://schemas.openxmlformats.org/officeDocument/2006/relationships/image" Target="media/image34.jpeg"/><Relationship Id="rId78" Type="http://schemas.openxmlformats.org/officeDocument/2006/relationships/image" Target="media/image38.jpeg"/><Relationship Id="rId81" Type="http://schemas.openxmlformats.org/officeDocument/2006/relationships/image" Target="media/image40.png"/><Relationship Id="rId86" Type="http://schemas.openxmlformats.org/officeDocument/2006/relationships/image" Target="media/image45.jpeg"/></Relationships>
</file>

<file path=word/_rels/footnotes.xml.rels><?xml version="1.0" encoding="UTF-8" standalone="yes"?>
<Relationships xmlns="http://schemas.openxmlformats.org/package/2006/relationships"><Relationship Id="rId1" Type="http://schemas.openxmlformats.org/officeDocument/2006/relationships/hyperlink" Target="https://vimeo.com/414254025?utm_source=email&amp;utm_medium=vimeo-cliptranscode-201504&amp;utm_campaign=2922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F0A7D4-1251-415B-8E0C-08BCD61509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1638</TotalTime>
  <Pages>330</Pages>
  <Words>117529</Words>
  <Characters>669921</Characters>
  <Application>Microsoft Office Word</Application>
  <DocSecurity>0</DocSecurity>
  <Lines>5582</Lines>
  <Paragraphs>1571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785879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antonis ktenidis</dc:creator>
  <cp:keywords/>
  <dc:description/>
  <cp:lastModifiedBy>antonis ktenidis</cp:lastModifiedBy>
  <cp:revision>28</cp:revision>
  <cp:lastPrinted>2020-07-17T11:14:00Z</cp:lastPrinted>
  <dcterms:created xsi:type="dcterms:W3CDTF">2020-07-14T13:55:00Z</dcterms:created>
  <dcterms:modified xsi:type="dcterms:W3CDTF">2020-07-28T14:58:00Z</dcterms:modified>
</cp:coreProperties>
</file>